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交银施罗德瑞思三年封闭运作混合型证券投资基金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44161" w:rsidRDefault="003E6B3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交银瑞思</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501092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501092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r w:rsidRPr="00414345">
              <w:rPr>
                <w:color w:val="000000"/>
                <w:kern w:val="0"/>
                <w:sz w:val="24"/>
                <w:szCs w:val="24"/>
              </w:rPr>
              <w:t xml:space="preserve"> </w:t>
            </w: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414345">
              <w:rPr>
                <w:color w:val="000000"/>
                <w:kern w:val="0"/>
                <w:sz w:val="24"/>
                <w:szCs w:val="24"/>
              </w:rPr>
              <w:t>LOF</w:t>
            </w:r>
            <w:r w:rsidRPr="00414345">
              <w:rPr>
                <w:color w:val="000000"/>
                <w:kern w:val="0"/>
                <w:sz w:val="24"/>
                <w:szCs w:val="24"/>
              </w:rPr>
              <w:t>），可办理场外、场内申购赎回，并继续在上海证券交易所上市交易。</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4,945,845,223.18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w:t>
            </w:r>
            <w:r w:rsidRPr="00414345">
              <w:rPr>
                <w:color w:val="000000"/>
                <w:kern w:val="0"/>
                <w:sz w:val="24"/>
                <w:szCs w:val="24"/>
              </w:rPr>
              <w:t>A</w:t>
            </w:r>
            <w:r w:rsidRPr="00414345">
              <w:rPr>
                <w:color w:val="000000"/>
                <w:kern w:val="0"/>
                <w:sz w:val="24"/>
                <w:szCs w:val="24"/>
              </w:rPr>
              <w:t>股、港股、债券及货币市场工具等各类</w:t>
            </w:r>
            <w:r w:rsidRPr="00414345">
              <w:rPr>
                <w:color w:val="000000"/>
                <w:kern w:val="0"/>
                <w:sz w:val="24"/>
                <w:szCs w:val="24"/>
              </w:rPr>
              <w:lastRenderedPageBreak/>
              <w:t>别资产的初步分配比例。同时，再辅以投资时钟模型以及周期轮动理论</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对各类资产配比进行灵活调整，及时应对市场变化，在有效规避或控制市场风险的基础上，为投资者获取稳定的投资收益。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844161" w:rsidRDefault="003E6B3F">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E53C7" w:rsidRPr="00414345" w:rsidTr="00FE53C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E53C7" w:rsidRPr="00414345" w:rsidTr="00FE53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454,704,804.24</w:t>
            </w:r>
          </w:p>
        </w:tc>
      </w:tr>
      <w:tr w:rsidR="00FE53C7" w:rsidRPr="00414345" w:rsidTr="00FE53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623,494,864.94</w:t>
            </w:r>
          </w:p>
        </w:tc>
      </w:tr>
      <w:tr w:rsidR="00FE53C7" w:rsidRPr="00414345" w:rsidTr="00FE53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0.1261</w:t>
            </w:r>
          </w:p>
        </w:tc>
      </w:tr>
      <w:tr w:rsidR="00FE53C7" w:rsidRPr="00414345" w:rsidTr="00FE53C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5,861,142,515.30</w:t>
            </w:r>
          </w:p>
        </w:tc>
      </w:tr>
      <w:tr w:rsidR="00FE53C7" w:rsidRPr="00414345" w:rsidTr="00FE53C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1.1851</w:t>
            </w:r>
          </w:p>
        </w:tc>
      </w:tr>
    </w:tbl>
    <w:p w:rsidR="00844161" w:rsidRDefault="003E6B3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lastRenderedPageBreak/>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w:t>
            </w:r>
            <w:r w:rsidRPr="00414345">
              <w:rPr>
                <w:color w:val="000000"/>
                <w:sz w:val="24"/>
                <w:szCs w:val="24"/>
              </w:rPr>
              <w:lastRenderedPageBreak/>
              <w:t>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业绩比较基准收益率标</w:t>
            </w:r>
            <w:r w:rsidRPr="00414345">
              <w:rPr>
                <w:color w:val="000000"/>
                <w:sz w:val="24"/>
                <w:szCs w:val="24"/>
              </w:rPr>
              <w:lastRenderedPageBreak/>
              <w:t>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44161">
        <w:trPr>
          <w:jc w:val="center"/>
        </w:trPr>
        <w:tc>
          <w:tcPr>
            <w:tcW w:w="1701" w:type="dxa"/>
            <w:vAlign w:val="center"/>
          </w:tcPr>
          <w:p w:rsidR="00844161" w:rsidRDefault="003E6B3F">
            <w:pPr>
              <w:jc w:val="left"/>
            </w:pPr>
            <w:r>
              <w:rPr>
                <w:color w:val="000000"/>
                <w:sz w:val="24"/>
                <w:szCs w:val="24"/>
              </w:rPr>
              <w:t>过去三个月</w:t>
            </w:r>
          </w:p>
        </w:tc>
        <w:tc>
          <w:tcPr>
            <w:tcW w:w="1045" w:type="dxa"/>
            <w:vAlign w:val="center"/>
          </w:tcPr>
          <w:p w:rsidR="00844161" w:rsidRDefault="003E6B3F">
            <w:pPr>
              <w:jc w:val="center"/>
            </w:pPr>
            <w:r>
              <w:rPr>
                <w:color w:val="000000"/>
                <w:sz w:val="24"/>
                <w:szCs w:val="24"/>
              </w:rPr>
              <w:t>11.91%</w:t>
            </w:r>
          </w:p>
        </w:tc>
        <w:tc>
          <w:tcPr>
            <w:tcW w:w="1344" w:type="dxa"/>
            <w:vAlign w:val="center"/>
          </w:tcPr>
          <w:p w:rsidR="00844161" w:rsidRDefault="003E6B3F">
            <w:pPr>
              <w:jc w:val="center"/>
            </w:pPr>
            <w:r>
              <w:rPr>
                <w:color w:val="000000"/>
                <w:sz w:val="24"/>
                <w:szCs w:val="24"/>
              </w:rPr>
              <w:t>1.27%</w:t>
            </w:r>
          </w:p>
        </w:tc>
        <w:tc>
          <w:tcPr>
            <w:tcW w:w="1194" w:type="dxa"/>
            <w:vAlign w:val="center"/>
          </w:tcPr>
          <w:p w:rsidR="00844161" w:rsidRDefault="003E6B3F">
            <w:pPr>
              <w:jc w:val="center"/>
            </w:pPr>
            <w:r>
              <w:rPr>
                <w:color w:val="000000"/>
                <w:sz w:val="24"/>
                <w:szCs w:val="24"/>
              </w:rPr>
              <w:t>6.84%</w:t>
            </w:r>
          </w:p>
        </w:tc>
        <w:tc>
          <w:tcPr>
            <w:tcW w:w="1492" w:type="dxa"/>
            <w:vAlign w:val="center"/>
          </w:tcPr>
          <w:p w:rsidR="00844161" w:rsidRDefault="003E6B3F">
            <w:pPr>
              <w:jc w:val="center"/>
            </w:pPr>
            <w:r>
              <w:rPr>
                <w:color w:val="000000"/>
                <w:sz w:val="24"/>
                <w:szCs w:val="24"/>
              </w:rPr>
              <w:t>1.16%</w:t>
            </w:r>
          </w:p>
        </w:tc>
        <w:tc>
          <w:tcPr>
            <w:tcW w:w="1194" w:type="dxa"/>
            <w:vAlign w:val="center"/>
          </w:tcPr>
          <w:p w:rsidR="00844161" w:rsidRDefault="003E6B3F">
            <w:pPr>
              <w:jc w:val="center"/>
            </w:pPr>
            <w:r>
              <w:rPr>
                <w:color w:val="000000"/>
                <w:sz w:val="24"/>
                <w:szCs w:val="24"/>
              </w:rPr>
              <w:t>5.07%</w:t>
            </w:r>
          </w:p>
        </w:tc>
        <w:tc>
          <w:tcPr>
            <w:tcW w:w="898" w:type="dxa"/>
            <w:vAlign w:val="center"/>
          </w:tcPr>
          <w:p w:rsidR="00844161" w:rsidRDefault="003E6B3F">
            <w:pPr>
              <w:jc w:val="center"/>
            </w:pPr>
            <w:r>
              <w:rPr>
                <w:color w:val="000000"/>
                <w:sz w:val="24"/>
                <w:szCs w:val="24"/>
              </w:rPr>
              <w:t>0.11%</w:t>
            </w:r>
          </w:p>
        </w:tc>
      </w:tr>
      <w:tr w:rsidR="00844161">
        <w:trPr>
          <w:jc w:val="center"/>
        </w:trPr>
        <w:tc>
          <w:tcPr>
            <w:tcW w:w="1701" w:type="dxa"/>
            <w:vAlign w:val="center"/>
          </w:tcPr>
          <w:p w:rsidR="00844161" w:rsidRDefault="003E6B3F">
            <w:pPr>
              <w:jc w:val="left"/>
            </w:pPr>
            <w:r>
              <w:rPr>
                <w:color w:val="000000"/>
                <w:sz w:val="24"/>
                <w:szCs w:val="24"/>
              </w:rPr>
              <w:t>过去六个月</w:t>
            </w:r>
          </w:p>
        </w:tc>
        <w:tc>
          <w:tcPr>
            <w:tcW w:w="1045" w:type="dxa"/>
            <w:vAlign w:val="center"/>
          </w:tcPr>
          <w:p w:rsidR="00844161" w:rsidRDefault="003E6B3F">
            <w:pPr>
              <w:jc w:val="center"/>
            </w:pPr>
            <w:r>
              <w:rPr>
                <w:color w:val="000000"/>
                <w:sz w:val="24"/>
                <w:szCs w:val="24"/>
              </w:rPr>
              <w:t>21.36%</w:t>
            </w:r>
          </w:p>
        </w:tc>
        <w:tc>
          <w:tcPr>
            <w:tcW w:w="1344" w:type="dxa"/>
            <w:vAlign w:val="center"/>
          </w:tcPr>
          <w:p w:rsidR="00844161" w:rsidRDefault="003E6B3F">
            <w:pPr>
              <w:jc w:val="center"/>
            </w:pPr>
            <w:r>
              <w:rPr>
                <w:color w:val="000000"/>
                <w:sz w:val="24"/>
                <w:szCs w:val="24"/>
              </w:rPr>
              <w:t>0.99%</w:t>
            </w:r>
          </w:p>
        </w:tc>
        <w:tc>
          <w:tcPr>
            <w:tcW w:w="1194" w:type="dxa"/>
            <w:vAlign w:val="center"/>
          </w:tcPr>
          <w:p w:rsidR="00844161" w:rsidRDefault="003E6B3F">
            <w:pPr>
              <w:jc w:val="center"/>
            </w:pPr>
            <w:r>
              <w:rPr>
                <w:color w:val="000000"/>
                <w:sz w:val="24"/>
                <w:szCs w:val="24"/>
              </w:rPr>
              <w:t>16.55%</w:t>
            </w:r>
          </w:p>
        </w:tc>
        <w:tc>
          <w:tcPr>
            <w:tcW w:w="1492" w:type="dxa"/>
            <w:vAlign w:val="center"/>
          </w:tcPr>
          <w:p w:rsidR="00844161" w:rsidRDefault="003E6B3F">
            <w:pPr>
              <w:jc w:val="center"/>
            </w:pPr>
            <w:r>
              <w:rPr>
                <w:color w:val="000000"/>
                <w:sz w:val="24"/>
                <w:szCs w:val="24"/>
              </w:rPr>
              <w:t>0.97%</w:t>
            </w:r>
          </w:p>
        </w:tc>
        <w:tc>
          <w:tcPr>
            <w:tcW w:w="1194" w:type="dxa"/>
            <w:vAlign w:val="center"/>
          </w:tcPr>
          <w:p w:rsidR="00844161" w:rsidRDefault="003E6B3F">
            <w:pPr>
              <w:jc w:val="center"/>
            </w:pPr>
            <w:r>
              <w:rPr>
                <w:color w:val="000000"/>
                <w:sz w:val="24"/>
                <w:szCs w:val="24"/>
              </w:rPr>
              <w:t>4.81%</w:t>
            </w:r>
          </w:p>
        </w:tc>
        <w:tc>
          <w:tcPr>
            <w:tcW w:w="898" w:type="dxa"/>
            <w:vAlign w:val="center"/>
          </w:tcPr>
          <w:p w:rsidR="00844161" w:rsidRDefault="003E6B3F">
            <w:pPr>
              <w:jc w:val="center"/>
            </w:pPr>
            <w:r>
              <w:rPr>
                <w:color w:val="000000"/>
                <w:sz w:val="24"/>
                <w:szCs w:val="24"/>
              </w:rPr>
              <w:t>0.02%</w:t>
            </w:r>
          </w:p>
        </w:tc>
      </w:tr>
      <w:tr w:rsidR="00844161">
        <w:trPr>
          <w:jc w:val="center"/>
        </w:trPr>
        <w:tc>
          <w:tcPr>
            <w:tcW w:w="1701" w:type="dxa"/>
            <w:vAlign w:val="center"/>
          </w:tcPr>
          <w:p w:rsidR="00844161" w:rsidRDefault="003E6B3F">
            <w:pPr>
              <w:jc w:val="left"/>
            </w:pPr>
            <w:r>
              <w:rPr>
                <w:color w:val="000000"/>
                <w:sz w:val="24"/>
                <w:szCs w:val="24"/>
              </w:rPr>
              <w:t>自基金合同生效起至今</w:t>
            </w:r>
          </w:p>
        </w:tc>
        <w:tc>
          <w:tcPr>
            <w:tcW w:w="1045" w:type="dxa"/>
            <w:vAlign w:val="center"/>
          </w:tcPr>
          <w:p w:rsidR="00844161" w:rsidRDefault="003E6B3F">
            <w:pPr>
              <w:jc w:val="center"/>
            </w:pPr>
            <w:r>
              <w:rPr>
                <w:color w:val="000000"/>
                <w:sz w:val="24"/>
                <w:szCs w:val="24"/>
              </w:rPr>
              <w:t>18.51%</w:t>
            </w:r>
          </w:p>
        </w:tc>
        <w:tc>
          <w:tcPr>
            <w:tcW w:w="1344" w:type="dxa"/>
            <w:vAlign w:val="center"/>
          </w:tcPr>
          <w:p w:rsidR="00844161" w:rsidRDefault="003E6B3F">
            <w:pPr>
              <w:jc w:val="center"/>
            </w:pPr>
            <w:r>
              <w:rPr>
                <w:color w:val="000000"/>
                <w:sz w:val="24"/>
                <w:szCs w:val="24"/>
              </w:rPr>
              <w:t>0.96%</w:t>
            </w:r>
          </w:p>
        </w:tc>
        <w:tc>
          <w:tcPr>
            <w:tcW w:w="1194" w:type="dxa"/>
            <w:vAlign w:val="center"/>
          </w:tcPr>
          <w:p w:rsidR="00844161" w:rsidRDefault="003E6B3F">
            <w:pPr>
              <w:jc w:val="center"/>
            </w:pPr>
            <w:r>
              <w:rPr>
                <w:color w:val="000000"/>
                <w:sz w:val="24"/>
                <w:szCs w:val="24"/>
              </w:rPr>
              <w:t>6.95%</w:t>
            </w:r>
          </w:p>
        </w:tc>
        <w:tc>
          <w:tcPr>
            <w:tcW w:w="1492" w:type="dxa"/>
            <w:vAlign w:val="center"/>
          </w:tcPr>
          <w:p w:rsidR="00844161" w:rsidRDefault="003E6B3F">
            <w:pPr>
              <w:jc w:val="center"/>
            </w:pPr>
            <w:r>
              <w:rPr>
                <w:color w:val="000000"/>
                <w:sz w:val="24"/>
                <w:szCs w:val="24"/>
              </w:rPr>
              <w:t>1.09%</w:t>
            </w:r>
          </w:p>
        </w:tc>
        <w:tc>
          <w:tcPr>
            <w:tcW w:w="1194" w:type="dxa"/>
            <w:vAlign w:val="center"/>
          </w:tcPr>
          <w:p w:rsidR="00844161" w:rsidRDefault="003E6B3F">
            <w:pPr>
              <w:jc w:val="center"/>
            </w:pPr>
            <w:r>
              <w:rPr>
                <w:color w:val="000000"/>
                <w:sz w:val="24"/>
                <w:szCs w:val="24"/>
              </w:rPr>
              <w:t>11.56%</w:t>
            </w:r>
          </w:p>
        </w:tc>
        <w:tc>
          <w:tcPr>
            <w:tcW w:w="898" w:type="dxa"/>
            <w:vAlign w:val="center"/>
          </w:tcPr>
          <w:p w:rsidR="00844161" w:rsidRDefault="003E6B3F">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交银施罗德瑞思三年封闭运作混合型证券投资基金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44161">
        <w:trPr>
          <w:jc w:val="center"/>
        </w:trPr>
        <w:tc>
          <w:tcPr>
            <w:tcW w:w="846" w:type="dxa"/>
            <w:vAlign w:val="center"/>
          </w:tcPr>
          <w:p w:rsidR="00844161" w:rsidRDefault="003E6B3F">
            <w:pPr>
              <w:jc w:val="center"/>
            </w:pPr>
            <w:r>
              <w:rPr>
                <w:color w:val="000000"/>
                <w:sz w:val="24"/>
                <w:szCs w:val="24"/>
              </w:rPr>
              <w:t>沈楠</w:t>
            </w:r>
          </w:p>
        </w:tc>
        <w:tc>
          <w:tcPr>
            <w:tcW w:w="845" w:type="dxa"/>
            <w:vAlign w:val="center"/>
          </w:tcPr>
          <w:p w:rsidR="00844161" w:rsidRDefault="003E6B3F">
            <w:pPr>
              <w:jc w:val="center"/>
            </w:pPr>
            <w:r>
              <w:rPr>
                <w:color w:val="000000"/>
                <w:sz w:val="24"/>
                <w:szCs w:val="24"/>
              </w:rPr>
              <w:t>交银主题优选混合、交银国企改革灵活配置混合、交银瑞思混合的基金经理</w:t>
            </w:r>
          </w:p>
        </w:tc>
        <w:tc>
          <w:tcPr>
            <w:tcW w:w="1549" w:type="dxa"/>
            <w:vAlign w:val="center"/>
          </w:tcPr>
          <w:p w:rsidR="00844161" w:rsidRDefault="003E6B3F">
            <w:pPr>
              <w:jc w:val="center"/>
            </w:pPr>
            <w:r>
              <w:rPr>
                <w:color w:val="000000"/>
                <w:sz w:val="24"/>
                <w:szCs w:val="24"/>
              </w:rPr>
              <w:t>2020-02-21</w:t>
            </w:r>
          </w:p>
        </w:tc>
        <w:tc>
          <w:tcPr>
            <w:tcW w:w="1548" w:type="dxa"/>
            <w:vAlign w:val="center"/>
          </w:tcPr>
          <w:p w:rsidR="00844161" w:rsidRDefault="003E6B3F">
            <w:pPr>
              <w:jc w:val="center"/>
            </w:pPr>
            <w:r>
              <w:rPr>
                <w:color w:val="000000"/>
                <w:sz w:val="24"/>
                <w:szCs w:val="24"/>
              </w:rPr>
              <w:t>-</w:t>
            </w:r>
          </w:p>
        </w:tc>
        <w:tc>
          <w:tcPr>
            <w:tcW w:w="1407" w:type="dxa"/>
            <w:vAlign w:val="center"/>
          </w:tcPr>
          <w:p w:rsidR="00844161" w:rsidRDefault="003E6B3F">
            <w:pPr>
              <w:jc w:val="center"/>
            </w:pPr>
            <w:r>
              <w:rPr>
                <w:color w:val="000000"/>
                <w:sz w:val="24"/>
                <w:szCs w:val="24"/>
              </w:rPr>
              <w:t>11</w:t>
            </w:r>
            <w:r>
              <w:rPr>
                <w:color w:val="000000"/>
                <w:sz w:val="24"/>
                <w:szCs w:val="24"/>
              </w:rPr>
              <w:t>年</w:t>
            </w:r>
          </w:p>
        </w:tc>
        <w:tc>
          <w:tcPr>
            <w:tcW w:w="2673" w:type="dxa"/>
            <w:vAlign w:val="center"/>
          </w:tcPr>
          <w:p w:rsidR="00844161" w:rsidRDefault="003E6B3F">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44161" w:rsidRDefault="003E6B3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44161" w:rsidRDefault="003E6B3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44161" w:rsidRDefault="003E6B3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44161" w:rsidRDefault="003E6B3F">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受全球新冠疫情继续扩散和反复的影响，欧美实体经济在供给和需求层面均受到持续影响。国内疫情控制较好，反而受益全球相对宽松的货币政策和财政措施，对外出口形成一定拉动。我们认为国内政策在未来一段时间将逐渐回归常态，但伴随实体经济的复苏，市场有望继续呈现较强的结构性行情。</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报告期内，本基金完成建仓，主要在合理安全垫的基础上结合低估值和长期成长潜力两个维度进行配置，行业层面集中在先进制造、食品农业、计算机传媒电子以及部分低估值的金融地产家电等行业。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我们认为如果新冠疫情在全球得到有效控制，那无需对海外股市过分悲观，这对国内市场也将带来积极意义。伴随科创板及创业板中更多优质资产登陆资本市场，上市企业的分化会加大，拥有较好现金流以及商业壁垒的平台型企业是我们看好的主要方向，同时积极关注受益外需回暖的领域和上市企业。中长期来看，组合仍将聚焦受益于进口替代的高端制造业，受益于技术升级的计算机、传媒、通信电子等行业，以及受益内循环的食品、医药等必须消费品，同时关注低估值蓝筹的修复性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5,054,055,590.14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5,054,055,590.14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819,626,618.55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13.88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31,777,897.72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5,905,460,106.41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157,653,010.89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24,880,440.00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2,031,214,162.14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95,359,618.62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52,637,043.56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577,192,268.14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101,526,880.95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498,820,914.02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388,746,333.77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401,328,607.86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52,571,208.00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522,536.28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71,988,222.16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36,227,204.00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29,714,190.00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172,113,218.06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4,692,508,887.57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80.06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844161">
        <w:trPr>
          <w:jc w:val="center"/>
        </w:trPr>
        <w:tc>
          <w:tcPr>
            <w:tcW w:w="2397" w:type="dxa"/>
            <w:vAlign w:val="center"/>
          </w:tcPr>
          <w:p w:rsidR="00844161" w:rsidRDefault="003E6B3F">
            <w:pPr>
              <w:jc w:val="center"/>
            </w:pPr>
            <w:r>
              <w:rPr>
                <w:color w:val="000000"/>
                <w:sz w:val="24"/>
              </w:rPr>
              <w:t>医疗保健</w:t>
            </w:r>
          </w:p>
        </w:tc>
        <w:tc>
          <w:tcPr>
            <w:tcW w:w="3119" w:type="dxa"/>
            <w:vAlign w:val="center"/>
          </w:tcPr>
          <w:p w:rsidR="00844161" w:rsidRDefault="003E6B3F">
            <w:pPr>
              <w:jc w:val="center"/>
            </w:pPr>
            <w:r>
              <w:rPr>
                <w:color w:val="000000"/>
                <w:sz w:val="24"/>
              </w:rPr>
              <w:t>135,738,901.20</w:t>
            </w:r>
          </w:p>
        </w:tc>
        <w:tc>
          <w:tcPr>
            <w:tcW w:w="3118" w:type="dxa"/>
            <w:vAlign w:val="center"/>
          </w:tcPr>
          <w:p w:rsidR="00844161" w:rsidRDefault="003E6B3F">
            <w:pPr>
              <w:jc w:val="center"/>
            </w:pPr>
            <w:r>
              <w:rPr>
                <w:color w:val="000000"/>
                <w:sz w:val="24"/>
              </w:rPr>
              <w:t>2.32</w:t>
            </w:r>
          </w:p>
        </w:tc>
      </w:tr>
      <w:tr w:rsidR="00844161">
        <w:trPr>
          <w:jc w:val="center"/>
        </w:trPr>
        <w:tc>
          <w:tcPr>
            <w:tcW w:w="2397" w:type="dxa"/>
            <w:vAlign w:val="center"/>
          </w:tcPr>
          <w:p w:rsidR="00844161" w:rsidRDefault="003E6B3F">
            <w:pPr>
              <w:jc w:val="center"/>
            </w:pPr>
            <w:r>
              <w:rPr>
                <w:color w:val="000000"/>
                <w:sz w:val="24"/>
              </w:rPr>
              <w:t>非日常生活消费品</w:t>
            </w:r>
          </w:p>
        </w:tc>
        <w:tc>
          <w:tcPr>
            <w:tcW w:w="3119" w:type="dxa"/>
            <w:vAlign w:val="center"/>
          </w:tcPr>
          <w:p w:rsidR="00844161" w:rsidRDefault="003E6B3F">
            <w:pPr>
              <w:jc w:val="center"/>
            </w:pPr>
            <w:r>
              <w:rPr>
                <w:color w:val="000000"/>
                <w:sz w:val="24"/>
              </w:rPr>
              <w:t>72,148,451.45</w:t>
            </w:r>
          </w:p>
        </w:tc>
        <w:tc>
          <w:tcPr>
            <w:tcW w:w="3118" w:type="dxa"/>
            <w:vAlign w:val="center"/>
          </w:tcPr>
          <w:p w:rsidR="00844161" w:rsidRDefault="003E6B3F">
            <w:pPr>
              <w:jc w:val="center"/>
            </w:pPr>
            <w:r>
              <w:rPr>
                <w:color w:val="000000"/>
                <w:sz w:val="24"/>
              </w:rPr>
              <w:t>1.23</w:t>
            </w:r>
          </w:p>
        </w:tc>
      </w:tr>
      <w:tr w:rsidR="00844161">
        <w:trPr>
          <w:jc w:val="center"/>
        </w:trPr>
        <w:tc>
          <w:tcPr>
            <w:tcW w:w="2397" w:type="dxa"/>
            <w:vAlign w:val="center"/>
          </w:tcPr>
          <w:p w:rsidR="00844161" w:rsidRDefault="003E6B3F">
            <w:pPr>
              <w:jc w:val="center"/>
            </w:pPr>
            <w:r>
              <w:rPr>
                <w:color w:val="000000"/>
                <w:sz w:val="24"/>
              </w:rPr>
              <w:t>金融</w:t>
            </w:r>
          </w:p>
        </w:tc>
        <w:tc>
          <w:tcPr>
            <w:tcW w:w="3119" w:type="dxa"/>
            <w:vAlign w:val="center"/>
          </w:tcPr>
          <w:p w:rsidR="00844161" w:rsidRDefault="003E6B3F">
            <w:pPr>
              <w:jc w:val="center"/>
            </w:pPr>
            <w:r>
              <w:rPr>
                <w:color w:val="000000"/>
                <w:sz w:val="24"/>
              </w:rPr>
              <w:t>56,251,568.35</w:t>
            </w:r>
          </w:p>
        </w:tc>
        <w:tc>
          <w:tcPr>
            <w:tcW w:w="3118" w:type="dxa"/>
            <w:vAlign w:val="center"/>
          </w:tcPr>
          <w:p w:rsidR="00844161" w:rsidRDefault="003E6B3F">
            <w:pPr>
              <w:jc w:val="center"/>
            </w:pPr>
            <w:r>
              <w:rPr>
                <w:color w:val="000000"/>
                <w:sz w:val="24"/>
              </w:rPr>
              <w:t>0.96</w:t>
            </w:r>
          </w:p>
        </w:tc>
      </w:tr>
      <w:tr w:rsidR="00844161">
        <w:trPr>
          <w:jc w:val="center"/>
        </w:trPr>
        <w:tc>
          <w:tcPr>
            <w:tcW w:w="2397" w:type="dxa"/>
            <w:vAlign w:val="center"/>
          </w:tcPr>
          <w:p w:rsidR="00844161" w:rsidRDefault="003E6B3F">
            <w:pPr>
              <w:jc w:val="center"/>
            </w:pPr>
            <w:r>
              <w:rPr>
                <w:color w:val="000000"/>
                <w:sz w:val="24"/>
              </w:rPr>
              <w:t>工业</w:t>
            </w:r>
          </w:p>
        </w:tc>
        <w:tc>
          <w:tcPr>
            <w:tcW w:w="3119" w:type="dxa"/>
            <w:vAlign w:val="center"/>
          </w:tcPr>
          <w:p w:rsidR="00844161" w:rsidRDefault="003E6B3F">
            <w:pPr>
              <w:jc w:val="center"/>
            </w:pPr>
            <w:r>
              <w:rPr>
                <w:color w:val="000000"/>
                <w:sz w:val="24"/>
              </w:rPr>
              <w:t>50,528,069.57</w:t>
            </w:r>
          </w:p>
        </w:tc>
        <w:tc>
          <w:tcPr>
            <w:tcW w:w="3118" w:type="dxa"/>
            <w:vAlign w:val="center"/>
          </w:tcPr>
          <w:p w:rsidR="00844161" w:rsidRDefault="003E6B3F">
            <w:pPr>
              <w:jc w:val="center"/>
            </w:pPr>
            <w:r>
              <w:rPr>
                <w:color w:val="000000"/>
                <w:sz w:val="24"/>
              </w:rPr>
              <w:t>0.86</w:t>
            </w:r>
          </w:p>
        </w:tc>
      </w:tr>
      <w:tr w:rsidR="00844161">
        <w:trPr>
          <w:jc w:val="center"/>
        </w:trPr>
        <w:tc>
          <w:tcPr>
            <w:tcW w:w="2397" w:type="dxa"/>
            <w:vAlign w:val="center"/>
          </w:tcPr>
          <w:p w:rsidR="00844161" w:rsidRDefault="003E6B3F">
            <w:pPr>
              <w:jc w:val="center"/>
            </w:pPr>
            <w:r>
              <w:rPr>
                <w:color w:val="000000"/>
                <w:sz w:val="24"/>
              </w:rPr>
              <w:t>公用事业</w:t>
            </w:r>
          </w:p>
        </w:tc>
        <w:tc>
          <w:tcPr>
            <w:tcW w:w="3119" w:type="dxa"/>
            <w:vAlign w:val="center"/>
          </w:tcPr>
          <w:p w:rsidR="00844161" w:rsidRDefault="003E6B3F">
            <w:pPr>
              <w:jc w:val="center"/>
            </w:pPr>
            <w:r>
              <w:rPr>
                <w:color w:val="000000"/>
                <w:sz w:val="24"/>
              </w:rPr>
              <w:t>28,901,100.80</w:t>
            </w:r>
          </w:p>
        </w:tc>
        <w:tc>
          <w:tcPr>
            <w:tcW w:w="3118" w:type="dxa"/>
            <w:vAlign w:val="center"/>
          </w:tcPr>
          <w:p w:rsidR="00844161" w:rsidRDefault="003E6B3F">
            <w:pPr>
              <w:jc w:val="center"/>
            </w:pPr>
            <w:r>
              <w:rPr>
                <w:color w:val="000000"/>
                <w:sz w:val="24"/>
              </w:rPr>
              <w:t>0.49</w:t>
            </w:r>
          </w:p>
        </w:tc>
      </w:tr>
      <w:tr w:rsidR="00844161">
        <w:trPr>
          <w:jc w:val="center"/>
        </w:trPr>
        <w:tc>
          <w:tcPr>
            <w:tcW w:w="2397" w:type="dxa"/>
            <w:vAlign w:val="center"/>
          </w:tcPr>
          <w:p w:rsidR="00844161" w:rsidRDefault="003E6B3F">
            <w:pPr>
              <w:jc w:val="center"/>
            </w:pPr>
            <w:r>
              <w:rPr>
                <w:color w:val="000000"/>
                <w:sz w:val="24"/>
              </w:rPr>
              <w:t>通讯服务</w:t>
            </w:r>
          </w:p>
        </w:tc>
        <w:tc>
          <w:tcPr>
            <w:tcW w:w="3119" w:type="dxa"/>
            <w:vAlign w:val="center"/>
          </w:tcPr>
          <w:p w:rsidR="00844161" w:rsidRDefault="003E6B3F">
            <w:pPr>
              <w:jc w:val="center"/>
            </w:pPr>
            <w:r>
              <w:rPr>
                <w:color w:val="000000"/>
                <w:sz w:val="24"/>
              </w:rPr>
              <w:t>17,978,611.20</w:t>
            </w:r>
          </w:p>
        </w:tc>
        <w:tc>
          <w:tcPr>
            <w:tcW w:w="3118" w:type="dxa"/>
            <w:vAlign w:val="center"/>
          </w:tcPr>
          <w:p w:rsidR="00844161" w:rsidRDefault="003E6B3F">
            <w:pPr>
              <w:jc w:val="center"/>
            </w:pPr>
            <w:r>
              <w:rPr>
                <w:color w:val="000000"/>
                <w:sz w:val="24"/>
              </w:rPr>
              <w:t>0.31</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361,546,702.57</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6.17</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44161">
        <w:trPr>
          <w:jc w:val="center"/>
        </w:trPr>
        <w:tc>
          <w:tcPr>
            <w:tcW w:w="855" w:type="dxa"/>
            <w:vAlign w:val="center"/>
          </w:tcPr>
          <w:p w:rsidR="00844161" w:rsidRDefault="003E6B3F">
            <w:pPr>
              <w:jc w:val="center"/>
            </w:pPr>
            <w:r>
              <w:rPr>
                <w:color w:val="000000"/>
                <w:sz w:val="24"/>
                <w:szCs w:val="24"/>
              </w:rPr>
              <w:t>1</w:t>
            </w:r>
          </w:p>
        </w:tc>
        <w:tc>
          <w:tcPr>
            <w:tcW w:w="1334" w:type="dxa"/>
            <w:vAlign w:val="center"/>
          </w:tcPr>
          <w:p w:rsidR="00844161" w:rsidRDefault="003E6B3F">
            <w:pPr>
              <w:jc w:val="center"/>
            </w:pPr>
            <w:r>
              <w:rPr>
                <w:color w:val="000000"/>
                <w:sz w:val="24"/>
                <w:szCs w:val="24"/>
              </w:rPr>
              <w:t>002352</w:t>
            </w:r>
          </w:p>
        </w:tc>
        <w:tc>
          <w:tcPr>
            <w:tcW w:w="1777" w:type="dxa"/>
            <w:vAlign w:val="center"/>
          </w:tcPr>
          <w:p w:rsidR="00844161" w:rsidRDefault="003E6B3F">
            <w:pPr>
              <w:jc w:val="center"/>
            </w:pPr>
            <w:r>
              <w:rPr>
                <w:color w:val="000000"/>
                <w:sz w:val="24"/>
                <w:szCs w:val="24"/>
              </w:rPr>
              <w:t>顺丰控股</w:t>
            </w:r>
          </w:p>
        </w:tc>
        <w:tc>
          <w:tcPr>
            <w:tcW w:w="1334" w:type="dxa"/>
            <w:vAlign w:val="center"/>
          </w:tcPr>
          <w:p w:rsidR="00844161" w:rsidRDefault="003E6B3F">
            <w:pPr>
              <w:jc w:val="right"/>
            </w:pPr>
            <w:r>
              <w:rPr>
                <w:color w:val="000000"/>
                <w:sz w:val="24"/>
                <w:szCs w:val="24"/>
              </w:rPr>
              <w:t>4,092,861</w:t>
            </w:r>
          </w:p>
        </w:tc>
        <w:tc>
          <w:tcPr>
            <w:tcW w:w="1924" w:type="dxa"/>
            <w:vAlign w:val="center"/>
          </w:tcPr>
          <w:p w:rsidR="00844161" w:rsidRDefault="003E6B3F">
            <w:pPr>
              <w:jc w:val="right"/>
            </w:pPr>
            <w:r>
              <w:rPr>
                <w:color w:val="000000"/>
                <w:sz w:val="24"/>
                <w:szCs w:val="24"/>
              </w:rPr>
              <w:t>332,340,313.20</w:t>
            </w:r>
          </w:p>
        </w:tc>
        <w:tc>
          <w:tcPr>
            <w:tcW w:w="1644" w:type="dxa"/>
            <w:vAlign w:val="center"/>
          </w:tcPr>
          <w:p w:rsidR="00844161" w:rsidRDefault="003E6B3F">
            <w:pPr>
              <w:jc w:val="right"/>
            </w:pPr>
            <w:r>
              <w:rPr>
                <w:color w:val="000000"/>
                <w:sz w:val="24"/>
                <w:szCs w:val="24"/>
              </w:rPr>
              <w:t>5.67</w:t>
            </w:r>
          </w:p>
        </w:tc>
      </w:tr>
      <w:tr w:rsidR="00844161">
        <w:trPr>
          <w:jc w:val="center"/>
        </w:trPr>
        <w:tc>
          <w:tcPr>
            <w:tcW w:w="855" w:type="dxa"/>
            <w:vAlign w:val="center"/>
          </w:tcPr>
          <w:p w:rsidR="00844161" w:rsidRDefault="003E6B3F">
            <w:pPr>
              <w:jc w:val="center"/>
            </w:pPr>
            <w:r>
              <w:rPr>
                <w:color w:val="000000"/>
                <w:sz w:val="24"/>
                <w:szCs w:val="24"/>
              </w:rPr>
              <w:t>2</w:t>
            </w:r>
          </w:p>
        </w:tc>
        <w:tc>
          <w:tcPr>
            <w:tcW w:w="1334" w:type="dxa"/>
            <w:vAlign w:val="center"/>
          </w:tcPr>
          <w:p w:rsidR="00844161" w:rsidRDefault="003E6B3F">
            <w:pPr>
              <w:jc w:val="center"/>
            </w:pPr>
            <w:r>
              <w:rPr>
                <w:color w:val="000000"/>
                <w:sz w:val="24"/>
                <w:szCs w:val="24"/>
              </w:rPr>
              <w:t>600690</w:t>
            </w:r>
          </w:p>
        </w:tc>
        <w:tc>
          <w:tcPr>
            <w:tcW w:w="1777" w:type="dxa"/>
            <w:vAlign w:val="center"/>
          </w:tcPr>
          <w:p w:rsidR="00844161" w:rsidRDefault="003E6B3F">
            <w:pPr>
              <w:jc w:val="center"/>
            </w:pPr>
            <w:r>
              <w:rPr>
                <w:color w:val="000000"/>
                <w:sz w:val="24"/>
                <w:szCs w:val="24"/>
              </w:rPr>
              <w:t>海尔智家</w:t>
            </w:r>
          </w:p>
        </w:tc>
        <w:tc>
          <w:tcPr>
            <w:tcW w:w="1334" w:type="dxa"/>
            <w:vAlign w:val="center"/>
          </w:tcPr>
          <w:p w:rsidR="00844161" w:rsidRDefault="003E6B3F">
            <w:pPr>
              <w:jc w:val="right"/>
            </w:pPr>
            <w:r>
              <w:rPr>
                <w:color w:val="000000"/>
                <w:sz w:val="24"/>
                <w:szCs w:val="24"/>
              </w:rPr>
              <w:t>10,222,857</w:t>
            </w:r>
          </w:p>
        </w:tc>
        <w:tc>
          <w:tcPr>
            <w:tcW w:w="1924" w:type="dxa"/>
            <w:vAlign w:val="center"/>
          </w:tcPr>
          <w:p w:rsidR="00844161" w:rsidRDefault="003E6B3F">
            <w:pPr>
              <w:jc w:val="right"/>
            </w:pPr>
            <w:r>
              <w:rPr>
                <w:color w:val="000000"/>
                <w:sz w:val="24"/>
                <w:szCs w:val="24"/>
              </w:rPr>
              <w:t>223,062,739.74</w:t>
            </w:r>
          </w:p>
        </w:tc>
        <w:tc>
          <w:tcPr>
            <w:tcW w:w="1644" w:type="dxa"/>
            <w:vAlign w:val="center"/>
          </w:tcPr>
          <w:p w:rsidR="00844161" w:rsidRDefault="003E6B3F">
            <w:pPr>
              <w:jc w:val="right"/>
            </w:pPr>
            <w:r>
              <w:rPr>
                <w:color w:val="000000"/>
                <w:sz w:val="24"/>
                <w:szCs w:val="24"/>
              </w:rPr>
              <w:t>3.81</w:t>
            </w:r>
          </w:p>
        </w:tc>
      </w:tr>
      <w:tr w:rsidR="00844161">
        <w:trPr>
          <w:jc w:val="center"/>
        </w:trPr>
        <w:tc>
          <w:tcPr>
            <w:tcW w:w="855" w:type="dxa"/>
            <w:vAlign w:val="center"/>
          </w:tcPr>
          <w:p w:rsidR="00844161" w:rsidRDefault="003E6B3F">
            <w:pPr>
              <w:jc w:val="center"/>
            </w:pPr>
            <w:r>
              <w:rPr>
                <w:color w:val="000000"/>
                <w:sz w:val="24"/>
                <w:szCs w:val="24"/>
              </w:rPr>
              <w:t>3</w:t>
            </w:r>
          </w:p>
        </w:tc>
        <w:tc>
          <w:tcPr>
            <w:tcW w:w="1334" w:type="dxa"/>
            <w:vAlign w:val="center"/>
          </w:tcPr>
          <w:p w:rsidR="00844161" w:rsidRDefault="003E6B3F">
            <w:pPr>
              <w:jc w:val="center"/>
            </w:pPr>
            <w:r>
              <w:rPr>
                <w:color w:val="000000"/>
                <w:sz w:val="24"/>
                <w:szCs w:val="24"/>
              </w:rPr>
              <w:t>600383</w:t>
            </w:r>
          </w:p>
        </w:tc>
        <w:tc>
          <w:tcPr>
            <w:tcW w:w="1777" w:type="dxa"/>
            <w:vAlign w:val="center"/>
          </w:tcPr>
          <w:p w:rsidR="00844161" w:rsidRDefault="003E6B3F">
            <w:pPr>
              <w:jc w:val="center"/>
            </w:pPr>
            <w:r>
              <w:rPr>
                <w:color w:val="000000"/>
                <w:sz w:val="24"/>
                <w:szCs w:val="24"/>
              </w:rPr>
              <w:t>金地集团</w:t>
            </w:r>
          </w:p>
        </w:tc>
        <w:tc>
          <w:tcPr>
            <w:tcW w:w="1334" w:type="dxa"/>
            <w:vAlign w:val="center"/>
          </w:tcPr>
          <w:p w:rsidR="00844161" w:rsidRDefault="003E6B3F">
            <w:pPr>
              <w:jc w:val="right"/>
            </w:pPr>
            <w:r>
              <w:rPr>
                <w:color w:val="000000"/>
                <w:sz w:val="24"/>
                <w:szCs w:val="24"/>
              </w:rPr>
              <w:t>12,278,934</w:t>
            </w:r>
          </w:p>
        </w:tc>
        <w:tc>
          <w:tcPr>
            <w:tcW w:w="1924" w:type="dxa"/>
            <w:vAlign w:val="center"/>
          </w:tcPr>
          <w:p w:rsidR="00844161" w:rsidRDefault="003E6B3F">
            <w:pPr>
              <w:jc w:val="right"/>
            </w:pPr>
            <w:r>
              <w:rPr>
                <w:color w:val="000000"/>
                <w:sz w:val="24"/>
                <w:szCs w:val="24"/>
              </w:rPr>
              <w:t>178,658,489.70</w:t>
            </w:r>
          </w:p>
        </w:tc>
        <w:tc>
          <w:tcPr>
            <w:tcW w:w="1644" w:type="dxa"/>
            <w:vAlign w:val="center"/>
          </w:tcPr>
          <w:p w:rsidR="00844161" w:rsidRDefault="003E6B3F">
            <w:pPr>
              <w:jc w:val="right"/>
            </w:pPr>
            <w:r>
              <w:rPr>
                <w:color w:val="000000"/>
                <w:sz w:val="24"/>
                <w:szCs w:val="24"/>
              </w:rPr>
              <w:t>3.05</w:t>
            </w:r>
          </w:p>
        </w:tc>
      </w:tr>
      <w:tr w:rsidR="00844161">
        <w:trPr>
          <w:jc w:val="center"/>
        </w:trPr>
        <w:tc>
          <w:tcPr>
            <w:tcW w:w="855" w:type="dxa"/>
            <w:vAlign w:val="center"/>
          </w:tcPr>
          <w:p w:rsidR="00844161" w:rsidRDefault="003E6B3F">
            <w:pPr>
              <w:jc w:val="center"/>
            </w:pPr>
            <w:r>
              <w:rPr>
                <w:color w:val="000000"/>
                <w:sz w:val="24"/>
                <w:szCs w:val="24"/>
              </w:rPr>
              <w:t>4</w:t>
            </w:r>
          </w:p>
        </w:tc>
        <w:tc>
          <w:tcPr>
            <w:tcW w:w="1334" w:type="dxa"/>
            <w:vAlign w:val="center"/>
          </w:tcPr>
          <w:p w:rsidR="00844161" w:rsidRDefault="003E6B3F">
            <w:pPr>
              <w:jc w:val="center"/>
            </w:pPr>
            <w:r>
              <w:rPr>
                <w:color w:val="000000"/>
                <w:sz w:val="24"/>
                <w:szCs w:val="24"/>
              </w:rPr>
              <w:t>002928</w:t>
            </w:r>
          </w:p>
        </w:tc>
        <w:tc>
          <w:tcPr>
            <w:tcW w:w="1777" w:type="dxa"/>
            <w:vAlign w:val="center"/>
          </w:tcPr>
          <w:p w:rsidR="00844161" w:rsidRDefault="003E6B3F">
            <w:pPr>
              <w:jc w:val="center"/>
            </w:pPr>
            <w:r>
              <w:rPr>
                <w:color w:val="000000"/>
                <w:sz w:val="24"/>
                <w:szCs w:val="24"/>
              </w:rPr>
              <w:t>华夏航空</w:t>
            </w:r>
          </w:p>
        </w:tc>
        <w:tc>
          <w:tcPr>
            <w:tcW w:w="1334" w:type="dxa"/>
            <w:vAlign w:val="center"/>
          </w:tcPr>
          <w:p w:rsidR="00844161" w:rsidRDefault="003E6B3F">
            <w:pPr>
              <w:jc w:val="right"/>
            </w:pPr>
            <w:r>
              <w:rPr>
                <w:color w:val="000000"/>
                <w:sz w:val="24"/>
                <w:szCs w:val="24"/>
              </w:rPr>
              <w:t>9,891,267</w:t>
            </w:r>
          </w:p>
        </w:tc>
        <w:tc>
          <w:tcPr>
            <w:tcW w:w="1924" w:type="dxa"/>
            <w:vAlign w:val="center"/>
          </w:tcPr>
          <w:p w:rsidR="00844161" w:rsidRDefault="003E6B3F">
            <w:pPr>
              <w:jc w:val="right"/>
            </w:pPr>
            <w:r>
              <w:rPr>
                <w:color w:val="000000"/>
                <w:sz w:val="24"/>
                <w:szCs w:val="24"/>
              </w:rPr>
              <w:t>135,906,008.58</w:t>
            </w:r>
          </w:p>
        </w:tc>
        <w:tc>
          <w:tcPr>
            <w:tcW w:w="1644" w:type="dxa"/>
            <w:vAlign w:val="center"/>
          </w:tcPr>
          <w:p w:rsidR="00844161" w:rsidRDefault="003E6B3F">
            <w:pPr>
              <w:jc w:val="right"/>
            </w:pPr>
            <w:r>
              <w:rPr>
                <w:color w:val="000000"/>
                <w:sz w:val="24"/>
                <w:szCs w:val="24"/>
              </w:rPr>
              <w:t>2.32</w:t>
            </w:r>
          </w:p>
        </w:tc>
      </w:tr>
      <w:tr w:rsidR="00844161">
        <w:trPr>
          <w:jc w:val="center"/>
        </w:trPr>
        <w:tc>
          <w:tcPr>
            <w:tcW w:w="855" w:type="dxa"/>
            <w:vAlign w:val="center"/>
          </w:tcPr>
          <w:p w:rsidR="00844161" w:rsidRDefault="003E6B3F">
            <w:pPr>
              <w:jc w:val="center"/>
            </w:pPr>
            <w:r>
              <w:rPr>
                <w:color w:val="000000"/>
                <w:sz w:val="24"/>
                <w:szCs w:val="24"/>
              </w:rPr>
              <w:t>5</w:t>
            </w:r>
          </w:p>
        </w:tc>
        <w:tc>
          <w:tcPr>
            <w:tcW w:w="1334" w:type="dxa"/>
            <w:vAlign w:val="center"/>
          </w:tcPr>
          <w:p w:rsidR="00844161" w:rsidRDefault="003E6B3F">
            <w:pPr>
              <w:jc w:val="center"/>
            </w:pPr>
            <w:r>
              <w:rPr>
                <w:color w:val="000000"/>
                <w:sz w:val="24"/>
                <w:szCs w:val="24"/>
              </w:rPr>
              <w:t>002841</w:t>
            </w:r>
          </w:p>
        </w:tc>
        <w:tc>
          <w:tcPr>
            <w:tcW w:w="1777" w:type="dxa"/>
            <w:vAlign w:val="center"/>
          </w:tcPr>
          <w:p w:rsidR="00844161" w:rsidRDefault="003E6B3F">
            <w:pPr>
              <w:jc w:val="center"/>
            </w:pPr>
            <w:r>
              <w:rPr>
                <w:color w:val="000000"/>
                <w:sz w:val="24"/>
                <w:szCs w:val="24"/>
              </w:rPr>
              <w:t>视源股份</w:t>
            </w:r>
          </w:p>
        </w:tc>
        <w:tc>
          <w:tcPr>
            <w:tcW w:w="1334" w:type="dxa"/>
            <w:vAlign w:val="center"/>
          </w:tcPr>
          <w:p w:rsidR="00844161" w:rsidRDefault="003E6B3F">
            <w:pPr>
              <w:jc w:val="right"/>
            </w:pPr>
            <w:r>
              <w:rPr>
                <w:color w:val="000000"/>
                <w:sz w:val="24"/>
                <w:szCs w:val="24"/>
              </w:rPr>
              <w:t>1,274,752</w:t>
            </w:r>
          </w:p>
        </w:tc>
        <w:tc>
          <w:tcPr>
            <w:tcW w:w="1924" w:type="dxa"/>
            <w:vAlign w:val="center"/>
          </w:tcPr>
          <w:p w:rsidR="00844161" w:rsidRDefault="003E6B3F">
            <w:pPr>
              <w:jc w:val="right"/>
            </w:pPr>
            <w:r>
              <w:rPr>
                <w:color w:val="000000"/>
                <w:sz w:val="24"/>
                <w:szCs w:val="24"/>
              </w:rPr>
              <w:t>123,504,592.32</w:t>
            </w:r>
          </w:p>
        </w:tc>
        <w:tc>
          <w:tcPr>
            <w:tcW w:w="1644" w:type="dxa"/>
            <w:vAlign w:val="center"/>
          </w:tcPr>
          <w:p w:rsidR="00844161" w:rsidRDefault="003E6B3F">
            <w:pPr>
              <w:jc w:val="right"/>
            </w:pPr>
            <w:r>
              <w:rPr>
                <w:color w:val="000000"/>
                <w:sz w:val="24"/>
                <w:szCs w:val="24"/>
              </w:rPr>
              <w:t>2.11</w:t>
            </w:r>
          </w:p>
        </w:tc>
      </w:tr>
      <w:tr w:rsidR="00844161">
        <w:trPr>
          <w:jc w:val="center"/>
        </w:trPr>
        <w:tc>
          <w:tcPr>
            <w:tcW w:w="855" w:type="dxa"/>
            <w:vAlign w:val="center"/>
          </w:tcPr>
          <w:p w:rsidR="00844161" w:rsidRDefault="003E6B3F">
            <w:pPr>
              <w:jc w:val="center"/>
            </w:pPr>
            <w:r>
              <w:rPr>
                <w:color w:val="000000"/>
                <w:sz w:val="24"/>
                <w:szCs w:val="24"/>
              </w:rPr>
              <w:t>6</w:t>
            </w:r>
          </w:p>
        </w:tc>
        <w:tc>
          <w:tcPr>
            <w:tcW w:w="1334" w:type="dxa"/>
            <w:vAlign w:val="center"/>
          </w:tcPr>
          <w:p w:rsidR="00844161" w:rsidRDefault="003E6B3F">
            <w:pPr>
              <w:jc w:val="center"/>
            </w:pPr>
            <w:r>
              <w:rPr>
                <w:color w:val="000000"/>
                <w:sz w:val="24"/>
                <w:szCs w:val="24"/>
              </w:rPr>
              <w:t>002439</w:t>
            </w:r>
          </w:p>
        </w:tc>
        <w:tc>
          <w:tcPr>
            <w:tcW w:w="1777" w:type="dxa"/>
            <w:vAlign w:val="center"/>
          </w:tcPr>
          <w:p w:rsidR="00844161" w:rsidRDefault="003E6B3F">
            <w:pPr>
              <w:jc w:val="center"/>
            </w:pPr>
            <w:r>
              <w:rPr>
                <w:color w:val="000000"/>
                <w:sz w:val="24"/>
                <w:szCs w:val="24"/>
              </w:rPr>
              <w:t>启明星辰</w:t>
            </w:r>
          </w:p>
        </w:tc>
        <w:tc>
          <w:tcPr>
            <w:tcW w:w="1334" w:type="dxa"/>
            <w:vAlign w:val="center"/>
          </w:tcPr>
          <w:p w:rsidR="00844161" w:rsidRDefault="003E6B3F">
            <w:pPr>
              <w:jc w:val="right"/>
            </w:pPr>
            <w:r>
              <w:rPr>
                <w:color w:val="000000"/>
                <w:sz w:val="24"/>
                <w:szCs w:val="24"/>
              </w:rPr>
              <w:t>3,514,171</w:t>
            </w:r>
          </w:p>
        </w:tc>
        <w:tc>
          <w:tcPr>
            <w:tcW w:w="1924" w:type="dxa"/>
            <w:vAlign w:val="center"/>
          </w:tcPr>
          <w:p w:rsidR="00844161" w:rsidRDefault="003E6B3F">
            <w:pPr>
              <w:jc w:val="right"/>
            </w:pPr>
            <w:r>
              <w:rPr>
                <w:color w:val="000000"/>
                <w:sz w:val="24"/>
                <w:szCs w:val="24"/>
              </w:rPr>
              <w:t>121,344,324.63</w:t>
            </w:r>
          </w:p>
        </w:tc>
        <w:tc>
          <w:tcPr>
            <w:tcW w:w="1644" w:type="dxa"/>
            <w:vAlign w:val="center"/>
          </w:tcPr>
          <w:p w:rsidR="00844161" w:rsidRDefault="003E6B3F">
            <w:pPr>
              <w:jc w:val="right"/>
            </w:pPr>
            <w:r>
              <w:rPr>
                <w:color w:val="000000"/>
                <w:sz w:val="24"/>
                <w:szCs w:val="24"/>
              </w:rPr>
              <w:t>2.07</w:t>
            </w:r>
          </w:p>
        </w:tc>
      </w:tr>
      <w:tr w:rsidR="00844161">
        <w:trPr>
          <w:jc w:val="center"/>
        </w:trPr>
        <w:tc>
          <w:tcPr>
            <w:tcW w:w="855" w:type="dxa"/>
            <w:vAlign w:val="center"/>
          </w:tcPr>
          <w:p w:rsidR="00844161" w:rsidRDefault="003E6B3F">
            <w:pPr>
              <w:jc w:val="center"/>
            </w:pPr>
            <w:r>
              <w:rPr>
                <w:color w:val="000000"/>
                <w:sz w:val="24"/>
                <w:szCs w:val="24"/>
              </w:rPr>
              <w:t>7</w:t>
            </w:r>
          </w:p>
        </w:tc>
        <w:tc>
          <w:tcPr>
            <w:tcW w:w="1334" w:type="dxa"/>
            <w:vAlign w:val="center"/>
          </w:tcPr>
          <w:p w:rsidR="00844161" w:rsidRDefault="003E6B3F">
            <w:pPr>
              <w:jc w:val="center"/>
            </w:pPr>
            <w:r>
              <w:rPr>
                <w:color w:val="000000"/>
                <w:sz w:val="24"/>
                <w:szCs w:val="24"/>
              </w:rPr>
              <w:t>601166</w:t>
            </w:r>
          </w:p>
        </w:tc>
        <w:tc>
          <w:tcPr>
            <w:tcW w:w="1777" w:type="dxa"/>
            <w:vAlign w:val="center"/>
          </w:tcPr>
          <w:p w:rsidR="00844161" w:rsidRDefault="003E6B3F">
            <w:pPr>
              <w:jc w:val="center"/>
            </w:pPr>
            <w:r>
              <w:rPr>
                <w:color w:val="000000"/>
                <w:sz w:val="24"/>
                <w:szCs w:val="24"/>
              </w:rPr>
              <w:t>兴业银行</w:t>
            </w:r>
          </w:p>
        </w:tc>
        <w:tc>
          <w:tcPr>
            <w:tcW w:w="1334" w:type="dxa"/>
            <w:vAlign w:val="center"/>
          </w:tcPr>
          <w:p w:rsidR="00844161" w:rsidRDefault="003E6B3F">
            <w:pPr>
              <w:jc w:val="right"/>
            </w:pPr>
            <w:r>
              <w:rPr>
                <w:color w:val="000000"/>
                <w:sz w:val="24"/>
                <w:szCs w:val="24"/>
              </w:rPr>
              <w:t>7,366,600</w:t>
            </w:r>
          </w:p>
        </w:tc>
        <w:tc>
          <w:tcPr>
            <w:tcW w:w="1924" w:type="dxa"/>
            <w:vAlign w:val="center"/>
          </w:tcPr>
          <w:p w:rsidR="00844161" w:rsidRDefault="003E6B3F">
            <w:pPr>
              <w:jc w:val="right"/>
            </w:pPr>
            <w:r>
              <w:rPr>
                <w:color w:val="000000"/>
                <w:sz w:val="24"/>
                <w:szCs w:val="24"/>
              </w:rPr>
              <w:t>118,823,258.00</w:t>
            </w:r>
          </w:p>
        </w:tc>
        <w:tc>
          <w:tcPr>
            <w:tcW w:w="1644" w:type="dxa"/>
            <w:vAlign w:val="center"/>
          </w:tcPr>
          <w:p w:rsidR="00844161" w:rsidRDefault="003E6B3F">
            <w:pPr>
              <w:jc w:val="right"/>
            </w:pPr>
            <w:r>
              <w:rPr>
                <w:color w:val="000000"/>
                <w:sz w:val="24"/>
                <w:szCs w:val="24"/>
              </w:rPr>
              <w:t>2.03</w:t>
            </w:r>
          </w:p>
        </w:tc>
      </w:tr>
      <w:tr w:rsidR="00844161">
        <w:trPr>
          <w:jc w:val="center"/>
        </w:trPr>
        <w:tc>
          <w:tcPr>
            <w:tcW w:w="855" w:type="dxa"/>
            <w:vAlign w:val="center"/>
          </w:tcPr>
          <w:p w:rsidR="00844161" w:rsidRDefault="003E6B3F">
            <w:pPr>
              <w:jc w:val="center"/>
            </w:pPr>
            <w:r>
              <w:rPr>
                <w:color w:val="000000"/>
                <w:sz w:val="24"/>
                <w:szCs w:val="24"/>
              </w:rPr>
              <w:t>8</w:t>
            </w:r>
          </w:p>
        </w:tc>
        <w:tc>
          <w:tcPr>
            <w:tcW w:w="1334" w:type="dxa"/>
            <w:vAlign w:val="center"/>
          </w:tcPr>
          <w:p w:rsidR="00844161" w:rsidRDefault="003E6B3F">
            <w:pPr>
              <w:jc w:val="center"/>
            </w:pPr>
            <w:r>
              <w:rPr>
                <w:color w:val="000000"/>
                <w:sz w:val="24"/>
                <w:szCs w:val="24"/>
              </w:rPr>
              <w:t>600048</w:t>
            </w:r>
          </w:p>
        </w:tc>
        <w:tc>
          <w:tcPr>
            <w:tcW w:w="1777" w:type="dxa"/>
            <w:vAlign w:val="center"/>
          </w:tcPr>
          <w:p w:rsidR="00844161" w:rsidRDefault="003E6B3F">
            <w:pPr>
              <w:jc w:val="center"/>
            </w:pPr>
            <w:r>
              <w:rPr>
                <w:color w:val="000000"/>
                <w:sz w:val="24"/>
                <w:szCs w:val="24"/>
              </w:rPr>
              <w:t>保利地产</w:t>
            </w:r>
          </w:p>
        </w:tc>
        <w:tc>
          <w:tcPr>
            <w:tcW w:w="1334" w:type="dxa"/>
            <w:vAlign w:val="center"/>
          </w:tcPr>
          <w:p w:rsidR="00844161" w:rsidRDefault="003E6B3F">
            <w:pPr>
              <w:jc w:val="right"/>
            </w:pPr>
            <w:r>
              <w:rPr>
                <w:color w:val="000000"/>
                <w:sz w:val="24"/>
                <w:szCs w:val="24"/>
              </w:rPr>
              <w:t>6,673,400</w:t>
            </w:r>
          </w:p>
        </w:tc>
        <w:tc>
          <w:tcPr>
            <w:tcW w:w="1924" w:type="dxa"/>
            <w:vAlign w:val="center"/>
          </w:tcPr>
          <w:p w:rsidR="00844161" w:rsidRDefault="003E6B3F">
            <w:pPr>
              <w:jc w:val="right"/>
            </w:pPr>
            <w:r>
              <w:rPr>
                <w:color w:val="000000"/>
                <w:sz w:val="24"/>
                <w:szCs w:val="24"/>
              </w:rPr>
              <w:t>106,040,326.00</w:t>
            </w:r>
          </w:p>
        </w:tc>
        <w:tc>
          <w:tcPr>
            <w:tcW w:w="1644" w:type="dxa"/>
            <w:vAlign w:val="center"/>
          </w:tcPr>
          <w:p w:rsidR="00844161" w:rsidRDefault="003E6B3F">
            <w:pPr>
              <w:jc w:val="right"/>
            </w:pPr>
            <w:r>
              <w:rPr>
                <w:color w:val="000000"/>
                <w:sz w:val="24"/>
                <w:szCs w:val="24"/>
              </w:rPr>
              <w:t>1.81</w:t>
            </w:r>
          </w:p>
        </w:tc>
      </w:tr>
      <w:tr w:rsidR="00844161">
        <w:trPr>
          <w:jc w:val="center"/>
        </w:trPr>
        <w:tc>
          <w:tcPr>
            <w:tcW w:w="855" w:type="dxa"/>
            <w:vAlign w:val="center"/>
          </w:tcPr>
          <w:p w:rsidR="00844161" w:rsidRDefault="003E6B3F">
            <w:pPr>
              <w:jc w:val="center"/>
            </w:pPr>
            <w:r>
              <w:rPr>
                <w:color w:val="000000"/>
                <w:sz w:val="24"/>
                <w:szCs w:val="24"/>
              </w:rPr>
              <w:t>9</w:t>
            </w:r>
          </w:p>
        </w:tc>
        <w:tc>
          <w:tcPr>
            <w:tcW w:w="1334" w:type="dxa"/>
            <w:vAlign w:val="center"/>
          </w:tcPr>
          <w:p w:rsidR="00844161" w:rsidRDefault="003E6B3F">
            <w:pPr>
              <w:jc w:val="center"/>
            </w:pPr>
            <w:r>
              <w:rPr>
                <w:color w:val="000000"/>
                <w:sz w:val="24"/>
                <w:szCs w:val="24"/>
              </w:rPr>
              <w:t>01066.HK</w:t>
            </w:r>
          </w:p>
        </w:tc>
        <w:tc>
          <w:tcPr>
            <w:tcW w:w="1777" w:type="dxa"/>
            <w:vAlign w:val="center"/>
          </w:tcPr>
          <w:p w:rsidR="00844161" w:rsidRDefault="003E6B3F">
            <w:pPr>
              <w:jc w:val="center"/>
            </w:pPr>
            <w:r>
              <w:rPr>
                <w:color w:val="000000"/>
                <w:sz w:val="24"/>
                <w:szCs w:val="24"/>
              </w:rPr>
              <w:t>威高股份</w:t>
            </w:r>
          </w:p>
        </w:tc>
        <w:tc>
          <w:tcPr>
            <w:tcW w:w="1334" w:type="dxa"/>
            <w:vAlign w:val="center"/>
          </w:tcPr>
          <w:p w:rsidR="00844161" w:rsidRDefault="003E6B3F">
            <w:pPr>
              <w:jc w:val="right"/>
            </w:pPr>
            <w:r>
              <w:rPr>
                <w:color w:val="000000"/>
                <w:sz w:val="24"/>
                <w:szCs w:val="24"/>
              </w:rPr>
              <w:t>7,576,000</w:t>
            </w:r>
          </w:p>
        </w:tc>
        <w:tc>
          <w:tcPr>
            <w:tcW w:w="1924" w:type="dxa"/>
            <w:vAlign w:val="center"/>
          </w:tcPr>
          <w:p w:rsidR="00844161" w:rsidRDefault="003E6B3F">
            <w:pPr>
              <w:jc w:val="right"/>
            </w:pPr>
            <w:r>
              <w:rPr>
                <w:color w:val="000000"/>
                <w:sz w:val="24"/>
                <w:szCs w:val="24"/>
              </w:rPr>
              <w:t>102,786,901.20</w:t>
            </w:r>
          </w:p>
        </w:tc>
        <w:tc>
          <w:tcPr>
            <w:tcW w:w="1644" w:type="dxa"/>
            <w:vAlign w:val="center"/>
          </w:tcPr>
          <w:p w:rsidR="00844161" w:rsidRDefault="003E6B3F">
            <w:pPr>
              <w:jc w:val="right"/>
            </w:pPr>
            <w:r>
              <w:rPr>
                <w:color w:val="000000"/>
                <w:sz w:val="24"/>
                <w:szCs w:val="24"/>
              </w:rPr>
              <w:t>1.75</w:t>
            </w:r>
          </w:p>
        </w:tc>
      </w:tr>
      <w:tr w:rsidR="00844161">
        <w:trPr>
          <w:jc w:val="center"/>
        </w:trPr>
        <w:tc>
          <w:tcPr>
            <w:tcW w:w="855" w:type="dxa"/>
            <w:vAlign w:val="center"/>
          </w:tcPr>
          <w:p w:rsidR="00844161" w:rsidRDefault="003E6B3F">
            <w:pPr>
              <w:jc w:val="center"/>
            </w:pPr>
            <w:r>
              <w:rPr>
                <w:color w:val="000000"/>
                <w:sz w:val="24"/>
                <w:szCs w:val="24"/>
              </w:rPr>
              <w:t>10</w:t>
            </w:r>
          </w:p>
        </w:tc>
        <w:tc>
          <w:tcPr>
            <w:tcW w:w="1334" w:type="dxa"/>
            <w:vAlign w:val="center"/>
          </w:tcPr>
          <w:p w:rsidR="00844161" w:rsidRDefault="003E6B3F">
            <w:pPr>
              <w:jc w:val="center"/>
            </w:pPr>
            <w:r>
              <w:rPr>
                <w:color w:val="000000"/>
                <w:sz w:val="24"/>
                <w:szCs w:val="24"/>
              </w:rPr>
              <w:t>002648</w:t>
            </w:r>
          </w:p>
        </w:tc>
        <w:tc>
          <w:tcPr>
            <w:tcW w:w="1777" w:type="dxa"/>
            <w:vAlign w:val="center"/>
          </w:tcPr>
          <w:p w:rsidR="00844161" w:rsidRDefault="003E6B3F">
            <w:pPr>
              <w:jc w:val="center"/>
            </w:pPr>
            <w:r>
              <w:rPr>
                <w:color w:val="000000"/>
                <w:sz w:val="24"/>
                <w:szCs w:val="24"/>
              </w:rPr>
              <w:t>卫星石化</w:t>
            </w:r>
          </w:p>
        </w:tc>
        <w:tc>
          <w:tcPr>
            <w:tcW w:w="1334" w:type="dxa"/>
            <w:vAlign w:val="center"/>
          </w:tcPr>
          <w:p w:rsidR="00844161" w:rsidRDefault="003E6B3F">
            <w:pPr>
              <w:jc w:val="right"/>
            </w:pPr>
            <w:r>
              <w:rPr>
                <w:color w:val="000000"/>
                <w:sz w:val="24"/>
                <w:szCs w:val="24"/>
              </w:rPr>
              <w:t>5,049,697</w:t>
            </w:r>
          </w:p>
        </w:tc>
        <w:tc>
          <w:tcPr>
            <w:tcW w:w="1924" w:type="dxa"/>
            <w:vAlign w:val="center"/>
          </w:tcPr>
          <w:p w:rsidR="00844161" w:rsidRDefault="003E6B3F">
            <w:pPr>
              <w:jc w:val="right"/>
            </w:pPr>
            <w:r>
              <w:rPr>
                <w:color w:val="000000"/>
                <w:sz w:val="24"/>
                <w:szCs w:val="24"/>
              </w:rPr>
              <w:t>102,357,358.19</w:t>
            </w:r>
          </w:p>
        </w:tc>
        <w:tc>
          <w:tcPr>
            <w:tcW w:w="1644" w:type="dxa"/>
            <w:vAlign w:val="center"/>
          </w:tcPr>
          <w:p w:rsidR="00844161" w:rsidRDefault="003E6B3F">
            <w:pPr>
              <w:jc w:val="right"/>
            </w:pPr>
            <w:r>
              <w:rPr>
                <w:color w:val="000000"/>
                <w:sz w:val="24"/>
                <w:szCs w:val="24"/>
              </w:rPr>
              <w:t>1.75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FE53C7" w:rsidRPr="00414345" w:rsidTr="00AB4DB6">
        <w:trPr>
          <w:trHeight w:val="105"/>
          <w:jc w:val="center"/>
        </w:trPr>
        <w:tc>
          <w:tcPr>
            <w:tcW w:w="1422" w:type="dxa"/>
            <w:vAlign w:val="center"/>
          </w:tcPr>
          <w:p w:rsidR="00FE53C7" w:rsidRPr="00414345" w:rsidRDefault="00FE53C7"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FE53C7" w:rsidRPr="00414345" w:rsidRDefault="00FE53C7"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FE53C7" w:rsidRPr="00414345" w:rsidRDefault="00FE53C7"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FE53C7" w:rsidRPr="00414345" w:rsidRDefault="00FE53C7"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FE53C7" w:rsidRPr="00414345" w:rsidRDefault="00FE53C7"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FE53C7" w:rsidRPr="00414345" w:rsidRDefault="00FE53C7"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3E6B3F" w:rsidP="00C15CAC">
            <w:pPr>
              <w:pStyle w:val="Default"/>
              <w:spacing w:before="29" w:line="288" w:lineRule="auto"/>
              <w:jc w:val="right"/>
              <w:rPr>
                <w:rFonts w:ascii="Times New Roman" w:hAnsi="Times New Roman" w:cs="Times New Roman"/>
                <w:color w:val="auto"/>
              </w:rPr>
            </w:pPr>
            <w:r w:rsidRPr="00845A54">
              <w:rPr>
                <w:rFonts w:ascii="Times New Roman" w:hAnsi="Times New Roman" w:cs="Times New Roman"/>
                <w:color w:val="auto"/>
              </w:rPr>
              <w:t>6,543,300.00</w:t>
            </w:r>
            <w:bookmarkStart w:id="0" w:name="_GoBack"/>
            <w:bookmarkEnd w:id="0"/>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1,490,149.09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29,999,985.00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105,795.60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181,968.03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31,777,897.72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44161">
        <w:trPr>
          <w:jc w:val="center"/>
        </w:trPr>
        <w:tc>
          <w:tcPr>
            <w:tcW w:w="1129" w:type="dxa"/>
            <w:vAlign w:val="center"/>
          </w:tcPr>
          <w:p w:rsidR="00844161" w:rsidRDefault="003E6B3F">
            <w:pPr>
              <w:jc w:val="center"/>
            </w:pPr>
            <w:r>
              <w:rPr>
                <w:color w:val="000000"/>
                <w:sz w:val="24"/>
                <w:szCs w:val="24"/>
              </w:rPr>
              <w:t>1</w:t>
            </w:r>
          </w:p>
        </w:tc>
        <w:tc>
          <w:tcPr>
            <w:tcW w:w="1356" w:type="dxa"/>
            <w:vAlign w:val="center"/>
          </w:tcPr>
          <w:p w:rsidR="00844161" w:rsidRDefault="003E6B3F">
            <w:pPr>
              <w:jc w:val="center"/>
            </w:pPr>
            <w:r>
              <w:rPr>
                <w:color w:val="000000"/>
                <w:sz w:val="24"/>
                <w:szCs w:val="24"/>
              </w:rPr>
              <w:t>002841</w:t>
            </w:r>
          </w:p>
        </w:tc>
        <w:tc>
          <w:tcPr>
            <w:tcW w:w="1355" w:type="dxa"/>
            <w:vAlign w:val="center"/>
          </w:tcPr>
          <w:p w:rsidR="00844161" w:rsidRDefault="003E6B3F">
            <w:pPr>
              <w:jc w:val="center"/>
            </w:pPr>
            <w:r>
              <w:rPr>
                <w:color w:val="000000"/>
                <w:sz w:val="24"/>
                <w:szCs w:val="24"/>
              </w:rPr>
              <w:t>视源股份</w:t>
            </w:r>
          </w:p>
        </w:tc>
        <w:tc>
          <w:tcPr>
            <w:tcW w:w="1880" w:type="dxa"/>
            <w:vAlign w:val="center"/>
          </w:tcPr>
          <w:p w:rsidR="00844161" w:rsidRDefault="003E6B3F">
            <w:pPr>
              <w:jc w:val="right"/>
            </w:pPr>
            <w:r>
              <w:rPr>
                <w:color w:val="000000"/>
                <w:sz w:val="24"/>
                <w:szCs w:val="24"/>
              </w:rPr>
              <w:t>28,554,000.00</w:t>
            </w:r>
          </w:p>
        </w:tc>
        <w:tc>
          <w:tcPr>
            <w:tcW w:w="1724" w:type="dxa"/>
            <w:vAlign w:val="center"/>
          </w:tcPr>
          <w:p w:rsidR="00844161" w:rsidRDefault="003E6B3F">
            <w:pPr>
              <w:jc w:val="right"/>
            </w:pPr>
            <w:r>
              <w:rPr>
                <w:color w:val="000000"/>
                <w:sz w:val="24"/>
                <w:szCs w:val="24"/>
              </w:rPr>
              <w:t>0.49</w:t>
            </w:r>
          </w:p>
        </w:tc>
        <w:tc>
          <w:tcPr>
            <w:tcW w:w="1424" w:type="dxa"/>
            <w:vAlign w:val="center"/>
          </w:tcPr>
          <w:p w:rsidR="00844161" w:rsidRDefault="003E6B3F">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4,945,845,223.18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4,945,845,223.18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已于2020年8月5日在上海证券交易所上市。有关详情请查阅本基金管理人于2020年7月30日发布的《交银施罗德瑞思三年封闭运作混合型证券投资基金上市交易公告书》。</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44161" w:rsidRDefault="003E6B3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、中国证监会准予交银施罗德瑞思三年封闭运作混合型证券投资基金募集注册的文件；</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、《交银施罗德瑞思三年封闭运作混合型证券投资基金基金合同》；</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、《交银施罗德瑞思三年封闭运作混合型证券投资基金招募说明书》；</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、《交银施罗德瑞思三年封闭运作混合型证券投资基金托管协议》；</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、关于申请募集注册交银施罗德瑞思三年封闭运作混合型证券投资基金的法律意见书；</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44161" w:rsidRDefault="003E6B3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、报告期内交银施罗德瑞思三年封闭运作混合型证券投资基金在指定报刊上各项公告的原稿。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44161" w:rsidRDefault="003E6B3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3E6B3F">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3E6B3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交银施罗德瑞思三年封闭运作混合型证券投资基金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E6B3F"/>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161"/>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53C7"/>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32566-8985-43F9-8EB3-E8D6B5684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12</Pages>
  <Words>1107</Words>
  <Characters>6313</Characters>
  <Application>Microsoft Office Word</Application>
  <DocSecurity>0</DocSecurity>
  <Lines>52</Lines>
  <Paragraphs>14</Paragraphs>
  <ScaleCrop>false</ScaleCrop>
  <Company/>
  <LinksUpToDate>false</LinksUpToDate>
  <CharactersWithSpaces>7406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沈向文</cp:lastModifiedBy>
  <cp:revision>602</cp:revision>
  <dcterms:created xsi:type="dcterms:W3CDTF">2012-10-16T06:07:00Z</dcterms:created>
  <dcterms:modified xsi:type="dcterms:W3CDTF">2020-10-19T08:36:00Z</dcterms:modified>
</cp:coreProperties>
</file>