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12658D" w:rsidRPr="00324C76" w:rsidRDefault="0012658D" w:rsidP="00B04217">
      <w:pPr>
        <w:autoSpaceDE w:val="0"/>
        <w:autoSpaceDN w:val="0"/>
        <w:adjustRightInd w:val="0"/>
        <w:spacing w:before="29" w:line="288" w:lineRule="auto"/>
        <w:jc w:val="left"/>
        <w:rPr>
          <w:color w:val="000000"/>
          <w:kern w:val="0"/>
          <w:sz w:val="24"/>
        </w:rPr>
      </w:pPr>
    </w:p>
    <w:p w:rsidR="0012658D" w:rsidRPr="006C615F" w:rsidRDefault="0012658D" w:rsidP="00B04217">
      <w:pPr>
        <w:spacing w:before="29" w:line="288" w:lineRule="auto"/>
        <w:jc w:val="center"/>
        <w:rPr>
          <w:b/>
          <w:sz w:val="36"/>
          <w:szCs w:val="36"/>
        </w:rPr>
      </w:pPr>
      <w:r w:rsidRPr="006C615F">
        <w:rPr>
          <w:b/>
          <w:sz w:val="36"/>
          <w:szCs w:val="36"/>
        </w:rPr>
        <w:t>交银施罗德上证</w:t>
      </w:r>
      <w:r w:rsidRPr="006C615F">
        <w:rPr>
          <w:b/>
          <w:sz w:val="36"/>
          <w:szCs w:val="36"/>
        </w:rPr>
        <w:t>180</w:t>
      </w:r>
      <w:r w:rsidRPr="006C615F">
        <w:rPr>
          <w:b/>
          <w:sz w:val="36"/>
          <w:szCs w:val="36"/>
        </w:rPr>
        <w:t>公司治理交易型开放式指数证券投资基金联接基金</w:t>
      </w:r>
    </w:p>
    <w:p w:rsidR="0012658D" w:rsidRPr="006C615F" w:rsidRDefault="0012658D" w:rsidP="00B04217">
      <w:pPr>
        <w:spacing w:before="29" w:line="288" w:lineRule="auto"/>
        <w:jc w:val="center"/>
        <w:rPr>
          <w:b/>
          <w:sz w:val="36"/>
          <w:szCs w:val="36"/>
        </w:rPr>
      </w:pPr>
      <w:r w:rsidRPr="006C615F">
        <w:rPr>
          <w:b/>
          <w:sz w:val="36"/>
          <w:szCs w:val="36"/>
        </w:rPr>
        <w:t>2020</w:t>
      </w:r>
      <w:r w:rsidRPr="006C615F">
        <w:rPr>
          <w:b/>
          <w:sz w:val="36"/>
          <w:szCs w:val="36"/>
        </w:rPr>
        <w:t>年第</w:t>
      </w:r>
      <w:r w:rsidRPr="006C615F">
        <w:rPr>
          <w:b/>
          <w:sz w:val="36"/>
          <w:szCs w:val="36"/>
        </w:rPr>
        <w:t>3</w:t>
      </w:r>
      <w:r w:rsidRPr="006C615F">
        <w:rPr>
          <w:b/>
          <w:sz w:val="36"/>
          <w:szCs w:val="36"/>
        </w:rPr>
        <w:t>季度报告</w:t>
      </w:r>
    </w:p>
    <w:p w:rsidR="00943748" w:rsidRPr="006C615F" w:rsidRDefault="003251EE" w:rsidP="00B04217">
      <w:pPr>
        <w:spacing w:before="29" w:line="288" w:lineRule="auto"/>
        <w:jc w:val="center"/>
        <w:rPr>
          <w:b/>
          <w:sz w:val="36"/>
          <w:szCs w:val="36"/>
        </w:rPr>
      </w:pPr>
      <w:r w:rsidRPr="006C615F">
        <w:rPr>
          <w:b/>
          <w:sz w:val="36"/>
          <w:szCs w:val="36"/>
        </w:rPr>
        <w:t>2020</w:t>
      </w:r>
      <w:r w:rsidRPr="006C615F">
        <w:rPr>
          <w:b/>
          <w:sz w:val="36"/>
          <w:szCs w:val="36"/>
        </w:rPr>
        <w:t>年</w:t>
      </w:r>
      <w:r w:rsidRPr="006C615F">
        <w:rPr>
          <w:b/>
          <w:sz w:val="36"/>
          <w:szCs w:val="36"/>
        </w:rPr>
        <w:t>9</w:t>
      </w:r>
      <w:r w:rsidRPr="006C615F">
        <w:rPr>
          <w:b/>
          <w:sz w:val="36"/>
          <w:szCs w:val="36"/>
        </w:rPr>
        <w:t>月</w:t>
      </w:r>
      <w:r w:rsidRPr="006C615F">
        <w:rPr>
          <w:b/>
          <w:sz w:val="36"/>
          <w:szCs w:val="36"/>
        </w:rPr>
        <w:t>30</w:t>
      </w:r>
      <w:r w:rsidRPr="006C615F">
        <w:rPr>
          <w:b/>
          <w:sz w:val="36"/>
          <w:szCs w:val="36"/>
        </w:rPr>
        <w:t>日</w:t>
      </w: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rPr>
          <w:b/>
          <w:sz w:val="24"/>
        </w:rPr>
      </w:pP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基金管理人：</w:t>
      </w:r>
      <w:r w:rsidR="00446302" w:rsidRPr="006C615F">
        <w:rPr>
          <w:b/>
          <w:color w:val="000000"/>
          <w:sz w:val="24"/>
        </w:rPr>
        <w:t>交银施罗德基金管理有限公司</w:t>
      </w: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基金托管人：</w:t>
      </w:r>
      <w:r w:rsidR="00446302" w:rsidRPr="006C615F">
        <w:rPr>
          <w:b/>
          <w:color w:val="000000"/>
          <w:sz w:val="24"/>
        </w:rPr>
        <w:t>中国农业银行股份有限公司</w:t>
      </w:r>
    </w:p>
    <w:p w:rsidR="00943748" w:rsidRPr="006C615F" w:rsidRDefault="00943748" w:rsidP="00B04217">
      <w:pPr>
        <w:spacing w:before="29" w:line="288" w:lineRule="auto"/>
        <w:ind w:firstLineChars="900" w:firstLine="2168"/>
        <w:rPr>
          <w:b/>
          <w:color w:val="000000"/>
          <w:sz w:val="24"/>
        </w:rPr>
        <w:sectPr w:rsidR="00943748" w:rsidRPr="006C615F" w:rsidSect="00E74491">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6C615F">
        <w:rPr>
          <w:b/>
          <w:color w:val="000000"/>
          <w:sz w:val="24"/>
        </w:rPr>
        <w:t>报告送出日期：</w:t>
      </w:r>
      <w:r w:rsidR="00AB5C7D" w:rsidRPr="006C615F">
        <w:rPr>
          <w:b/>
          <w:color w:val="000000"/>
          <w:sz w:val="24"/>
        </w:rPr>
        <w:t>二〇二〇年十月二十八日</w:t>
      </w:r>
    </w:p>
    <w:p w:rsidR="00220542" w:rsidRPr="00324C76" w:rsidRDefault="00220542" w:rsidP="0048293C">
      <w:pPr>
        <w:pStyle w:val="1"/>
        <w:spacing w:beforeLines="100" w:before="312" w:afterLines="100" w:after="312" w:line="288" w:lineRule="auto"/>
        <w:jc w:val="center"/>
        <w:rPr>
          <w:b w:val="0"/>
          <w:kern w:val="0"/>
          <w:sz w:val="24"/>
          <w:szCs w:val="24"/>
        </w:rPr>
      </w:pPr>
      <w:r w:rsidRPr="00324C76">
        <w:rPr>
          <w:kern w:val="0"/>
          <w:sz w:val="24"/>
          <w:szCs w:val="24"/>
        </w:rPr>
        <w:lastRenderedPageBreak/>
        <w:t xml:space="preserve">§1  </w:t>
      </w:r>
      <w:r w:rsidRPr="00324C76">
        <w:rPr>
          <w:kern w:val="0"/>
          <w:sz w:val="24"/>
          <w:szCs w:val="24"/>
        </w:rPr>
        <w:t>重要提示</w:t>
      </w:r>
    </w:p>
    <w:p w:rsidR="0051686F" w:rsidRDefault="009E1C43">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51686F" w:rsidRDefault="009E1C43">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10</w:t>
      </w:r>
      <w:r>
        <w:rPr>
          <w:color w:val="000000"/>
          <w:sz w:val="24"/>
        </w:rPr>
        <w:t>月</w:t>
      </w:r>
      <w:r>
        <w:rPr>
          <w:color w:val="000000"/>
          <w:sz w:val="24"/>
        </w:rPr>
        <w:t>27</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51686F" w:rsidRDefault="009E1C43">
      <w:pPr>
        <w:spacing w:before="29" w:line="288" w:lineRule="auto"/>
        <w:ind w:firstLineChars="200" w:firstLine="480"/>
        <w:rPr>
          <w:color w:val="000000"/>
          <w:sz w:val="24"/>
        </w:rPr>
      </w:pPr>
      <w:r>
        <w:rPr>
          <w:color w:val="000000"/>
          <w:sz w:val="24"/>
        </w:rPr>
        <w:t>基金管理人承诺以诚实信用、勤勉尽责的原则管理和运用基金资产，但不</w:t>
      </w:r>
      <w:r>
        <w:rPr>
          <w:color w:val="000000"/>
          <w:sz w:val="24"/>
        </w:rPr>
        <w:t>保证基金一定盈利。</w:t>
      </w:r>
      <w:r>
        <w:rPr>
          <w:color w:val="000000"/>
          <w:sz w:val="24"/>
        </w:rPr>
        <w:t xml:space="preserve"> </w:t>
      </w:r>
    </w:p>
    <w:p w:rsidR="0051686F" w:rsidRDefault="009E1C43">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51686F" w:rsidRDefault="009E1C43">
      <w:pPr>
        <w:spacing w:before="29" w:line="288" w:lineRule="auto"/>
        <w:ind w:firstLineChars="200" w:firstLine="480"/>
        <w:rPr>
          <w:color w:val="000000"/>
          <w:sz w:val="24"/>
        </w:rPr>
      </w:pPr>
      <w:r>
        <w:rPr>
          <w:color w:val="000000"/>
          <w:sz w:val="24"/>
        </w:rPr>
        <w:t>本报告中财务资料未经审计。</w:t>
      </w:r>
    </w:p>
    <w:p w:rsidR="00220542" w:rsidRPr="00324C76" w:rsidRDefault="00446302" w:rsidP="00B04217">
      <w:pPr>
        <w:spacing w:before="29" w:line="288" w:lineRule="auto"/>
        <w:ind w:firstLineChars="200" w:firstLine="480"/>
        <w:rPr>
          <w:color w:val="000000"/>
          <w:sz w:val="24"/>
        </w:rPr>
      </w:pPr>
      <w:r w:rsidRPr="00324C76">
        <w:rPr>
          <w:color w:val="000000"/>
          <w:sz w:val="24"/>
        </w:rPr>
        <w:t>本报告期自</w:t>
      </w:r>
      <w:r w:rsidRPr="00324C76">
        <w:rPr>
          <w:color w:val="000000"/>
          <w:sz w:val="24"/>
        </w:rPr>
        <w:t>2020</w:t>
      </w:r>
      <w:r w:rsidRPr="00324C76">
        <w:rPr>
          <w:color w:val="000000"/>
          <w:sz w:val="24"/>
        </w:rPr>
        <w:t>年</w:t>
      </w:r>
      <w:r w:rsidRPr="00324C76">
        <w:rPr>
          <w:color w:val="000000"/>
          <w:sz w:val="24"/>
        </w:rPr>
        <w:t>7</w:t>
      </w:r>
      <w:r w:rsidRPr="00324C76">
        <w:rPr>
          <w:color w:val="000000"/>
          <w:sz w:val="24"/>
        </w:rPr>
        <w:t>月</w:t>
      </w:r>
      <w:r w:rsidRPr="00324C76">
        <w:rPr>
          <w:color w:val="000000"/>
          <w:sz w:val="24"/>
        </w:rPr>
        <w:t>1</w:t>
      </w:r>
      <w:r w:rsidRPr="00324C76">
        <w:rPr>
          <w:color w:val="000000"/>
          <w:sz w:val="24"/>
        </w:rPr>
        <w:t>日起至</w:t>
      </w:r>
      <w:r w:rsidRPr="00324C76">
        <w:rPr>
          <w:color w:val="000000"/>
          <w:sz w:val="24"/>
        </w:rPr>
        <w:t>9</w:t>
      </w:r>
      <w:r w:rsidRPr="00324C76">
        <w:rPr>
          <w:color w:val="000000"/>
          <w:sz w:val="24"/>
        </w:rPr>
        <w:t>月</w:t>
      </w:r>
      <w:r w:rsidRPr="00324C76">
        <w:rPr>
          <w:color w:val="000000"/>
          <w:sz w:val="24"/>
        </w:rPr>
        <w:t>30</w:t>
      </w:r>
      <w:r w:rsidRPr="00324C76">
        <w:rPr>
          <w:color w:val="000000"/>
          <w:sz w:val="24"/>
        </w:rPr>
        <w:t>日止。</w:t>
      </w:r>
    </w:p>
    <w:p w:rsidR="002A5D65" w:rsidRPr="00324C76" w:rsidRDefault="002A5D65" w:rsidP="00B04217">
      <w:pPr>
        <w:spacing w:before="29" w:line="288" w:lineRule="auto"/>
        <w:ind w:firstLineChars="200" w:firstLine="480"/>
        <w:rPr>
          <w:sz w:val="24"/>
        </w:rPr>
      </w:pPr>
    </w:p>
    <w:p w:rsidR="00220542" w:rsidRPr="00324C76" w:rsidRDefault="00220542" w:rsidP="0048293C">
      <w:pPr>
        <w:pStyle w:val="1"/>
        <w:spacing w:beforeLines="100" w:before="312" w:afterLines="100" w:after="312" w:line="288" w:lineRule="auto"/>
        <w:jc w:val="center"/>
        <w:rPr>
          <w:kern w:val="0"/>
          <w:sz w:val="24"/>
          <w:szCs w:val="24"/>
        </w:rPr>
      </w:pPr>
      <w:r w:rsidRPr="00324C76">
        <w:rPr>
          <w:kern w:val="0"/>
          <w:sz w:val="24"/>
          <w:szCs w:val="24"/>
        </w:rPr>
        <w:t xml:space="preserve">§2  </w:t>
      </w:r>
      <w:r w:rsidRPr="00324C76">
        <w:rPr>
          <w:kern w:val="0"/>
          <w:sz w:val="24"/>
          <w:szCs w:val="24"/>
        </w:rPr>
        <w:t>基金产品概况</w:t>
      </w:r>
    </w:p>
    <w:p w:rsidR="00B72596" w:rsidRPr="00324C76" w:rsidRDefault="00B72596" w:rsidP="00B04217">
      <w:pPr>
        <w:pStyle w:val="2"/>
        <w:keepNext w:val="0"/>
        <w:keepLines w:val="0"/>
        <w:spacing w:before="29" w:after="0" w:line="288" w:lineRule="auto"/>
        <w:rPr>
          <w:rFonts w:ascii="Times New Roman" w:hAnsi="Times New Roman" w:cs="Times New Roman"/>
          <w:szCs w:val="24"/>
        </w:rPr>
      </w:pPr>
      <w:bookmarkStart w:id="0" w:name="_Toc245193810"/>
      <w:r w:rsidRPr="00324C76">
        <w:rPr>
          <w:rFonts w:ascii="Times New Roman" w:hAnsi="Times New Roman" w:cs="Times New Roman"/>
          <w:szCs w:val="24"/>
        </w:rPr>
        <w:t>2.1</w:t>
      </w:r>
      <w:bookmarkEnd w:id="0"/>
      <w:r w:rsidR="00597E06">
        <w:rPr>
          <w:rFonts w:ascii="Times New Roman" w:hAnsi="Times New Roman" w:cs="Times New Roman"/>
          <w:szCs w:val="24"/>
        </w:rPr>
        <w:t xml:space="preserve"> </w:t>
      </w:r>
      <w:r w:rsidR="00D33822" w:rsidRPr="00324C76">
        <w:rPr>
          <w:rFonts w:ascii="Times New Roman" w:hAnsi="Times New Roman" w:cs="Times New Roman"/>
          <w:szCs w:val="24"/>
        </w:rPr>
        <w:t>基金基本情况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kern w:val="0"/>
                <w:sz w:val="24"/>
              </w:rPr>
            </w:pPr>
            <w:r w:rsidRPr="00324C76">
              <w:rPr>
                <w:kern w:val="0"/>
                <w:sz w:val="24"/>
              </w:rPr>
              <w:t>基金简称</w:t>
            </w:r>
          </w:p>
        </w:tc>
        <w:tc>
          <w:tcPr>
            <w:tcW w:w="5845" w:type="dxa"/>
            <w:gridSpan w:val="2"/>
            <w:vAlign w:val="center"/>
          </w:tcPr>
          <w:p w:rsidR="00446302" w:rsidRPr="00324C76" w:rsidRDefault="00446302" w:rsidP="00B04217">
            <w:pPr>
              <w:adjustRightInd w:val="0"/>
              <w:spacing w:before="29" w:line="288" w:lineRule="auto"/>
              <w:ind w:left="17"/>
              <w:jc w:val="left"/>
              <w:rPr>
                <w:color w:val="000000"/>
                <w:kern w:val="0"/>
                <w:sz w:val="24"/>
              </w:rPr>
            </w:pPr>
            <w:r w:rsidRPr="00324C76">
              <w:rPr>
                <w:color w:val="000000"/>
                <w:kern w:val="0"/>
                <w:sz w:val="24"/>
              </w:rPr>
              <w:t>交银上证</w:t>
            </w:r>
            <w:r w:rsidRPr="00324C76">
              <w:rPr>
                <w:color w:val="000000"/>
                <w:kern w:val="0"/>
                <w:sz w:val="24"/>
              </w:rPr>
              <w:t>180</w:t>
            </w:r>
            <w:r w:rsidRPr="00324C76">
              <w:rPr>
                <w:color w:val="000000"/>
                <w:kern w:val="0"/>
                <w:sz w:val="24"/>
              </w:rPr>
              <w:t>公司治理</w:t>
            </w:r>
            <w:r w:rsidRPr="00324C76">
              <w:rPr>
                <w:color w:val="000000"/>
                <w:kern w:val="0"/>
                <w:sz w:val="24"/>
              </w:rPr>
              <w:t>ETF</w:t>
            </w:r>
            <w:r w:rsidRPr="00324C76">
              <w:rPr>
                <w:color w:val="000000"/>
                <w:kern w:val="0"/>
                <w:sz w:val="24"/>
              </w:rPr>
              <w:t>联接</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519686</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519686</w:t>
            </w:r>
            <w:r w:rsidR="003C6409" w:rsidRPr="00324C76">
              <w:rPr>
                <w:color w:val="000000"/>
                <w:kern w:val="0"/>
                <w:sz w:val="24"/>
              </w:rPr>
              <w:t>(</w:t>
            </w:r>
            <w:r w:rsidR="00526BBC" w:rsidRPr="00324C76">
              <w:rPr>
                <w:color w:val="000000"/>
                <w:kern w:val="0"/>
                <w:sz w:val="24"/>
              </w:rPr>
              <w:t>前端</w:t>
            </w:r>
            <w:r w:rsidR="003C6409" w:rsidRPr="00324C76">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519687</w:t>
            </w:r>
            <w:r w:rsidR="003C6409" w:rsidRPr="00324C76">
              <w:rPr>
                <w:color w:val="000000"/>
                <w:kern w:val="0"/>
                <w:sz w:val="24"/>
              </w:rPr>
              <w:t>(</w:t>
            </w:r>
            <w:r w:rsidRPr="00324C76">
              <w:rPr>
                <w:color w:val="000000"/>
                <w:kern w:val="0"/>
                <w:sz w:val="24"/>
              </w:rPr>
              <w:t>后端</w:t>
            </w:r>
            <w:r w:rsidR="003C6409" w:rsidRPr="00324C76">
              <w:rPr>
                <w:color w:val="000000"/>
                <w:kern w:val="0"/>
                <w:sz w:val="24"/>
              </w:rPr>
              <w:t>)</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基金运作方式</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契约型开放式</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基金合同生效日</w:t>
            </w:r>
          </w:p>
        </w:tc>
        <w:tc>
          <w:tcPr>
            <w:tcW w:w="5845" w:type="dxa"/>
            <w:gridSpan w:val="2"/>
            <w:vAlign w:val="center"/>
          </w:tcPr>
          <w:p w:rsidR="00446302" w:rsidRPr="00324C76" w:rsidRDefault="00C26024" w:rsidP="00B04217">
            <w:pPr>
              <w:adjustRightInd w:val="0"/>
              <w:spacing w:before="29" w:line="288" w:lineRule="auto"/>
              <w:ind w:left="17"/>
              <w:jc w:val="left"/>
              <w:rPr>
                <w:color w:val="000000"/>
                <w:sz w:val="24"/>
              </w:rPr>
            </w:pPr>
            <w:r w:rsidRPr="00324C76">
              <w:rPr>
                <w:color w:val="000000"/>
                <w:kern w:val="0"/>
                <w:sz w:val="24"/>
              </w:rPr>
              <w:t>2009</w:t>
            </w:r>
            <w:r w:rsidRPr="00324C76">
              <w:rPr>
                <w:color w:val="000000"/>
                <w:kern w:val="0"/>
                <w:sz w:val="24"/>
              </w:rPr>
              <w:t>年</w:t>
            </w:r>
            <w:r w:rsidRPr="00324C76">
              <w:rPr>
                <w:color w:val="000000"/>
                <w:kern w:val="0"/>
                <w:sz w:val="24"/>
              </w:rPr>
              <w:t>9</w:t>
            </w:r>
            <w:r w:rsidRPr="00324C76">
              <w:rPr>
                <w:color w:val="000000"/>
                <w:kern w:val="0"/>
                <w:sz w:val="24"/>
              </w:rPr>
              <w:t>月</w:t>
            </w:r>
            <w:r w:rsidRPr="00324C76">
              <w:rPr>
                <w:color w:val="000000"/>
                <w:kern w:val="0"/>
                <w:sz w:val="24"/>
              </w:rPr>
              <w:t>29</w:t>
            </w:r>
            <w:r w:rsidRPr="00324C76">
              <w:rPr>
                <w:color w:val="000000"/>
                <w:kern w:val="0"/>
                <w:sz w:val="24"/>
              </w:rPr>
              <w:t>日</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报告期末基金份额总额</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210,969,863.78</w:t>
            </w:r>
            <w:r w:rsidR="0083349B" w:rsidRPr="00324C76">
              <w:rPr>
                <w:color w:val="000000"/>
                <w:kern w:val="0"/>
                <w:sz w:val="24"/>
              </w:rPr>
              <w:t>份</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投资目标</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紧密跟踪标的指数，追求跟踪偏离度与跟踪误差最小化。</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投资策略</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本基金通过把全部或接近全部的基金资产投资于目标</w:t>
            </w:r>
            <w:r w:rsidRPr="00324C76">
              <w:rPr>
                <w:color w:val="000000"/>
                <w:kern w:val="0"/>
                <w:sz w:val="24"/>
              </w:rPr>
              <w:t>ETF</w:t>
            </w:r>
            <w:r w:rsidRPr="00324C76">
              <w:rPr>
                <w:color w:val="000000"/>
                <w:kern w:val="0"/>
                <w:sz w:val="24"/>
              </w:rPr>
              <w:t>、标的指数成份股和备选成份股进行被动式指数化投资，正常情况下投资于目标</w:t>
            </w:r>
            <w:r w:rsidRPr="00324C76">
              <w:rPr>
                <w:color w:val="000000"/>
                <w:kern w:val="0"/>
                <w:sz w:val="24"/>
              </w:rPr>
              <w:t>ETF</w:t>
            </w:r>
            <w:r w:rsidRPr="00324C76">
              <w:rPr>
                <w:color w:val="000000"/>
                <w:kern w:val="0"/>
                <w:sz w:val="24"/>
              </w:rPr>
              <w:t>的比例不低于基金资产净值的</w:t>
            </w:r>
            <w:r w:rsidRPr="00324C76">
              <w:rPr>
                <w:color w:val="000000"/>
                <w:kern w:val="0"/>
                <w:sz w:val="24"/>
              </w:rPr>
              <w:t>90%</w:t>
            </w:r>
            <w:r w:rsidRPr="00324C76">
              <w:rPr>
                <w:color w:val="000000"/>
                <w:kern w:val="0"/>
                <w:sz w:val="24"/>
              </w:rPr>
              <w:t>。</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业绩比较基准</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上证</w:t>
            </w:r>
            <w:r w:rsidRPr="00324C76">
              <w:rPr>
                <w:color w:val="000000"/>
                <w:kern w:val="0"/>
                <w:sz w:val="24"/>
              </w:rPr>
              <w:t>180</w:t>
            </w:r>
            <w:r w:rsidRPr="00324C76">
              <w:rPr>
                <w:color w:val="000000"/>
                <w:kern w:val="0"/>
                <w:sz w:val="24"/>
              </w:rPr>
              <w:t>公司治理指数</w:t>
            </w:r>
            <w:r w:rsidRPr="00324C76">
              <w:rPr>
                <w:color w:val="000000"/>
                <w:kern w:val="0"/>
                <w:sz w:val="24"/>
              </w:rPr>
              <w:t>×95%</w:t>
            </w:r>
            <w:r w:rsidRPr="00324C76">
              <w:rPr>
                <w:color w:val="000000"/>
                <w:kern w:val="0"/>
                <w:sz w:val="24"/>
              </w:rPr>
              <w:t>＋银行活期存款税后收益率</w:t>
            </w:r>
            <w:r w:rsidRPr="00324C76">
              <w:rPr>
                <w:color w:val="000000"/>
                <w:kern w:val="0"/>
                <w:sz w:val="24"/>
              </w:rPr>
              <w:t>×5%</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风险收益特征</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本基金属</w:t>
            </w:r>
            <w:r w:rsidRPr="00324C76">
              <w:rPr>
                <w:color w:val="000000"/>
                <w:kern w:val="0"/>
                <w:sz w:val="24"/>
              </w:rPr>
              <w:t>ETF</w:t>
            </w:r>
            <w:r w:rsidRPr="00324C76">
              <w:rPr>
                <w:color w:val="000000"/>
                <w:kern w:val="0"/>
                <w:sz w:val="24"/>
              </w:rPr>
              <w:t>联接基金，风险与收益高于混合基金、债券基金与货币市场基金。本基金为指数型基金，紧密跟踪标的指数，具有和标的指数所代表的股票市场</w:t>
            </w:r>
            <w:r w:rsidRPr="00324C76">
              <w:rPr>
                <w:color w:val="000000"/>
                <w:kern w:val="0"/>
                <w:sz w:val="24"/>
              </w:rPr>
              <w:lastRenderedPageBreak/>
              <w:t>相似的风险收益特征，属于证券投资基金中风险较高、收益较高的品种。</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lastRenderedPageBreak/>
              <w:t>基金管理人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交银施罗德基金管理有限公司</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基金托管人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中国农业银行股份有限公司</w:t>
            </w:r>
          </w:p>
        </w:tc>
      </w:tr>
    </w:tbl>
    <w:p w:rsidR="00D6057D" w:rsidRPr="00324C76" w:rsidRDefault="00D6057D" w:rsidP="00B04217">
      <w:pPr>
        <w:autoSpaceDE w:val="0"/>
        <w:autoSpaceDN w:val="0"/>
        <w:adjustRightInd w:val="0"/>
        <w:spacing w:before="29" w:line="288" w:lineRule="auto"/>
        <w:jc w:val="left"/>
        <w:rPr>
          <w:kern w:val="0"/>
          <w:sz w:val="24"/>
        </w:rPr>
      </w:pPr>
    </w:p>
    <w:p w:rsidR="00B72596" w:rsidRPr="00324C76" w:rsidRDefault="00B72596" w:rsidP="00B04217">
      <w:pPr>
        <w:pStyle w:val="2"/>
        <w:keepNext w:val="0"/>
        <w:keepLines w:val="0"/>
        <w:spacing w:before="29" w:after="0" w:line="288" w:lineRule="auto"/>
        <w:rPr>
          <w:rFonts w:ascii="Times New Roman" w:hAnsi="Times New Roman" w:cs="Times New Roman"/>
          <w:szCs w:val="24"/>
        </w:rPr>
      </w:pPr>
      <w:r w:rsidRPr="00324C76">
        <w:rPr>
          <w:rFonts w:ascii="Times New Roman" w:hAnsi="Times New Roman" w:cs="Times New Roman"/>
          <w:szCs w:val="24"/>
        </w:rPr>
        <w:t>2.1.1</w:t>
      </w:r>
      <w:r w:rsidR="00597E06">
        <w:rPr>
          <w:rFonts w:ascii="Times New Roman" w:hAnsi="Times New Roman" w:cs="Times New Roman"/>
          <w:szCs w:val="24"/>
        </w:rPr>
        <w:t xml:space="preserve"> </w:t>
      </w:r>
      <w:r w:rsidRPr="00324C76">
        <w:rPr>
          <w:rFonts w:ascii="Times New Roman" w:hAnsi="Times New Roman" w:cs="Times New Roman"/>
          <w:szCs w:val="24"/>
        </w:rPr>
        <w:t>目标</w:t>
      </w:r>
      <w:r w:rsidR="00D6057D" w:rsidRPr="00324C76">
        <w:rPr>
          <w:rFonts w:ascii="Times New Roman" w:hAnsi="Times New Roman" w:cs="Times New Roman"/>
          <w:szCs w:val="24"/>
        </w:rPr>
        <w:t>基金</w:t>
      </w:r>
      <w:r w:rsidR="00156E40" w:rsidRPr="00324C76">
        <w:rPr>
          <w:rFonts w:ascii="Times New Roman" w:hAnsi="Times New Roman" w:cs="Times New Roman"/>
          <w:szCs w:val="24"/>
        </w:rPr>
        <w:t>基本情况</w:t>
      </w:r>
    </w:p>
    <w:tbl>
      <w:tblPr>
        <w:tblW w:w="8868" w:type="dxa"/>
        <w:jc w:val="center"/>
        <w:tblLayout w:type="fixed"/>
        <w:tblLook w:val="0000" w:firstRow="0" w:lastRow="0" w:firstColumn="0" w:lastColumn="0" w:noHBand="0" w:noVBand="0"/>
      </w:tblPr>
      <w:tblGrid>
        <w:gridCol w:w="2855"/>
        <w:gridCol w:w="6013"/>
      </w:tblGrid>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上证</w:t>
            </w:r>
            <w:r w:rsidRPr="00324C76">
              <w:rPr>
                <w:sz w:val="24"/>
              </w:rPr>
              <w:t>180</w:t>
            </w:r>
            <w:r w:rsidRPr="00324C76">
              <w:rPr>
                <w:sz w:val="24"/>
              </w:rPr>
              <w:t>公司治理交易型开放式指数证券投资基金</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510010</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交易型开放式</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2009</w:t>
            </w:r>
            <w:r w:rsidRPr="00324C76">
              <w:rPr>
                <w:sz w:val="24"/>
              </w:rPr>
              <w:t>年</w:t>
            </w:r>
            <w:r w:rsidRPr="00324C76">
              <w:rPr>
                <w:sz w:val="24"/>
              </w:rPr>
              <w:t>9</w:t>
            </w:r>
            <w:r w:rsidRPr="00324C76">
              <w:rPr>
                <w:sz w:val="24"/>
              </w:rPr>
              <w:t>月</w:t>
            </w:r>
            <w:r w:rsidRPr="00324C76">
              <w:rPr>
                <w:sz w:val="24"/>
              </w:rPr>
              <w:t>25</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上海证券交易所</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2009</w:t>
            </w:r>
            <w:r w:rsidRPr="00324C76">
              <w:rPr>
                <w:sz w:val="24"/>
              </w:rPr>
              <w:t>年</w:t>
            </w:r>
            <w:r w:rsidRPr="00324C76">
              <w:rPr>
                <w:sz w:val="24"/>
              </w:rPr>
              <w:t>12</w:t>
            </w:r>
            <w:r w:rsidRPr="00324C76">
              <w:rPr>
                <w:sz w:val="24"/>
              </w:rPr>
              <w:t>月</w:t>
            </w:r>
            <w:r w:rsidRPr="00324C76">
              <w:rPr>
                <w:sz w:val="24"/>
              </w:rPr>
              <w:t>15</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交银施罗德基金管理有限公司</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中国农业银行股份有限公司</w:t>
            </w:r>
          </w:p>
        </w:tc>
      </w:tr>
    </w:tbl>
    <w:p w:rsidR="00220542" w:rsidRPr="00324C76" w:rsidRDefault="0090000A" w:rsidP="00B04217">
      <w:pPr>
        <w:autoSpaceDE w:val="0"/>
        <w:autoSpaceDN w:val="0"/>
        <w:adjustRightInd w:val="0"/>
        <w:spacing w:before="29" w:line="288" w:lineRule="auto"/>
        <w:jc w:val="left"/>
        <w:rPr>
          <w:color w:val="000000"/>
          <w:sz w:val="24"/>
        </w:rPr>
      </w:pPr>
      <w:r w:rsidRPr="00324C76">
        <w:rPr>
          <w:color w:val="000000"/>
          <w:sz w:val="24"/>
        </w:rPr>
        <w:t>注：本表所列的基金主代码</w:t>
      </w:r>
      <w:r w:rsidRPr="00324C76">
        <w:rPr>
          <w:color w:val="000000"/>
          <w:sz w:val="24"/>
        </w:rPr>
        <w:t>510010</w:t>
      </w:r>
      <w:r w:rsidRPr="00324C76">
        <w:rPr>
          <w:color w:val="000000"/>
          <w:sz w:val="24"/>
        </w:rPr>
        <w:t>为目标基金的二级市场交易代码，目标基金的一级市场申购赎回代码为</w:t>
      </w:r>
      <w:r w:rsidRPr="00324C76">
        <w:rPr>
          <w:color w:val="000000"/>
          <w:sz w:val="24"/>
        </w:rPr>
        <w:t>510011</w:t>
      </w:r>
      <w:r w:rsidRPr="00324C76">
        <w:rPr>
          <w:color w:val="000000"/>
          <w:sz w:val="24"/>
        </w:rPr>
        <w:t>。</w:t>
      </w:r>
    </w:p>
    <w:p w:rsidR="006B4B1E" w:rsidRPr="00324C76" w:rsidRDefault="006B4B1E" w:rsidP="00B04217">
      <w:pPr>
        <w:autoSpaceDE w:val="0"/>
        <w:autoSpaceDN w:val="0"/>
        <w:adjustRightInd w:val="0"/>
        <w:spacing w:before="29" w:line="288" w:lineRule="auto"/>
        <w:jc w:val="left"/>
        <w:rPr>
          <w:color w:val="000000"/>
          <w:sz w:val="24"/>
        </w:rPr>
      </w:pPr>
    </w:p>
    <w:p w:rsidR="00156E40" w:rsidRPr="00324C76" w:rsidRDefault="00156E40" w:rsidP="00B04217">
      <w:pPr>
        <w:pStyle w:val="2"/>
        <w:keepNext w:val="0"/>
        <w:keepLines w:val="0"/>
        <w:spacing w:before="29" w:after="0" w:line="288" w:lineRule="auto"/>
        <w:rPr>
          <w:rFonts w:ascii="Times New Roman" w:hAnsi="Times New Roman" w:cs="Times New Roman"/>
          <w:szCs w:val="24"/>
        </w:rPr>
      </w:pPr>
      <w:smartTag w:uri="urn:schemas-microsoft-com:office:smarttags" w:element="chsdate">
        <w:smartTagPr>
          <w:attr w:name="Year" w:val="1899"/>
          <w:attr w:name="Month" w:val="12"/>
          <w:attr w:name="Day" w:val="30"/>
          <w:attr w:name="IsLunarDate" w:val="False"/>
          <w:attr w:name="IsROCDate" w:val="False"/>
        </w:smartTagPr>
        <w:r w:rsidRPr="00324C76">
          <w:rPr>
            <w:rFonts w:ascii="Times New Roman" w:hAnsi="Times New Roman" w:cs="Times New Roman"/>
            <w:szCs w:val="24"/>
          </w:rPr>
          <w:t>2.1.2</w:t>
        </w:r>
        <w:r w:rsidR="00597E06">
          <w:rPr>
            <w:rFonts w:ascii="Times New Roman" w:hAnsi="Times New Roman" w:cs="Times New Roman"/>
            <w:szCs w:val="24"/>
          </w:rPr>
          <w:t xml:space="preserve"> </w:t>
        </w:r>
      </w:smartTag>
      <w:r w:rsidR="00B51C7C" w:rsidRPr="00324C76">
        <w:rPr>
          <w:rFonts w:ascii="Times New Roman" w:hAnsi="Times New Roman" w:cs="Times New Roman"/>
          <w:szCs w:val="24"/>
        </w:rPr>
        <w:t>目标基金产品说明</w:t>
      </w:r>
    </w:p>
    <w:tbl>
      <w:tblPr>
        <w:tblW w:w="8868" w:type="dxa"/>
        <w:jc w:val="center"/>
        <w:tblLook w:val="0000" w:firstRow="0" w:lastRow="0" w:firstColumn="0" w:lastColumn="0" w:noHBand="0" w:noVBand="0"/>
      </w:tblPr>
      <w:tblGrid>
        <w:gridCol w:w="2956"/>
        <w:gridCol w:w="5912"/>
      </w:tblGrid>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紧密跟踪标的指数，追求跟踪偏离度与跟踪误差最小化。</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本基金采用完全复制法，跟踪上证</w:t>
            </w:r>
            <w:r w:rsidRPr="00324C76">
              <w:rPr>
                <w:sz w:val="24"/>
              </w:rPr>
              <w:t>180</w:t>
            </w:r>
            <w:r w:rsidRPr="00324C76">
              <w:rPr>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上证</w:t>
            </w:r>
            <w:r w:rsidRPr="00324C76">
              <w:rPr>
                <w:sz w:val="24"/>
              </w:rPr>
              <w:t>180</w:t>
            </w:r>
            <w:r w:rsidRPr="00324C76">
              <w:rPr>
                <w:sz w:val="24"/>
              </w:rPr>
              <w:t>公司治理指数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2A5D65" w:rsidRPr="00324C76" w:rsidRDefault="002A5D65" w:rsidP="00B04217">
      <w:pPr>
        <w:autoSpaceDE w:val="0"/>
        <w:autoSpaceDN w:val="0"/>
        <w:adjustRightInd w:val="0"/>
        <w:spacing w:before="29" w:line="288" w:lineRule="auto"/>
        <w:jc w:val="left"/>
        <w:rPr>
          <w:color w:val="000000"/>
          <w:sz w:val="24"/>
        </w:rPr>
      </w:pPr>
    </w:p>
    <w:p w:rsidR="00220542" w:rsidRPr="00324C76" w:rsidRDefault="00220542" w:rsidP="0048293C">
      <w:pPr>
        <w:pStyle w:val="1"/>
        <w:spacing w:beforeLines="100" w:before="312" w:afterLines="100" w:after="312" w:line="288" w:lineRule="auto"/>
        <w:jc w:val="center"/>
        <w:rPr>
          <w:kern w:val="0"/>
          <w:sz w:val="24"/>
          <w:szCs w:val="24"/>
        </w:rPr>
      </w:pPr>
      <w:r w:rsidRPr="00324C76">
        <w:rPr>
          <w:kern w:val="0"/>
          <w:sz w:val="24"/>
          <w:szCs w:val="24"/>
        </w:rPr>
        <w:t xml:space="preserve">§3  </w:t>
      </w:r>
      <w:r w:rsidRPr="00324C76">
        <w:rPr>
          <w:kern w:val="0"/>
          <w:sz w:val="24"/>
          <w:szCs w:val="24"/>
        </w:rPr>
        <w:t>主要财务指标和基金净值表现</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3.1 </w:t>
      </w:r>
      <w:r w:rsidRPr="00324C76">
        <w:rPr>
          <w:b/>
          <w:kern w:val="0"/>
          <w:sz w:val="24"/>
        </w:rPr>
        <w:t>主要财务指标</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7"/>
        <w:gridCol w:w="5261"/>
      </w:tblGrid>
      <w:tr w:rsidR="009E1C43" w:rsidRPr="00324C76" w:rsidTr="009E1C43">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center"/>
              <w:rPr>
                <w:kern w:val="0"/>
                <w:sz w:val="24"/>
              </w:rPr>
            </w:pPr>
            <w:r w:rsidRPr="00324C76">
              <w:rPr>
                <w:kern w:val="0"/>
                <w:sz w:val="24"/>
              </w:rPr>
              <w:t>主要财务指标</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BC3740" w:rsidP="00B04217">
            <w:pPr>
              <w:adjustRightInd w:val="0"/>
              <w:spacing w:before="29" w:line="288" w:lineRule="auto"/>
              <w:ind w:left="17"/>
              <w:jc w:val="center"/>
              <w:rPr>
                <w:color w:val="000000"/>
                <w:sz w:val="24"/>
              </w:rPr>
            </w:pPr>
            <w:r w:rsidRPr="00324C76">
              <w:rPr>
                <w:color w:val="000000"/>
                <w:sz w:val="24"/>
              </w:rPr>
              <w:t>报告期</w:t>
            </w:r>
            <w:r w:rsidR="00F53C6A" w:rsidRPr="00324C76">
              <w:rPr>
                <w:color w:val="000000"/>
                <w:kern w:val="0"/>
                <w:sz w:val="24"/>
              </w:rPr>
              <w:t>(</w:t>
            </w:r>
            <w:r w:rsidRPr="00324C76">
              <w:rPr>
                <w:color w:val="000000"/>
                <w:sz w:val="24"/>
              </w:rPr>
              <w:t>2020</w:t>
            </w:r>
            <w:r w:rsidRPr="00324C76">
              <w:rPr>
                <w:color w:val="000000"/>
                <w:sz w:val="24"/>
              </w:rPr>
              <w:t>年</w:t>
            </w:r>
            <w:r w:rsidRPr="00324C76">
              <w:rPr>
                <w:color w:val="000000"/>
                <w:sz w:val="24"/>
              </w:rPr>
              <w:t>7</w:t>
            </w:r>
            <w:r w:rsidRPr="00324C76">
              <w:rPr>
                <w:color w:val="000000"/>
                <w:sz w:val="24"/>
              </w:rPr>
              <w:t>月</w:t>
            </w:r>
            <w:r w:rsidRPr="00324C76">
              <w:rPr>
                <w:color w:val="000000"/>
                <w:sz w:val="24"/>
              </w:rPr>
              <w:t>1</w:t>
            </w:r>
            <w:r w:rsidRPr="00324C76">
              <w:rPr>
                <w:color w:val="000000"/>
                <w:sz w:val="24"/>
              </w:rPr>
              <w:t>日</w:t>
            </w:r>
            <w:r w:rsidRPr="00324C76">
              <w:rPr>
                <w:color w:val="000000"/>
                <w:sz w:val="24"/>
              </w:rPr>
              <w:t>-2020</w:t>
            </w:r>
            <w:r w:rsidRPr="00324C76">
              <w:rPr>
                <w:color w:val="000000"/>
                <w:sz w:val="24"/>
              </w:rPr>
              <w:t>年</w:t>
            </w:r>
            <w:r w:rsidRPr="00324C76">
              <w:rPr>
                <w:color w:val="000000"/>
                <w:sz w:val="24"/>
              </w:rPr>
              <w:t>9</w:t>
            </w:r>
            <w:r w:rsidRPr="00324C76">
              <w:rPr>
                <w:color w:val="000000"/>
                <w:sz w:val="24"/>
              </w:rPr>
              <w:t>月</w:t>
            </w:r>
            <w:r w:rsidRPr="00324C76">
              <w:rPr>
                <w:color w:val="000000"/>
                <w:sz w:val="24"/>
              </w:rPr>
              <w:t>30</w:t>
            </w:r>
            <w:r w:rsidRPr="00324C76">
              <w:rPr>
                <w:color w:val="000000"/>
                <w:sz w:val="24"/>
              </w:rPr>
              <w:t>日</w:t>
            </w:r>
            <w:r w:rsidR="00F53C6A" w:rsidRPr="00324C76">
              <w:rPr>
                <w:color w:val="000000"/>
                <w:kern w:val="0"/>
                <w:sz w:val="24"/>
              </w:rPr>
              <w:t>)</w:t>
            </w:r>
          </w:p>
        </w:tc>
      </w:tr>
      <w:tr w:rsidR="009E1C43" w:rsidRPr="00324C76" w:rsidTr="009E1C43">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1.</w:t>
            </w:r>
            <w:r w:rsidRPr="00324C76">
              <w:rPr>
                <w:kern w:val="0"/>
                <w:sz w:val="24"/>
              </w:rPr>
              <w:t>本期已实现收益</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10,334,840.04</w:t>
            </w:r>
          </w:p>
        </w:tc>
      </w:tr>
      <w:tr w:rsidR="009E1C43" w:rsidRPr="00324C76" w:rsidTr="009E1C43">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2.</w:t>
            </w:r>
            <w:r w:rsidRPr="00324C76">
              <w:rPr>
                <w:kern w:val="0"/>
                <w:sz w:val="24"/>
              </w:rPr>
              <w:t>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44,195,161.72</w:t>
            </w:r>
          </w:p>
        </w:tc>
      </w:tr>
      <w:tr w:rsidR="009E1C43" w:rsidRPr="00324C76" w:rsidTr="009E1C43">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3.</w:t>
            </w:r>
            <w:r w:rsidRPr="00324C76">
              <w:rPr>
                <w:kern w:val="0"/>
                <w:sz w:val="24"/>
              </w:rPr>
              <w:t>加权平均基金份额本期利润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0.2044</w:t>
            </w:r>
          </w:p>
        </w:tc>
      </w:tr>
      <w:tr w:rsidR="009E1C43" w:rsidRPr="00324C76" w:rsidTr="009E1C43">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4.</w:t>
            </w:r>
            <w:r w:rsidRPr="00324C76">
              <w:rPr>
                <w:kern w:val="0"/>
                <w:sz w:val="24"/>
              </w:rPr>
              <w:t>期末基金资产净值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309,834,011.71</w:t>
            </w:r>
          </w:p>
        </w:tc>
      </w:tr>
      <w:tr w:rsidR="009E1C43" w:rsidRPr="00324C76" w:rsidTr="009E1C43">
        <w:trPr>
          <w:trHeight w:val="158"/>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5.</w:t>
            </w:r>
            <w:r w:rsidRPr="00324C76">
              <w:rPr>
                <w:kern w:val="0"/>
                <w:sz w:val="24"/>
              </w:rPr>
              <w:t>期末基金份额净值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1.469</w:t>
            </w:r>
          </w:p>
        </w:tc>
      </w:tr>
    </w:tbl>
    <w:p w:rsidR="0051686F" w:rsidRDefault="009E1C43">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E27AF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t xml:space="preserve">    2</w:t>
      </w:r>
      <w:r w:rsidRPr="00324C76">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3.2 </w:t>
      </w:r>
      <w:r w:rsidRPr="00324C76">
        <w:rPr>
          <w:b/>
          <w:kern w:val="0"/>
          <w:sz w:val="24"/>
        </w:rPr>
        <w:t>基金净值表现</w:t>
      </w:r>
    </w:p>
    <w:p w:rsidR="00220542" w:rsidRPr="00324C76" w:rsidRDefault="00220542" w:rsidP="00B04217">
      <w:pPr>
        <w:autoSpaceDE w:val="0"/>
        <w:autoSpaceDN w:val="0"/>
        <w:adjustRightInd w:val="0"/>
        <w:spacing w:before="29" w:line="288" w:lineRule="auto"/>
        <w:jc w:val="left"/>
        <w:rPr>
          <w:b/>
          <w:kern w:val="0"/>
          <w:sz w:val="24"/>
        </w:rPr>
      </w:pPr>
      <w:smartTag w:uri="urn:schemas-microsoft-com:office:smarttags" w:element="chsdate">
        <w:smartTagPr>
          <w:attr w:name="Year" w:val="1899"/>
          <w:attr w:name="Month" w:val="12"/>
          <w:attr w:name="Day" w:val="30"/>
          <w:attr w:name="IsLunarDate" w:val="False"/>
          <w:attr w:name="IsROCDate" w:val="False"/>
        </w:smartTagPr>
        <w:r w:rsidRPr="00324C76">
          <w:rPr>
            <w:b/>
            <w:kern w:val="0"/>
            <w:sz w:val="24"/>
          </w:rPr>
          <w:t>3.2.1</w:t>
        </w:r>
      </w:smartTag>
      <w:r w:rsidRPr="00324C76">
        <w:rPr>
          <w:b/>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E27AF2" w:rsidRPr="00324C76" w:rsidTr="00896BE4">
        <w:trPr>
          <w:jc w:val="center"/>
        </w:trPr>
        <w:tc>
          <w:tcPr>
            <w:tcW w:w="1395"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阶段</w:t>
            </w:r>
          </w:p>
        </w:tc>
        <w:tc>
          <w:tcPr>
            <w:tcW w:w="1092"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w:t>
            </w:r>
            <w:r w:rsidRPr="00324C76">
              <w:rPr>
                <w:rFonts w:hAnsi="宋体"/>
                <w:color w:val="000000"/>
                <w:sz w:val="24"/>
              </w:rPr>
              <w:t>①</w:t>
            </w:r>
          </w:p>
        </w:tc>
        <w:tc>
          <w:tcPr>
            <w:tcW w:w="116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净值增长率标准差</w:t>
            </w:r>
            <w:r w:rsidRPr="00324C76">
              <w:rPr>
                <w:rFonts w:hAnsi="宋体"/>
                <w:color w:val="000000"/>
                <w:sz w:val="24"/>
              </w:rPr>
              <w:t>②</w:t>
            </w:r>
          </w:p>
        </w:tc>
        <w:tc>
          <w:tcPr>
            <w:tcW w:w="118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w:t>
            </w:r>
            <w:r w:rsidRPr="00324C76">
              <w:rPr>
                <w:rFonts w:hAnsi="宋体"/>
                <w:color w:val="000000"/>
                <w:sz w:val="24"/>
              </w:rPr>
              <w:t>③</w:t>
            </w:r>
          </w:p>
        </w:tc>
        <w:tc>
          <w:tcPr>
            <w:tcW w:w="1188"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业绩比较基准收益率标准差</w:t>
            </w:r>
            <w:r w:rsidRPr="00324C76">
              <w:rPr>
                <w:rFonts w:hAnsi="宋体"/>
                <w:color w:val="000000"/>
                <w:sz w:val="24"/>
              </w:rPr>
              <w:t>④</w:t>
            </w:r>
          </w:p>
        </w:tc>
        <w:tc>
          <w:tcPr>
            <w:tcW w:w="1199"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①</w:t>
            </w:r>
            <w:r w:rsidRPr="00324C76">
              <w:rPr>
                <w:color w:val="000000"/>
                <w:sz w:val="24"/>
              </w:rPr>
              <w:t>-</w:t>
            </w:r>
            <w:r w:rsidRPr="00324C76">
              <w:rPr>
                <w:rFonts w:hAnsi="宋体"/>
                <w:color w:val="000000"/>
                <w:sz w:val="24"/>
              </w:rPr>
              <w:t>③</w:t>
            </w:r>
          </w:p>
        </w:tc>
        <w:tc>
          <w:tcPr>
            <w:tcW w:w="1204"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②</w:t>
            </w:r>
            <w:r w:rsidRPr="00324C76">
              <w:rPr>
                <w:color w:val="000000"/>
                <w:sz w:val="24"/>
              </w:rPr>
              <w:t>-</w:t>
            </w:r>
            <w:r w:rsidRPr="00324C76">
              <w:rPr>
                <w:rFonts w:hAnsi="宋体"/>
                <w:color w:val="000000"/>
                <w:sz w:val="24"/>
              </w:rPr>
              <w:t>④</w:t>
            </w:r>
          </w:p>
        </w:tc>
      </w:tr>
      <w:tr w:rsidR="0051686F">
        <w:trPr>
          <w:jc w:val="center"/>
        </w:trPr>
        <w:tc>
          <w:tcPr>
            <w:tcW w:w="1469" w:type="dxa"/>
            <w:vAlign w:val="center"/>
          </w:tcPr>
          <w:p w:rsidR="0051686F" w:rsidRDefault="009E1C43">
            <w:pPr>
              <w:jc w:val="left"/>
            </w:pPr>
            <w:r>
              <w:rPr>
                <w:color w:val="000000"/>
                <w:sz w:val="24"/>
              </w:rPr>
              <w:t>过去三个月</w:t>
            </w:r>
          </w:p>
        </w:tc>
        <w:tc>
          <w:tcPr>
            <w:tcW w:w="1150" w:type="dxa"/>
            <w:vAlign w:val="center"/>
          </w:tcPr>
          <w:p w:rsidR="0051686F" w:rsidRDefault="009E1C43">
            <w:pPr>
              <w:jc w:val="center"/>
            </w:pPr>
            <w:r>
              <w:rPr>
                <w:color w:val="000000"/>
                <w:sz w:val="24"/>
              </w:rPr>
              <w:t>15.40%</w:t>
            </w:r>
          </w:p>
        </w:tc>
        <w:tc>
          <w:tcPr>
            <w:tcW w:w="1223" w:type="dxa"/>
            <w:vAlign w:val="center"/>
          </w:tcPr>
          <w:p w:rsidR="0051686F" w:rsidRDefault="009E1C43">
            <w:pPr>
              <w:jc w:val="center"/>
            </w:pPr>
            <w:r>
              <w:rPr>
                <w:color w:val="000000"/>
                <w:sz w:val="24"/>
              </w:rPr>
              <w:t>1.47%</w:t>
            </w:r>
          </w:p>
        </w:tc>
        <w:tc>
          <w:tcPr>
            <w:tcW w:w="1244" w:type="dxa"/>
            <w:vAlign w:val="center"/>
          </w:tcPr>
          <w:p w:rsidR="0051686F" w:rsidRDefault="009E1C43">
            <w:pPr>
              <w:jc w:val="center"/>
            </w:pPr>
            <w:r>
              <w:rPr>
                <w:color w:val="000000"/>
                <w:sz w:val="24"/>
              </w:rPr>
              <w:t>8.31%</w:t>
            </w:r>
          </w:p>
        </w:tc>
        <w:tc>
          <w:tcPr>
            <w:tcW w:w="1251" w:type="dxa"/>
            <w:vAlign w:val="center"/>
          </w:tcPr>
          <w:p w:rsidR="0051686F" w:rsidRDefault="009E1C43">
            <w:pPr>
              <w:jc w:val="center"/>
            </w:pPr>
            <w:r>
              <w:rPr>
                <w:color w:val="000000"/>
                <w:sz w:val="24"/>
              </w:rPr>
              <w:t>1.53%</w:t>
            </w:r>
          </w:p>
        </w:tc>
        <w:tc>
          <w:tcPr>
            <w:tcW w:w="1263" w:type="dxa"/>
            <w:vAlign w:val="center"/>
          </w:tcPr>
          <w:p w:rsidR="0051686F" w:rsidRDefault="009E1C43">
            <w:pPr>
              <w:jc w:val="center"/>
            </w:pPr>
            <w:r>
              <w:rPr>
                <w:color w:val="000000"/>
                <w:sz w:val="24"/>
              </w:rPr>
              <w:t>7.09%</w:t>
            </w:r>
          </w:p>
        </w:tc>
        <w:tc>
          <w:tcPr>
            <w:tcW w:w="1268" w:type="dxa"/>
            <w:vAlign w:val="center"/>
          </w:tcPr>
          <w:p w:rsidR="0051686F" w:rsidRDefault="009E1C43">
            <w:pPr>
              <w:jc w:val="center"/>
            </w:pPr>
            <w:r>
              <w:rPr>
                <w:color w:val="000000"/>
                <w:sz w:val="24"/>
              </w:rPr>
              <w:t>-0.06%</w:t>
            </w:r>
          </w:p>
        </w:tc>
      </w:tr>
      <w:tr w:rsidR="0051686F">
        <w:trPr>
          <w:jc w:val="center"/>
        </w:trPr>
        <w:tc>
          <w:tcPr>
            <w:tcW w:w="1469" w:type="dxa"/>
            <w:vAlign w:val="center"/>
          </w:tcPr>
          <w:p w:rsidR="0051686F" w:rsidRDefault="009E1C43">
            <w:pPr>
              <w:jc w:val="left"/>
            </w:pPr>
            <w:r>
              <w:rPr>
                <w:color w:val="000000"/>
                <w:sz w:val="24"/>
              </w:rPr>
              <w:t>过去六个月</w:t>
            </w:r>
          </w:p>
        </w:tc>
        <w:tc>
          <w:tcPr>
            <w:tcW w:w="1150" w:type="dxa"/>
            <w:vAlign w:val="center"/>
          </w:tcPr>
          <w:p w:rsidR="0051686F" w:rsidRDefault="009E1C43">
            <w:pPr>
              <w:jc w:val="center"/>
            </w:pPr>
            <w:r>
              <w:rPr>
                <w:color w:val="000000"/>
                <w:sz w:val="24"/>
              </w:rPr>
              <w:t>21.81%</w:t>
            </w:r>
          </w:p>
        </w:tc>
        <w:tc>
          <w:tcPr>
            <w:tcW w:w="1223" w:type="dxa"/>
            <w:vAlign w:val="center"/>
          </w:tcPr>
          <w:p w:rsidR="0051686F" w:rsidRDefault="009E1C43">
            <w:pPr>
              <w:jc w:val="center"/>
            </w:pPr>
            <w:r>
              <w:rPr>
                <w:color w:val="000000"/>
                <w:sz w:val="24"/>
              </w:rPr>
              <w:t>1.19%</w:t>
            </w:r>
          </w:p>
        </w:tc>
        <w:tc>
          <w:tcPr>
            <w:tcW w:w="1244" w:type="dxa"/>
            <w:vAlign w:val="center"/>
          </w:tcPr>
          <w:p w:rsidR="0051686F" w:rsidRDefault="009E1C43">
            <w:pPr>
              <w:jc w:val="center"/>
            </w:pPr>
            <w:r>
              <w:rPr>
                <w:color w:val="000000"/>
                <w:sz w:val="24"/>
              </w:rPr>
              <w:t>10.92%</w:t>
            </w:r>
          </w:p>
        </w:tc>
        <w:tc>
          <w:tcPr>
            <w:tcW w:w="1251" w:type="dxa"/>
            <w:vAlign w:val="center"/>
          </w:tcPr>
          <w:p w:rsidR="0051686F" w:rsidRDefault="009E1C43">
            <w:pPr>
              <w:jc w:val="center"/>
            </w:pPr>
            <w:r>
              <w:rPr>
                <w:color w:val="000000"/>
                <w:sz w:val="24"/>
              </w:rPr>
              <w:t>1.23%</w:t>
            </w:r>
          </w:p>
        </w:tc>
        <w:tc>
          <w:tcPr>
            <w:tcW w:w="1263" w:type="dxa"/>
            <w:vAlign w:val="center"/>
          </w:tcPr>
          <w:p w:rsidR="0051686F" w:rsidRDefault="009E1C43">
            <w:pPr>
              <w:jc w:val="center"/>
            </w:pPr>
            <w:r>
              <w:rPr>
                <w:color w:val="000000"/>
                <w:sz w:val="24"/>
              </w:rPr>
              <w:t>10.89%</w:t>
            </w:r>
          </w:p>
        </w:tc>
        <w:tc>
          <w:tcPr>
            <w:tcW w:w="1268" w:type="dxa"/>
            <w:vAlign w:val="center"/>
          </w:tcPr>
          <w:p w:rsidR="0051686F" w:rsidRDefault="009E1C43">
            <w:pPr>
              <w:jc w:val="center"/>
            </w:pPr>
            <w:r>
              <w:rPr>
                <w:color w:val="000000"/>
                <w:sz w:val="24"/>
              </w:rPr>
              <w:t>-0.04%</w:t>
            </w:r>
          </w:p>
        </w:tc>
      </w:tr>
      <w:tr w:rsidR="0051686F">
        <w:trPr>
          <w:jc w:val="center"/>
        </w:trPr>
        <w:tc>
          <w:tcPr>
            <w:tcW w:w="1469" w:type="dxa"/>
            <w:vAlign w:val="center"/>
          </w:tcPr>
          <w:p w:rsidR="0051686F" w:rsidRDefault="009E1C43">
            <w:pPr>
              <w:jc w:val="left"/>
            </w:pPr>
            <w:r>
              <w:rPr>
                <w:color w:val="000000"/>
                <w:sz w:val="24"/>
              </w:rPr>
              <w:t>过去一年</w:t>
            </w:r>
          </w:p>
        </w:tc>
        <w:tc>
          <w:tcPr>
            <w:tcW w:w="1150" w:type="dxa"/>
            <w:vAlign w:val="center"/>
          </w:tcPr>
          <w:p w:rsidR="0051686F" w:rsidRDefault="009E1C43">
            <w:pPr>
              <w:jc w:val="center"/>
            </w:pPr>
            <w:r>
              <w:rPr>
                <w:color w:val="000000"/>
                <w:sz w:val="24"/>
              </w:rPr>
              <w:t>14.23%</w:t>
            </w:r>
          </w:p>
        </w:tc>
        <w:tc>
          <w:tcPr>
            <w:tcW w:w="1223" w:type="dxa"/>
            <w:vAlign w:val="center"/>
          </w:tcPr>
          <w:p w:rsidR="0051686F" w:rsidRDefault="009E1C43">
            <w:pPr>
              <w:jc w:val="center"/>
            </w:pPr>
            <w:r>
              <w:rPr>
                <w:color w:val="000000"/>
                <w:sz w:val="24"/>
              </w:rPr>
              <w:t>1.22%</w:t>
            </w:r>
          </w:p>
        </w:tc>
        <w:tc>
          <w:tcPr>
            <w:tcW w:w="1244" w:type="dxa"/>
            <w:vAlign w:val="center"/>
          </w:tcPr>
          <w:p w:rsidR="0051686F" w:rsidRDefault="009E1C43">
            <w:pPr>
              <w:jc w:val="center"/>
            </w:pPr>
            <w:r>
              <w:rPr>
                <w:color w:val="000000"/>
                <w:sz w:val="24"/>
              </w:rPr>
              <w:t>1.68%</w:t>
            </w:r>
          </w:p>
        </w:tc>
        <w:tc>
          <w:tcPr>
            <w:tcW w:w="1251" w:type="dxa"/>
            <w:vAlign w:val="center"/>
          </w:tcPr>
          <w:p w:rsidR="0051686F" w:rsidRDefault="009E1C43">
            <w:pPr>
              <w:jc w:val="center"/>
            </w:pPr>
            <w:r>
              <w:rPr>
                <w:color w:val="000000"/>
                <w:sz w:val="24"/>
              </w:rPr>
              <w:t>1.25%</w:t>
            </w:r>
          </w:p>
        </w:tc>
        <w:tc>
          <w:tcPr>
            <w:tcW w:w="1263" w:type="dxa"/>
            <w:vAlign w:val="center"/>
          </w:tcPr>
          <w:p w:rsidR="0051686F" w:rsidRDefault="009E1C43">
            <w:pPr>
              <w:jc w:val="center"/>
            </w:pPr>
            <w:r>
              <w:rPr>
                <w:color w:val="000000"/>
                <w:sz w:val="24"/>
              </w:rPr>
              <w:t>12.55%</w:t>
            </w:r>
          </w:p>
        </w:tc>
        <w:tc>
          <w:tcPr>
            <w:tcW w:w="1268" w:type="dxa"/>
            <w:vAlign w:val="center"/>
          </w:tcPr>
          <w:p w:rsidR="0051686F" w:rsidRDefault="009E1C43">
            <w:pPr>
              <w:jc w:val="center"/>
            </w:pPr>
            <w:r>
              <w:rPr>
                <w:color w:val="000000"/>
                <w:sz w:val="24"/>
              </w:rPr>
              <w:t>-0.03%</w:t>
            </w:r>
          </w:p>
        </w:tc>
      </w:tr>
      <w:tr w:rsidR="0051686F">
        <w:trPr>
          <w:jc w:val="center"/>
        </w:trPr>
        <w:tc>
          <w:tcPr>
            <w:tcW w:w="1469" w:type="dxa"/>
            <w:vAlign w:val="center"/>
          </w:tcPr>
          <w:p w:rsidR="0051686F" w:rsidRDefault="009E1C43">
            <w:pPr>
              <w:jc w:val="left"/>
            </w:pPr>
            <w:r>
              <w:rPr>
                <w:color w:val="000000"/>
                <w:sz w:val="24"/>
              </w:rPr>
              <w:t>过去三年</w:t>
            </w:r>
          </w:p>
        </w:tc>
        <w:tc>
          <w:tcPr>
            <w:tcW w:w="1150" w:type="dxa"/>
            <w:vAlign w:val="center"/>
          </w:tcPr>
          <w:p w:rsidR="0051686F" w:rsidRDefault="009E1C43">
            <w:pPr>
              <w:jc w:val="center"/>
            </w:pPr>
            <w:r>
              <w:rPr>
                <w:color w:val="000000"/>
                <w:sz w:val="24"/>
              </w:rPr>
              <w:t>16.59%</w:t>
            </w:r>
          </w:p>
        </w:tc>
        <w:tc>
          <w:tcPr>
            <w:tcW w:w="1223" w:type="dxa"/>
            <w:vAlign w:val="center"/>
          </w:tcPr>
          <w:p w:rsidR="0051686F" w:rsidRDefault="009E1C43">
            <w:pPr>
              <w:jc w:val="center"/>
            </w:pPr>
            <w:r>
              <w:rPr>
                <w:color w:val="000000"/>
                <w:sz w:val="24"/>
              </w:rPr>
              <w:t>1.19%</w:t>
            </w:r>
          </w:p>
        </w:tc>
        <w:tc>
          <w:tcPr>
            <w:tcW w:w="1244" w:type="dxa"/>
            <w:vAlign w:val="center"/>
          </w:tcPr>
          <w:p w:rsidR="0051686F" w:rsidRDefault="009E1C43">
            <w:pPr>
              <w:jc w:val="center"/>
            </w:pPr>
            <w:r>
              <w:rPr>
                <w:color w:val="000000"/>
                <w:sz w:val="24"/>
              </w:rPr>
              <w:t>-0.73%</w:t>
            </w:r>
          </w:p>
        </w:tc>
        <w:tc>
          <w:tcPr>
            <w:tcW w:w="1251" w:type="dxa"/>
            <w:vAlign w:val="center"/>
          </w:tcPr>
          <w:p w:rsidR="0051686F" w:rsidRDefault="009E1C43">
            <w:pPr>
              <w:jc w:val="center"/>
            </w:pPr>
            <w:r>
              <w:rPr>
                <w:color w:val="000000"/>
                <w:sz w:val="24"/>
              </w:rPr>
              <w:t>1.20%</w:t>
            </w:r>
          </w:p>
        </w:tc>
        <w:tc>
          <w:tcPr>
            <w:tcW w:w="1263" w:type="dxa"/>
            <w:vAlign w:val="center"/>
          </w:tcPr>
          <w:p w:rsidR="0051686F" w:rsidRDefault="009E1C43">
            <w:pPr>
              <w:jc w:val="center"/>
            </w:pPr>
            <w:r>
              <w:rPr>
                <w:color w:val="000000"/>
                <w:sz w:val="24"/>
              </w:rPr>
              <w:t>17.32%</w:t>
            </w:r>
          </w:p>
        </w:tc>
        <w:tc>
          <w:tcPr>
            <w:tcW w:w="1268" w:type="dxa"/>
            <w:vAlign w:val="center"/>
          </w:tcPr>
          <w:p w:rsidR="0051686F" w:rsidRDefault="009E1C43">
            <w:pPr>
              <w:jc w:val="center"/>
            </w:pPr>
            <w:r>
              <w:rPr>
                <w:color w:val="000000"/>
                <w:sz w:val="24"/>
              </w:rPr>
              <w:t>-0.01%</w:t>
            </w:r>
          </w:p>
        </w:tc>
      </w:tr>
      <w:tr w:rsidR="0051686F">
        <w:trPr>
          <w:jc w:val="center"/>
        </w:trPr>
        <w:tc>
          <w:tcPr>
            <w:tcW w:w="1469" w:type="dxa"/>
            <w:vAlign w:val="center"/>
          </w:tcPr>
          <w:p w:rsidR="0051686F" w:rsidRDefault="009E1C43">
            <w:pPr>
              <w:jc w:val="left"/>
            </w:pPr>
            <w:r>
              <w:rPr>
                <w:color w:val="000000"/>
                <w:sz w:val="24"/>
              </w:rPr>
              <w:t>过去五年</w:t>
            </w:r>
          </w:p>
        </w:tc>
        <w:tc>
          <w:tcPr>
            <w:tcW w:w="1150" w:type="dxa"/>
            <w:vAlign w:val="center"/>
          </w:tcPr>
          <w:p w:rsidR="0051686F" w:rsidRDefault="009E1C43">
            <w:pPr>
              <w:jc w:val="center"/>
            </w:pPr>
            <w:r>
              <w:rPr>
                <w:color w:val="000000"/>
                <w:sz w:val="24"/>
              </w:rPr>
              <w:t>41.39%</w:t>
            </w:r>
          </w:p>
        </w:tc>
        <w:tc>
          <w:tcPr>
            <w:tcW w:w="1223" w:type="dxa"/>
            <w:vAlign w:val="center"/>
          </w:tcPr>
          <w:p w:rsidR="0051686F" w:rsidRDefault="009E1C43">
            <w:pPr>
              <w:jc w:val="center"/>
            </w:pPr>
            <w:r>
              <w:rPr>
                <w:color w:val="000000"/>
                <w:sz w:val="24"/>
              </w:rPr>
              <w:t>1.15%</w:t>
            </w:r>
          </w:p>
        </w:tc>
        <w:tc>
          <w:tcPr>
            <w:tcW w:w="1244" w:type="dxa"/>
            <w:vAlign w:val="center"/>
          </w:tcPr>
          <w:p w:rsidR="0051686F" w:rsidRDefault="009E1C43">
            <w:pPr>
              <w:jc w:val="center"/>
            </w:pPr>
            <w:r>
              <w:rPr>
                <w:color w:val="000000"/>
                <w:sz w:val="24"/>
              </w:rPr>
              <w:t>15.73%</w:t>
            </w:r>
          </w:p>
        </w:tc>
        <w:tc>
          <w:tcPr>
            <w:tcW w:w="1251" w:type="dxa"/>
            <w:vAlign w:val="center"/>
          </w:tcPr>
          <w:p w:rsidR="0051686F" w:rsidRDefault="009E1C43">
            <w:pPr>
              <w:jc w:val="center"/>
            </w:pPr>
            <w:r>
              <w:rPr>
                <w:color w:val="000000"/>
                <w:sz w:val="24"/>
              </w:rPr>
              <w:t>1.16%</w:t>
            </w:r>
          </w:p>
        </w:tc>
        <w:tc>
          <w:tcPr>
            <w:tcW w:w="1263" w:type="dxa"/>
            <w:vAlign w:val="center"/>
          </w:tcPr>
          <w:p w:rsidR="0051686F" w:rsidRDefault="009E1C43">
            <w:pPr>
              <w:jc w:val="center"/>
            </w:pPr>
            <w:r>
              <w:rPr>
                <w:color w:val="000000"/>
                <w:sz w:val="24"/>
              </w:rPr>
              <w:t>25.66%</w:t>
            </w:r>
          </w:p>
        </w:tc>
        <w:tc>
          <w:tcPr>
            <w:tcW w:w="1268" w:type="dxa"/>
            <w:vAlign w:val="center"/>
          </w:tcPr>
          <w:p w:rsidR="0051686F" w:rsidRDefault="009E1C43">
            <w:pPr>
              <w:jc w:val="center"/>
            </w:pPr>
            <w:r>
              <w:rPr>
                <w:color w:val="000000"/>
                <w:sz w:val="24"/>
              </w:rPr>
              <w:t>-0.01%</w:t>
            </w:r>
          </w:p>
        </w:tc>
      </w:tr>
      <w:tr w:rsidR="0051686F">
        <w:trPr>
          <w:jc w:val="center"/>
        </w:trPr>
        <w:tc>
          <w:tcPr>
            <w:tcW w:w="1469" w:type="dxa"/>
            <w:vAlign w:val="center"/>
          </w:tcPr>
          <w:p w:rsidR="0051686F" w:rsidRDefault="009E1C43">
            <w:pPr>
              <w:jc w:val="left"/>
            </w:pPr>
            <w:r>
              <w:rPr>
                <w:color w:val="000000"/>
                <w:sz w:val="24"/>
              </w:rPr>
              <w:t>自基金合同生效起至今</w:t>
            </w:r>
          </w:p>
        </w:tc>
        <w:tc>
          <w:tcPr>
            <w:tcW w:w="1150" w:type="dxa"/>
            <w:vAlign w:val="center"/>
          </w:tcPr>
          <w:p w:rsidR="0051686F" w:rsidRDefault="009E1C43">
            <w:pPr>
              <w:jc w:val="center"/>
            </w:pPr>
            <w:r>
              <w:rPr>
                <w:color w:val="000000"/>
                <w:sz w:val="24"/>
              </w:rPr>
              <w:t>46.90%</w:t>
            </w:r>
          </w:p>
        </w:tc>
        <w:tc>
          <w:tcPr>
            <w:tcW w:w="1223" w:type="dxa"/>
            <w:vAlign w:val="center"/>
          </w:tcPr>
          <w:p w:rsidR="0051686F" w:rsidRDefault="009E1C43">
            <w:pPr>
              <w:jc w:val="center"/>
            </w:pPr>
            <w:r>
              <w:rPr>
                <w:color w:val="000000"/>
                <w:sz w:val="24"/>
              </w:rPr>
              <w:t>1.38%</w:t>
            </w:r>
          </w:p>
        </w:tc>
        <w:tc>
          <w:tcPr>
            <w:tcW w:w="1244" w:type="dxa"/>
            <w:vAlign w:val="center"/>
          </w:tcPr>
          <w:p w:rsidR="0051686F" w:rsidRDefault="009E1C43">
            <w:pPr>
              <w:jc w:val="center"/>
            </w:pPr>
            <w:r>
              <w:rPr>
                <w:color w:val="000000"/>
                <w:sz w:val="24"/>
              </w:rPr>
              <w:t>24.14%</w:t>
            </w:r>
          </w:p>
        </w:tc>
        <w:tc>
          <w:tcPr>
            <w:tcW w:w="1251" w:type="dxa"/>
            <w:vAlign w:val="center"/>
          </w:tcPr>
          <w:p w:rsidR="0051686F" w:rsidRDefault="009E1C43">
            <w:pPr>
              <w:jc w:val="center"/>
            </w:pPr>
            <w:r>
              <w:rPr>
                <w:color w:val="000000"/>
                <w:sz w:val="24"/>
              </w:rPr>
              <w:t>1.40%</w:t>
            </w:r>
          </w:p>
        </w:tc>
        <w:tc>
          <w:tcPr>
            <w:tcW w:w="1263" w:type="dxa"/>
            <w:vAlign w:val="center"/>
          </w:tcPr>
          <w:p w:rsidR="0051686F" w:rsidRDefault="009E1C43">
            <w:pPr>
              <w:jc w:val="center"/>
            </w:pPr>
            <w:r>
              <w:rPr>
                <w:color w:val="000000"/>
                <w:sz w:val="24"/>
              </w:rPr>
              <w:t>22.76%</w:t>
            </w:r>
          </w:p>
        </w:tc>
        <w:tc>
          <w:tcPr>
            <w:tcW w:w="1268" w:type="dxa"/>
            <w:vAlign w:val="center"/>
          </w:tcPr>
          <w:p w:rsidR="0051686F" w:rsidRDefault="009E1C43">
            <w:pPr>
              <w:jc w:val="center"/>
            </w:pPr>
            <w:r>
              <w:rPr>
                <w:color w:val="000000"/>
                <w:sz w:val="24"/>
              </w:rPr>
              <w:t>-0.02%</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spacing w:before="29" w:line="288" w:lineRule="auto"/>
        <w:rPr>
          <w:b/>
          <w:kern w:val="0"/>
          <w:sz w:val="24"/>
        </w:rPr>
      </w:pPr>
      <w:r w:rsidRPr="00324C76">
        <w:rPr>
          <w:b/>
          <w:kern w:val="0"/>
          <w:sz w:val="24"/>
        </w:rPr>
        <w:t>3.2.2</w:t>
      </w:r>
      <w:r w:rsidR="00491158" w:rsidRPr="004739A8">
        <w:rPr>
          <w:rFonts w:hint="eastAsia"/>
          <w:b/>
          <w:kern w:val="0"/>
          <w:sz w:val="24"/>
        </w:rPr>
        <w:t>自基金合同生效以来</w:t>
      </w:r>
      <w:r w:rsidR="00F00C35" w:rsidRPr="00324C76">
        <w:rPr>
          <w:b/>
          <w:bCs/>
          <w:color w:val="000000"/>
          <w:sz w:val="24"/>
        </w:rPr>
        <w:t>基金份额累计净值增长率变动及其与同期业绩比较基准收益率变动的比较</w:t>
      </w:r>
    </w:p>
    <w:p w:rsidR="00402ED1" w:rsidRPr="00324C76" w:rsidRDefault="00402ED1" w:rsidP="00B04217">
      <w:pPr>
        <w:spacing w:before="29" w:line="288" w:lineRule="auto"/>
        <w:jc w:val="center"/>
        <w:rPr>
          <w:sz w:val="24"/>
        </w:rPr>
      </w:pPr>
      <w:r w:rsidRPr="00324C76">
        <w:rPr>
          <w:sz w:val="24"/>
        </w:rPr>
        <w:t>交银施罗德上证</w:t>
      </w:r>
      <w:r w:rsidRPr="00324C76">
        <w:rPr>
          <w:sz w:val="24"/>
        </w:rPr>
        <w:t>180</w:t>
      </w:r>
      <w:r w:rsidRPr="00324C76">
        <w:rPr>
          <w:sz w:val="24"/>
        </w:rPr>
        <w:t>公司治理交易型开放式指数证券投资基金联接基金</w:t>
      </w:r>
    </w:p>
    <w:p w:rsidR="00402ED1" w:rsidRPr="00324C76" w:rsidRDefault="00F00C35" w:rsidP="00B04217">
      <w:pPr>
        <w:pStyle w:val="a5"/>
        <w:snapToGrid w:val="0"/>
        <w:spacing w:before="29" w:line="288" w:lineRule="auto"/>
        <w:jc w:val="center"/>
        <w:rPr>
          <w:rFonts w:ascii="Times New Roman" w:hAnsi="Times New Roman"/>
          <w:color w:val="000000"/>
          <w:sz w:val="24"/>
          <w:szCs w:val="24"/>
        </w:rPr>
      </w:pPr>
      <w:r w:rsidRPr="00324C76">
        <w:rPr>
          <w:rFonts w:ascii="Times New Roman" w:hAnsi="Times New Roman"/>
          <w:color w:val="000000"/>
          <w:sz w:val="24"/>
          <w:szCs w:val="24"/>
        </w:rPr>
        <w:t>份额累计净值增长率与业绩比较基准收益率历史走势对比图</w:t>
      </w:r>
    </w:p>
    <w:p w:rsidR="00BA6DE7" w:rsidRPr="00324C76" w:rsidRDefault="00BA6DE7" w:rsidP="00B04217">
      <w:pPr>
        <w:spacing w:before="29" w:line="288" w:lineRule="auto"/>
        <w:jc w:val="center"/>
        <w:rPr>
          <w:sz w:val="24"/>
        </w:rPr>
      </w:pPr>
      <w:r w:rsidRPr="00324C76">
        <w:rPr>
          <w:color w:val="000000"/>
          <w:kern w:val="0"/>
          <w:sz w:val="24"/>
        </w:rPr>
        <w:t>（</w:t>
      </w:r>
      <w:r w:rsidR="003251EE" w:rsidRPr="00324C76">
        <w:rPr>
          <w:color w:val="000000"/>
          <w:kern w:val="0"/>
          <w:sz w:val="24"/>
        </w:rPr>
        <w:t>2009</w:t>
      </w:r>
      <w:r w:rsidR="003251EE" w:rsidRPr="00324C76">
        <w:rPr>
          <w:color w:val="000000"/>
          <w:kern w:val="0"/>
          <w:sz w:val="24"/>
        </w:rPr>
        <w:t>年</w:t>
      </w:r>
      <w:r w:rsidR="003251EE" w:rsidRPr="00324C76">
        <w:rPr>
          <w:color w:val="000000"/>
          <w:kern w:val="0"/>
          <w:sz w:val="24"/>
        </w:rPr>
        <w:t>9</w:t>
      </w:r>
      <w:r w:rsidR="003251EE" w:rsidRPr="00324C76">
        <w:rPr>
          <w:color w:val="000000"/>
          <w:kern w:val="0"/>
          <w:sz w:val="24"/>
        </w:rPr>
        <w:t>月</w:t>
      </w:r>
      <w:r w:rsidR="003251EE" w:rsidRPr="00324C76">
        <w:rPr>
          <w:color w:val="000000"/>
          <w:kern w:val="0"/>
          <w:sz w:val="24"/>
        </w:rPr>
        <w:t>29</w:t>
      </w:r>
      <w:r w:rsidR="003251EE" w:rsidRPr="00324C76">
        <w:rPr>
          <w:color w:val="000000"/>
          <w:kern w:val="0"/>
          <w:sz w:val="24"/>
        </w:rPr>
        <w:t>日</w:t>
      </w:r>
      <w:r w:rsidRPr="00324C76">
        <w:rPr>
          <w:color w:val="000000"/>
          <w:kern w:val="0"/>
          <w:sz w:val="24"/>
        </w:rPr>
        <w:t>至</w:t>
      </w:r>
      <w:r w:rsidRPr="00324C76">
        <w:rPr>
          <w:color w:val="000000"/>
          <w:kern w:val="0"/>
          <w:sz w:val="24"/>
        </w:rPr>
        <w:t>2020</w:t>
      </w:r>
      <w:r w:rsidRPr="00324C76">
        <w:rPr>
          <w:color w:val="000000"/>
          <w:kern w:val="0"/>
          <w:sz w:val="24"/>
        </w:rPr>
        <w:t>年</w:t>
      </w:r>
      <w:r w:rsidRPr="00324C76">
        <w:rPr>
          <w:color w:val="000000"/>
          <w:kern w:val="0"/>
          <w:sz w:val="24"/>
        </w:rPr>
        <w:t>9</w:t>
      </w:r>
      <w:r w:rsidRPr="00324C76">
        <w:rPr>
          <w:color w:val="000000"/>
          <w:kern w:val="0"/>
          <w:sz w:val="24"/>
        </w:rPr>
        <w:t>月</w:t>
      </w:r>
      <w:r w:rsidRPr="00324C76">
        <w:rPr>
          <w:color w:val="000000"/>
          <w:kern w:val="0"/>
          <w:sz w:val="24"/>
        </w:rPr>
        <w:t>30</w:t>
      </w:r>
      <w:r w:rsidRPr="00324C76">
        <w:rPr>
          <w:color w:val="000000"/>
          <w:kern w:val="0"/>
          <w:sz w:val="24"/>
        </w:rPr>
        <w:t>日）</w:t>
      </w:r>
    </w:p>
    <w:p w:rsidR="00402ED1" w:rsidRPr="00324C76" w:rsidRDefault="0029290C" w:rsidP="00B04217">
      <w:pPr>
        <w:tabs>
          <w:tab w:val="left" w:pos="1800"/>
        </w:tabs>
        <w:spacing w:before="29" w:line="288" w:lineRule="auto"/>
        <w:jc w:val="center"/>
        <w:rPr>
          <w:color w:val="000000"/>
          <w:sz w:val="24"/>
        </w:rPr>
      </w:pPr>
      <w:r w:rsidRPr="00324C76">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2ED1" w:rsidRPr="00324C76" w:rsidRDefault="00402ED1" w:rsidP="00B04217">
      <w:pPr>
        <w:autoSpaceDE w:val="0"/>
        <w:autoSpaceDN w:val="0"/>
        <w:adjustRightInd w:val="0"/>
        <w:spacing w:before="29" w:line="288" w:lineRule="auto"/>
        <w:jc w:val="left"/>
        <w:rPr>
          <w:color w:val="000000"/>
          <w:sz w:val="24"/>
        </w:rPr>
      </w:pPr>
      <w:r w:rsidRPr="00324C76">
        <w:rPr>
          <w:color w:val="000000"/>
          <w:sz w:val="24"/>
        </w:rPr>
        <w:t>注：本基金建仓期为自基金合同生效日起的</w:t>
      </w:r>
      <w:r w:rsidRPr="00324C76">
        <w:rPr>
          <w:color w:val="000000"/>
          <w:sz w:val="24"/>
        </w:rPr>
        <w:t>3</w:t>
      </w:r>
      <w:r w:rsidRPr="00324C76">
        <w:rPr>
          <w:color w:val="000000"/>
          <w:sz w:val="24"/>
        </w:rPr>
        <w:t>个月。截至建仓期结束，本基金各项资产配置比例符合基金合同及招募说明书有关投资比例的约定。</w:t>
      </w:r>
    </w:p>
    <w:p w:rsidR="00163AE8" w:rsidRPr="00324C76" w:rsidRDefault="00163AE8" w:rsidP="00B04217">
      <w:pPr>
        <w:tabs>
          <w:tab w:val="left" w:pos="1800"/>
        </w:tabs>
        <w:spacing w:before="29" w:line="288" w:lineRule="auto"/>
        <w:ind w:firstLineChars="200" w:firstLine="480"/>
        <w:rPr>
          <w:color w:val="000000"/>
          <w:sz w:val="24"/>
        </w:rPr>
      </w:pPr>
    </w:p>
    <w:p w:rsidR="00220542" w:rsidRPr="00324C76" w:rsidRDefault="00220542" w:rsidP="0048293C">
      <w:pPr>
        <w:pStyle w:val="1"/>
        <w:spacing w:beforeLines="100" w:before="312" w:afterLines="100" w:after="312" w:line="288" w:lineRule="auto"/>
        <w:jc w:val="center"/>
        <w:rPr>
          <w:kern w:val="0"/>
          <w:sz w:val="24"/>
          <w:szCs w:val="24"/>
        </w:rPr>
      </w:pPr>
      <w:r w:rsidRPr="00324C76">
        <w:rPr>
          <w:kern w:val="0"/>
          <w:sz w:val="24"/>
          <w:szCs w:val="24"/>
        </w:rPr>
        <w:t xml:space="preserve">§4  </w:t>
      </w:r>
      <w:r w:rsidRPr="00324C76">
        <w:rPr>
          <w:kern w:val="0"/>
          <w:sz w:val="24"/>
          <w:szCs w:val="24"/>
        </w:rPr>
        <w:t>管理人报告</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4.1 </w:t>
      </w:r>
      <w:r w:rsidRPr="00324C76">
        <w:rPr>
          <w:b/>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E27AF2" w:rsidRPr="00324C76" w:rsidTr="00E42623">
        <w:trPr>
          <w:trHeight w:val="292"/>
          <w:jc w:val="center"/>
        </w:trPr>
        <w:tc>
          <w:tcPr>
            <w:tcW w:w="851"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姓名</w:t>
            </w:r>
          </w:p>
        </w:tc>
        <w:tc>
          <w:tcPr>
            <w:tcW w:w="850"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职务</w:t>
            </w:r>
          </w:p>
        </w:tc>
        <w:tc>
          <w:tcPr>
            <w:tcW w:w="3119" w:type="dxa"/>
            <w:gridSpan w:val="2"/>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任本基金的基金经理期限</w:t>
            </w:r>
          </w:p>
        </w:tc>
        <w:tc>
          <w:tcPr>
            <w:tcW w:w="1417" w:type="dxa"/>
            <w:vMerge w:val="restart"/>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证券从业年限</w:t>
            </w:r>
          </w:p>
        </w:tc>
        <w:tc>
          <w:tcPr>
            <w:tcW w:w="2694"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说明</w:t>
            </w:r>
          </w:p>
        </w:tc>
      </w:tr>
      <w:tr w:rsidR="00E27AF2" w:rsidRPr="00324C76" w:rsidTr="00E42623">
        <w:trPr>
          <w:jc w:val="center"/>
        </w:trPr>
        <w:tc>
          <w:tcPr>
            <w:tcW w:w="851" w:type="dxa"/>
            <w:vMerge/>
            <w:vAlign w:val="center"/>
          </w:tcPr>
          <w:p w:rsidR="00E27AF2" w:rsidRPr="00324C76" w:rsidRDefault="00E27AF2" w:rsidP="00B04217">
            <w:pPr>
              <w:widowControl/>
              <w:spacing w:before="29" w:line="288" w:lineRule="auto"/>
              <w:jc w:val="left"/>
              <w:rPr>
                <w:color w:val="000000"/>
                <w:kern w:val="0"/>
                <w:sz w:val="24"/>
              </w:rPr>
            </w:pPr>
          </w:p>
        </w:tc>
        <w:tc>
          <w:tcPr>
            <w:tcW w:w="850" w:type="dxa"/>
            <w:vMerge/>
            <w:vAlign w:val="center"/>
          </w:tcPr>
          <w:p w:rsidR="00E27AF2" w:rsidRPr="00324C76" w:rsidRDefault="00E27AF2" w:rsidP="00B04217">
            <w:pPr>
              <w:widowControl/>
              <w:spacing w:before="29" w:line="288" w:lineRule="auto"/>
              <w:jc w:val="left"/>
              <w:rPr>
                <w:color w:val="000000"/>
                <w:kern w:val="0"/>
                <w:sz w:val="24"/>
              </w:rPr>
            </w:pPr>
          </w:p>
        </w:tc>
        <w:tc>
          <w:tcPr>
            <w:tcW w:w="1560"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任职日期</w:t>
            </w:r>
          </w:p>
        </w:tc>
        <w:tc>
          <w:tcPr>
            <w:tcW w:w="1559"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离任日期</w:t>
            </w:r>
          </w:p>
        </w:tc>
        <w:tc>
          <w:tcPr>
            <w:tcW w:w="1417" w:type="dxa"/>
            <w:vMerge/>
            <w:vAlign w:val="center"/>
          </w:tcPr>
          <w:p w:rsidR="00E27AF2" w:rsidRPr="00324C76" w:rsidRDefault="00E27AF2" w:rsidP="00B04217">
            <w:pPr>
              <w:widowControl/>
              <w:spacing w:before="29" w:line="288" w:lineRule="auto"/>
              <w:jc w:val="left"/>
              <w:rPr>
                <w:color w:val="000000"/>
                <w:kern w:val="0"/>
                <w:sz w:val="24"/>
              </w:rPr>
            </w:pPr>
          </w:p>
        </w:tc>
        <w:tc>
          <w:tcPr>
            <w:tcW w:w="2694" w:type="dxa"/>
            <w:vMerge/>
            <w:vAlign w:val="center"/>
          </w:tcPr>
          <w:p w:rsidR="00E27AF2" w:rsidRPr="00324C76" w:rsidRDefault="00E27AF2" w:rsidP="00B04217">
            <w:pPr>
              <w:widowControl/>
              <w:spacing w:before="29" w:line="288" w:lineRule="auto"/>
              <w:jc w:val="left"/>
              <w:rPr>
                <w:color w:val="000000"/>
                <w:kern w:val="0"/>
                <w:sz w:val="24"/>
              </w:rPr>
            </w:pPr>
          </w:p>
        </w:tc>
      </w:tr>
      <w:tr w:rsidR="0051686F">
        <w:trPr>
          <w:jc w:val="center"/>
        </w:trPr>
        <w:tc>
          <w:tcPr>
            <w:tcW w:w="846" w:type="dxa"/>
            <w:vAlign w:val="center"/>
          </w:tcPr>
          <w:p w:rsidR="0051686F" w:rsidRDefault="009E1C43">
            <w:pPr>
              <w:jc w:val="center"/>
            </w:pPr>
            <w:r>
              <w:rPr>
                <w:color w:val="000000"/>
                <w:sz w:val="24"/>
              </w:rPr>
              <w:t>蔡铮</w:t>
            </w:r>
          </w:p>
        </w:tc>
        <w:tc>
          <w:tcPr>
            <w:tcW w:w="845" w:type="dxa"/>
            <w:vAlign w:val="center"/>
          </w:tcPr>
          <w:p w:rsidR="0051686F" w:rsidRDefault="009E1C43">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）、交银创业板</w:t>
            </w:r>
            <w:r>
              <w:rPr>
                <w:color w:val="000000"/>
                <w:sz w:val="24"/>
              </w:rPr>
              <w:t>50</w:t>
            </w:r>
            <w:r>
              <w:rPr>
                <w:color w:val="000000"/>
                <w:sz w:val="24"/>
              </w:rPr>
              <w:t>指数的基金经理，公司量化投资副总监兼多元资产管理副总监</w:t>
            </w:r>
          </w:p>
        </w:tc>
        <w:tc>
          <w:tcPr>
            <w:tcW w:w="1549" w:type="dxa"/>
            <w:vAlign w:val="center"/>
          </w:tcPr>
          <w:p w:rsidR="0051686F" w:rsidRDefault="009E1C43">
            <w:pPr>
              <w:jc w:val="center"/>
            </w:pPr>
            <w:r>
              <w:rPr>
                <w:color w:val="000000"/>
                <w:sz w:val="24"/>
              </w:rPr>
              <w:t>2012-12-27</w:t>
            </w:r>
          </w:p>
        </w:tc>
        <w:tc>
          <w:tcPr>
            <w:tcW w:w="1548" w:type="dxa"/>
            <w:vAlign w:val="center"/>
          </w:tcPr>
          <w:p w:rsidR="0051686F" w:rsidRDefault="009E1C43">
            <w:pPr>
              <w:jc w:val="center"/>
            </w:pPr>
            <w:r>
              <w:rPr>
                <w:color w:val="000000"/>
                <w:sz w:val="24"/>
              </w:rPr>
              <w:t>-</w:t>
            </w:r>
          </w:p>
        </w:tc>
        <w:tc>
          <w:tcPr>
            <w:tcW w:w="1407" w:type="dxa"/>
            <w:vAlign w:val="center"/>
          </w:tcPr>
          <w:p w:rsidR="0051686F" w:rsidRDefault="009E1C43">
            <w:pPr>
              <w:jc w:val="center"/>
            </w:pPr>
            <w:r>
              <w:rPr>
                <w:color w:val="000000"/>
                <w:sz w:val="24"/>
              </w:rPr>
              <w:t>11</w:t>
            </w:r>
            <w:r>
              <w:rPr>
                <w:color w:val="000000"/>
                <w:sz w:val="24"/>
              </w:rPr>
              <w:t>年</w:t>
            </w:r>
          </w:p>
        </w:tc>
        <w:tc>
          <w:tcPr>
            <w:tcW w:w="2673" w:type="dxa"/>
            <w:vAlign w:val="center"/>
          </w:tcPr>
          <w:p w:rsidR="0051686F" w:rsidRDefault="009E1C43">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r>
              <w:rPr>
                <w:color w:val="000000"/>
                <w:sz w:val="24"/>
              </w:rPr>
              <w:t>2018</w:t>
            </w:r>
            <w:r>
              <w:rPr>
                <w:color w:val="000000"/>
                <w:sz w:val="24"/>
              </w:rPr>
              <w:t>年</w:t>
            </w:r>
            <w:r>
              <w:rPr>
                <w:color w:val="000000"/>
                <w:sz w:val="24"/>
              </w:rPr>
              <w:t>5</w:t>
            </w:r>
            <w:r>
              <w:rPr>
                <w:color w:val="000000"/>
                <w:sz w:val="24"/>
              </w:rPr>
              <w:t>月</w:t>
            </w:r>
            <w:r>
              <w:rPr>
                <w:color w:val="000000"/>
                <w:sz w:val="24"/>
              </w:rPr>
              <w:t>18</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17</w:t>
            </w:r>
            <w:r>
              <w:rPr>
                <w:color w:val="000000"/>
                <w:sz w:val="24"/>
              </w:rPr>
              <w:t>日担任交银施罗德致远量化智投策略定期开放混合型证券投资基金的基金经理。</w:t>
            </w:r>
          </w:p>
        </w:tc>
      </w:tr>
    </w:tbl>
    <w:p w:rsidR="0022054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t>注：基金经理（或基金经理小组）期后变动（如有）敬请关注基金管理人发布的相关公告。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4.2</w:t>
      </w:r>
      <w:r w:rsidR="00BA4BD3" w:rsidRPr="00324C76">
        <w:rPr>
          <w:b/>
          <w:kern w:val="0"/>
          <w:sz w:val="24"/>
        </w:rPr>
        <w:t>管理人对报告期内本基金运作遵规守信情况的说明</w:t>
      </w:r>
    </w:p>
    <w:p w:rsidR="00220542" w:rsidRPr="00324C76" w:rsidRDefault="00E27AF2" w:rsidP="00B04217">
      <w:pPr>
        <w:spacing w:before="29" w:line="288" w:lineRule="auto"/>
        <w:ind w:firstLineChars="200" w:firstLine="480"/>
        <w:rPr>
          <w:color w:val="000000"/>
          <w:sz w:val="24"/>
        </w:rPr>
      </w:pPr>
      <w:r w:rsidRPr="00324C76">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4.3 </w:t>
      </w:r>
      <w:r w:rsidRPr="00324C76">
        <w:rPr>
          <w:b/>
          <w:kern w:val="0"/>
          <w:sz w:val="24"/>
        </w:rPr>
        <w:t>公平交易专项说明</w:t>
      </w:r>
    </w:p>
    <w:p w:rsidR="005D278A" w:rsidRPr="00324C76" w:rsidRDefault="005D278A" w:rsidP="00B04217">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24C76">
          <w:rPr>
            <w:sz w:val="24"/>
          </w:rPr>
          <w:t>4.3.1</w:t>
        </w:r>
      </w:smartTag>
      <w:r w:rsidRPr="00324C76">
        <w:rPr>
          <w:sz w:val="24"/>
        </w:rPr>
        <w:t>公平交易制度的执行情况</w:t>
      </w:r>
    </w:p>
    <w:p w:rsidR="0051686F" w:rsidRDefault="009E1C4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1686F" w:rsidRDefault="009E1C43">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1686F" w:rsidRDefault="009E1C4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5D278A" w:rsidRPr="00324C76" w:rsidRDefault="00E27AF2" w:rsidP="00B04217">
      <w:pPr>
        <w:spacing w:before="29" w:line="288" w:lineRule="auto"/>
        <w:ind w:firstLineChars="200" w:firstLine="480"/>
        <w:rPr>
          <w:color w:val="000000"/>
          <w:sz w:val="24"/>
        </w:rPr>
      </w:pPr>
      <w:r w:rsidRPr="00324C76">
        <w:rPr>
          <w:color w:val="000000"/>
          <w:sz w:val="24"/>
        </w:rPr>
        <w:t>报告期内本公司严格执行公平交易制度，公平对待旗下各投资组合，未发现任何违反公平交易的行为。</w:t>
      </w:r>
    </w:p>
    <w:p w:rsidR="005D278A" w:rsidRPr="00324C76" w:rsidRDefault="005D278A" w:rsidP="00B04217">
      <w:pPr>
        <w:spacing w:before="29" w:line="288" w:lineRule="auto"/>
        <w:rPr>
          <w:sz w:val="24"/>
        </w:rPr>
      </w:pPr>
      <w:r w:rsidRPr="00324C76">
        <w:rPr>
          <w:sz w:val="24"/>
        </w:rPr>
        <w:t>4.3.</w:t>
      </w:r>
      <w:r w:rsidR="00F31F40" w:rsidRPr="00324C76">
        <w:rPr>
          <w:sz w:val="24"/>
        </w:rPr>
        <w:t>2</w:t>
      </w:r>
      <w:r w:rsidRPr="00324C76">
        <w:rPr>
          <w:sz w:val="24"/>
        </w:rPr>
        <w:t>异常交易行为的专项说明</w:t>
      </w:r>
    </w:p>
    <w:p w:rsidR="005D278A" w:rsidRPr="00324C76" w:rsidRDefault="00E27AF2" w:rsidP="00B04217">
      <w:pPr>
        <w:spacing w:before="29" w:line="288" w:lineRule="auto"/>
        <w:ind w:firstLineChars="200" w:firstLine="480"/>
        <w:rPr>
          <w:color w:val="000000"/>
          <w:sz w:val="24"/>
        </w:rPr>
      </w:pPr>
      <w:r w:rsidRPr="00324C76">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24C76">
        <w:rPr>
          <w:color w:val="000000"/>
          <w:sz w:val="24"/>
        </w:rPr>
        <w:t>5%</w:t>
      </w:r>
      <w:r w:rsidRPr="00324C76">
        <w:rPr>
          <w:color w:val="000000"/>
          <w:sz w:val="24"/>
        </w:rPr>
        <w:t>的情形，本基金与本公司管理的其他投资组合在不同时间窗下（如日内、</w:t>
      </w:r>
      <w:r w:rsidRPr="00324C76">
        <w:rPr>
          <w:color w:val="000000"/>
          <w:sz w:val="24"/>
        </w:rPr>
        <w:t>3</w:t>
      </w:r>
      <w:r w:rsidRPr="00324C76">
        <w:rPr>
          <w:color w:val="000000"/>
          <w:sz w:val="24"/>
        </w:rPr>
        <w:t>日内、</w:t>
      </w:r>
      <w:r w:rsidRPr="00324C76">
        <w:rPr>
          <w:color w:val="000000"/>
          <w:sz w:val="24"/>
        </w:rPr>
        <w:t>5</w:t>
      </w:r>
      <w:r w:rsidRPr="00324C76">
        <w:rPr>
          <w:color w:val="000000"/>
          <w:sz w:val="24"/>
        </w:rPr>
        <w:t>日内）同向交易的交易价差未出现异常。</w:t>
      </w:r>
    </w:p>
    <w:p w:rsidR="00220542" w:rsidRPr="00324C76" w:rsidRDefault="00220542" w:rsidP="00B04217">
      <w:pPr>
        <w:spacing w:before="29" w:line="288" w:lineRule="auto"/>
        <w:ind w:firstLineChars="200" w:firstLine="480"/>
        <w:rPr>
          <w:sz w:val="24"/>
        </w:rPr>
      </w:pPr>
    </w:p>
    <w:p w:rsidR="004D6E34" w:rsidRPr="00324C76" w:rsidRDefault="00360A1E" w:rsidP="00B04217">
      <w:pPr>
        <w:spacing w:before="29" w:line="288" w:lineRule="auto"/>
        <w:rPr>
          <w:sz w:val="24"/>
        </w:rPr>
      </w:pPr>
      <w:r w:rsidRPr="00324C76">
        <w:rPr>
          <w:b/>
          <w:color w:val="000000"/>
          <w:kern w:val="0"/>
          <w:sz w:val="24"/>
        </w:rPr>
        <w:t xml:space="preserve">4.4 </w:t>
      </w:r>
      <w:r w:rsidRPr="00324C76">
        <w:rPr>
          <w:rFonts w:hAnsi="宋体"/>
          <w:b/>
          <w:bCs/>
          <w:color w:val="000000"/>
          <w:sz w:val="24"/>
        </w:rPr>
        <w:t>报告期内基金的投资策略和运作分析</w:t>
      </w:r>
    </w:p>
    <w:p w:rsidR="0051686F" w:rsidRDefault="009E1C43">
      <w:pPr>
        <w:spacing w:before="29" w:line="288" w:lineRule="auto"/>
        <w:ind w:firstLineChars="200" w:firstLine="480"/>
        <w:rPr>
          <w:color w:val="000000"/>
          <w:sz w:val="24"/>
        </w:rPr>
      </w:pPr>
      <w:r>
        <w:rPr>
          <w:color w:val="000000"/>
          <w:sz w:val="24"/>
        </w:rPr>
        <w:t>2020</w:t>
      </w:r>
      <w:r>
        <w:rPr>
          <w:color w:val="000000"/>
          <w:sz w:val="24"/>
        </w:rPr>
        <w:t>年三季度，国内疫情基本得到控制，经济继续保持修复性增长，企业盈利底部回升。九月制造业</w:t>
      </w:r>
      <w:r>
        <w:rPr>
          <w:color w:val="000000"/>
          <w:sz w:val="24"/>
        </w:rPr>
        <w:t>PMI</w:t>
      </w:r>
      <w:r>
        <w:rPr>
          <w:color w:val="000000"/>
          <w:sz w:val="24"/>
        </w:rPr>
        <w:t>连续七个月站上荣枯线。受益于宏观刺激政策发力，国内工业生产增速与结构持续改善，需求端的恢复力度也有所强</w:t>
      </w:r>
      <w:r>
        <w:rPr>
          <w:color w:val="000000"/>
          <w:sz w:val="24"/>
        </w:rPr>
        <w:t>化。随着国内疫情防控形势趋于稳定，三季度服务业复苏势头持续向好，居民消费需求加快释放，住宿、餐饮以及文化体育娱乐等行业活跃度有所提高。在此经济背景下，三季度</w:t>
      </w:r>
      <w:r>
        <w:rPr>
          <w:color w:val="000000"/>
          <w:sz w:val="24"/>
        </w:rPr>
        <w:t>A</w:t>
      </w:r>
      <w:r>
        <w:rPr>
          <w:color w:val="000000"/>
          <w:sz w:val="24"/>
        </w:rPr>
        <w:t>股市场在七月冲击年内高点后，进入高波动区间，市场短期震荡整固，整体波动率维持高位。作为跟踪基准指数的指数基金，三季度基金总体呈现先上行后震荡的态势。</w:t>
      </w:r>
    </w:p>
    <w:p w:rsidR="004D6E34" w:rsidRPr="00324C76" w:rsidRDefault="00E27AF2" w:rsidP="00B04217">
      <w:pPr>
        <w:spacing w:before="29" w:line="288" w:lineRule="auto"/>
        <w:ind w:firstLineChars="200" w:firstLine="480"/>
        <w:rPr>
          <w:color w:val="000000"/>
          <w:sz w:val="24"/>
        </w:rPr>
      </w:pPr>
      <w:r w:rsidRPr="00324C76">
        <w:rPr>
          <w:color w:val="000000"/>
          <w:sz w:val="24"/>
        </w:rPr>
        <w:t>展望</w:t>
      </w:r>
      <w:r w:rsidRPr="00324C76">
        <w:rPr>
          <w:color w:val="000000"/>
          <w:sz w:val="24"/>
        </w:rPr>
        <w:t>2020</w:t>
      </w:r>
      <w:r w:rsidRPr="00324C76">
        <w:rPr>
          <w:color w:val="000000"/>
          <w:sz w:val="24"/>
        </w:rPr>
        <w:t>年四季度，海外疫情和美国大选等外部风险因素可能对短期市场产生一定冲击。但国内经济或将继续保持修复性增长，其中消费和出口上行趋势相对明显。未来我国财政和货币政策仍将大概率保持</w:t>
      </w:r>
      <w:r w:rsidR="009E1C43">
        <w:rPr>
          <w:rFonts w:hint="eastAsia"/>
          <w:color w:val="000000"/>
          <w:sz w:val="24"/>
        </w:rPr>
        <w:t>稳健</w:t>
      </w:r>
      <w:r w:rsidRPr="00324C76">
        <w:rPr>
          <w:color w:val="000000"/>
          <w:sz w:val="24"/>
        </w:rPr>
        <w:t>，十四五规划的落地或将成为四季度政策层面的重要影响因素。从中长期来看，</w:t>
      </w:r>
      <w:r w:rsidRPr="00324C76">
        <w:rPr>
          <w:color w:val="000000"/>
          <w:sz w:val="24"/>
        </w:rPr>
        <w:t>A</w:t>
      </w:r>
      <w:r w:rsidRPr="00324C76">
        <w:rPr>
          <w:color w:val="000000"/>
          <w:sz w:val="24"/>
        </w:rPr>
        <w:t>股盈利能力与成长性将持续修复，</w:t>
      </w:r>
      <w:r w:rsidRPr="00324C76">
        <w:rPr>
          <w:color w:val="000000"/>
          <w:sz w:val="24"/>
        </w:rPr>
        <w:t>“</w:t>
      </w:r>
      <w:r w:rsidRPr="00324C76">
        <w:rPr>
          <w:color w:val="000000"/>
          <w:sz w:val="24"/>
        </w:rPr>
        <w:t>内循环</w:t>
      </w:r>
      <w:r w:rsidRPr="00324C76">
        <w:rPr>
          <w:color w:val="000000"/>
          <w:sz w:val="24"/>
        </w:rPr>
        <w:t>”</w:t>
      </w:r>
      <w:r w:rsidRPr="00324C76">
        <w:rPr>
          <w:color w:val="000000"/>
          <w:sz w:val="24"/>
        </w:rPr>
        <w:t>战略与创业板注册制的实施进一步支持创新型企业的发展。总体而言，随着企业盈利修复，从中长期来看我们对</w:t>
      </w:r>
      <w:r w:rsidRPr="00324C76">
        <w:rPr>
          <w:color w:val="000000"/>
          <w:sz w:val="24"/>
        </w:rPr>
        <w:t>A</w:t>
      </w:r>
      <w:r w:rsidRPr="00324C76">
        <w:rPr>
          <w:color w:val="000000"/>
          <w:sz w:val="24"/>
        </w:rPr>
        <w:t>股市场仍维持谨慎乐观的</w:t>
      </w:r>
      <w:bookmarkStart w:id="1" w:name="_GoBack"/>
      <w:bookmarkEnd w:id="1"/>
      <w:r w:rsidRPr="00324C76">
        <w:rPr>
          <w:color w:val="000000"/>
          <w:sz w:val="24"/>
        </w:rPr>
        <w:t>看法。</w:t>
      </w:r>
    </w:p>
    <w:p w:rsidR="0092140D" w:rsidRPr="00324C76" w:rsidRDefault="0092140D" w:rsidP="00B04217">
      <w:pPr>
        <w:spacing w:before="29" w:line="288" w:lineRule="auto"/>
        <w:ind w:firstLineChars="200" w:firstLine="480"/>
        <w:rPr>
          <w:color w:val="000000"/>
          <w:sz w:val="24"/>
        </w:rPr>
      </w:pPr>
    </w:p>
    <w:p w:rsidR="004D6E34" w:rsidRPr="00324C76" w:rsidRDefault="00360A1E" w:rsidP="00B04217">
      <w:pPr>
        <w:spacing w:before="29" w:line="288" w:lineRule="auto"/>
        <w:rPr>
          <w:sz w:val="24"/>
        </w:rPr>
      </w:pPr>
      <w:r w:rsidRPr="00324C76">
        <w:rPr>
          <w:b/>
          <w:color w:val="000000"/>
          <w:kern w:val="0"/>
          <w:sz w:val="24"/>
        </w:rPr>
        <w:t>4.5</w:t>
      </w:r>
      <w:r w:rsidRPr="00324C76">
        <w:rPr>
          <w:b/>
          <w:color w:val="000000"/>
          <w:kern w:val="0"/>
          <w:sz w:val="24"/>
        </w:rPr>
        <w:t>报告期内基金的业绩表现</w:t>
      </w:r>
    </w:p>
    <w:p w:rsidR="004D6E34" w:rsidRPr="00324C76" w:rsidRDefault="00E27AF2" w:rsidP="00B04217">
      <w:pPr>
        <w:spacing w:before="29" w:line="288" w:lineRule="auto"/>
        <w:ind w:firstLineChars="200" w:firstLine="480"/>
        <w:rPr>
          <w:color w:val="000000"/>
          <w:sz w:val="24"/>
        </w:rPr>
      </w:pPr>
      <w:r w:rsidRPr="00324C76">
        <w:rPr>
          <w:color w:val="000000"/>
          <w:sz w:val="24"/>
        </w:rPr>
        <w:t>本基金（各类）份额净值及业绩表现请见</w:t>
      </w:r>
      <w:r w:rsidRPr="00324C76">
        <w:rPr>
          <w:color w:val="000000"/>
          <w:sz w:val="24"/>
        </w:rPr>
        <w:t>“3.1</w:t>
      </w:r>
      <w:r w:rsidRPr="00324C76">
        <w:rPr>
          <w:color w:val="000000"/>
          <w:sz w:val="24"/>
        </w:rPr>
        <w:t>主要财务指标</w:t>
      </w:r>
      <w:r w:rsidRPr="00324C76">
        <w:rPr>
          <w:color w:val="000000"/>
          <w:sz w:val="24"/>
        </w:rPr>
        <w:t xml:space="preserve">” </w:t>
      </w:r>
      <w:r w:rsidRPr="00324C76">
        <w:rPr>
          <w:color w:val="000000"/>
          <w:sz w:val="24"/>
        </w:rPr>
        <w:t>及</w:t>
      </w:r>
      <w:r w:rsidRPr="00324C76">
        <w:rPr>
          <w:color w:val="000000"/>
          <w:sz w:val="24"/>
        </w:rPr>
        <w:t xml:space="preserve">“3.2.1 </w:t>
      </w:r>
      <w:r w:rsidRPr="00324C76">
        <w:rPr>
          <w:color w:val="000000"/>
          <w:sz w:val="24"/>
        </w:rPr>
        <w:t>本报告期基金份额净值增长率及其与同期业绩比较基准收益率的比较</w:t>
      </w:r>
      <w:r w:rsidRPr="00324C76">
        <w:rPr>
          <w:color w:val="000000"/>
          <w:sz w:val="24"/>
        </w:rPr>
        <w:t>”</w:t>
      </w:r>
      <w:r w:rsidRPr="00324C76">
        <w:rPr>
          <w:color w:val="000000"/>
          <w:sz w:val="24"/>
        </w:rPr>
        <w:t>部分披露。</w:t>
      </w:r>
    </w:p>
    <w:p w:rsidR="008A22A5" w:rsidRPr="00324C76" w:rsidRDefault="008A22A5" w:rsidP="00B04217">
      <w:pPr>
        <w:spacing w:before="29" w:line="288" w:lineRule="auto"/>
        <w:rPr>
          <w:kern w:val="0"/>
          <w:sz w:val="24"/>
        </w:rPr>
      </w:pPr>
    </w:p>
    <w:p w:rsidR="00700422" w:rsidRPr="002070B4" w:rsidRDefault="00700422" w:rsidP="0070042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700422" w:rsidRDefault="00700422" w:rsidP="00700422">
      <w:pPr>
        <w:spacing w:before="29" w:line="288" w:lineRule="auto"/>
        <w:ind w:firstLineChars="200" w:firstLine="480"/>
        <w:rPr>
          <w:color w:val="000000"/>
          <w:sz w:val="24"/>
        </w:rPr>
      </w:pPr>
      <w:r w:rsidRPr="002070B4">
        <w:rPr>
          <w:color w:val="000000"/>
          <w:sz w:val="24"/>
        </w:rPr>
        <w:t>本基金本报告期内无需预警说明。</w:t>
      </w:r>
    </w:p>
    <w:p w:rsidR="0092140D" w:rsidRPr="00324C76" w:rsidRDefault="0092140D" w:rsidP="00B04217">
      <w:pPr>
        <w:spacing w:before="29" w:line="288" w:lineRule="auto"/>
        <w:ind w:firstLineChars="200" w:firstLine="480"/>
        <w:rPr>
          <w:color w:val="000000"/>
          <w:sz w:val="24"/>
        </w:rPr>
      </w:pPr>
    </w:p>
    <w:p w:rsidR="00220542" w:rsidRPr="00324C76" w:rsidRDefault="00220542" w:rsidP="0048293C">
      <w:pPr>
        <w:pStyle w:val="1"/>
        <w:spacing w:beforeLines="100" w:before="312" w:afterLines="100" w:after="312" w:line="288" w:lineRule="auto"/>
        <w:jc w:val="center"/>
        <w:rPr>
          <w:kern w:val="0"/>
          <w:sz w:val="24"/>
          <w:szCs w:val="24"/>
        </w:rPr>
      </w:pPr>
      <w:r w:rsidRPr="00324C76">
        <w:rPr>
          <w:kern w:val="0"/>
          <w:sz w:val="24"/>
          <w:szCs w:val="24"/>
        </w:rPr>
        <w:t xml:space="preserve">§5  </w:t>
      </w:r>
      <w:r w:rsidRPr="00324C76">
        <w:rPr>
          <w:kern w:val="0"/>
          <w:sz w:val="24"/>
          <w:szCs w:val="24"/>
        </w:rPr>
        <w:t>投资组合报告</w:t>
      </w:r>
    </w:p>
    <w:p w:rsidR="00BA170A" w:rsidRDefault="00BA170A" w:rsidP="00BA170A">
      <w:pPr>
        <w:autoSpaceDE w:val="0"/>
        <w:autoSpaceDN w:val="0"/>
        <w:adjustRightInd w:val="0"/>
        <w:spacing w:line="360" w:lineRule="auto"/>
        <w:jc w:val="left"/>
        <w:rPr>
          <w:rFonts w:eastAsiaTheme="minorEastAsia"/>
          <w:b/>
          <w:color w:val="000000" w:themeColor="text1"/>
          <w:kern w:val="0"/>
          <w:sz w:val="24"/>
        </w:rPr>
      </w:pPr>
      <w:r w:rsidRPr="00AE0465">
        <w:rPr>
          <w:rFonts w:eastAsiaTheme="minorEastAsia"/>
          <w:b/>
          <w:color w:val="000000" w:themeColor="text1"/>
          <w:kern w:val="0"/>
          <w:sz w:val="24"/>
        </w:rPr>
        <w:t xml:space="preserve">5.1 </w:t>
      </w:r>
      <w:r w:rsidRPr="00AE0465">
        <w:rPr>
          <w:rFonts w:eastAsiaTheme="minorEastAsia"/>
          <w:b/>
          <w:color w:val="000000" w:themeColor="text1"/>
          <w:kern w:val="0"/>
          <w:sz w:val="24"/>
        </w:rPr>
        <w:t>报告期末基金资产组合情况</w:t>
      </w:r>
    </w:p>
    <w:p w:rsidR="005F16FA" w:rsidRPr="005F16FA" w:rsidRDefault="005F16FA" w:rsidP="005F16FA">
      <w:pPr>
        <w:autoSpaceDE w:val="0"/>
        <w:autoSpaceDN w:val="0"/>
        <w:adjustRightInd w:val="0"/>
        <w:spacing w:line="360" w:lineRule="auto"/>
        <w:jc w:val="right"/>
        <w:rPr>
          <w:rFonts w:eastAsiaTheme="minorEastAsia"/>
          <w:color w:val="000000" w:themeColor="text1"/>
          <w:kern w:val="0"/>
          <w:sz w:val="24"/>
        </w:rPr>
      </w:pPr>
      <w:r w:rsidRPr="005F16FA">
        <w:rPr>
          <w:rFonts w:eastAsiaTheme="minorEastAsia" w:hint="eastAsia"/>
          <w:color w:val="000000" w:themeColor="text1"/>
          <w:kern w:val="0"/>
          <w:sz w:val="24"/>
        </w:rPr>
        <w:t>金额单位：人民币元</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序号</w:t>
            </w:r>
          </w:p>
        </w:tc>
        <w:tc>
          <w:tcPr>
            <w:tcW w:w="2824"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项目</w:t>
            </w:r>
          </w:p>
        </w:tc>
        <w:tc>
          <w:tcPr>
            <w:tcW w:w="2552"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金额</w:t>
            </w:r>
          </w:p>
        </w:tc>
        <w:tc>
          <w:tcPr>
            <w:tcW w:w="2801" w:type="dxa"/>
            <w:vAlign w:val="center"/>
          </w:tcPr>
          <w:p w:rsidR="00BA170A" w:rsidRPr="00AE0465" w:rsidRDefault="00644EC3"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1</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权益投资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5,614,629.60</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1.81</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其中：股票</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5,614,629.60</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1.81</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2</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ascii="宋体" w:hAnsi="宋体" w:hint="eastAsia"/>
                <w:sz w:val="24"/>
              </w:rPr>
              <w:t>基金投资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hint="eastAsia"/>
                <w:color w:val="000000" w:themeColor="text1"/>
                <w:sz w:val="24"/>
              </w:rPr>
              <w:t>286,546,301.48</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hint="eastAsia"/>
                <w:color w:val="000000" w:themeColor="text1"/>
                <w:sz w:val="24"/>
              </w:rPr>
              <w:t>92.38</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3</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固定收益投资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其中：债券</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AE0465">
            <w:pPr>
              <w:autoSpaceDE w:val="0"/>
              <w:autoSpaceDN w:val="0"/>
              <w:adjustRightInd w:val="0"/>
              <w:spacing w:before="29" w:line="360" w:lineRule="auto"/>
              <w:ind w:left="17" w:firstLineChars="300" w:firstLine="720"/>
              <w:jc w:val="left"/>
              <w:rPr>
                <w:rFonts w:eastAsiaTheme="minorEastAsia"/>
                <w:color w:val="000000" w:themeColor="text1"/>
                <w:sz w:val="24"/>
              </w:rPr>
            </w:pPr>
            <w:r w:rsidRPr="00AE0465">
              <w:rPr>
                <w:rFonts w:eastAsiaTheme="minorEastAsia"/>
                <w:color w:val="000000" w:themeColor="text1"/>
                <w:sz w:val="24"/>
              </w:rPr>
              <w:t>资产支持证券</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4</w:t>
            </w:r>
          </w:p>
        </w:tc>
        <w:tc>
          <w:tcPr>
            <w:tcW w:w="2824" w:type="dxa"/>
            <w:vAlign w:val="center"/>
          </w:tcPr>
          <w:p w:rsidR="00BA170A" w:rsidRPr="00AE0465" w:rsidRDefault="00BA170A" w:rsidP="002D2971">
            <w:pPr>
              <w:spacing w:before="29" w:line="360" w:lineRule="auto"/>
              <w:ind w:leftChars="50" w:left="105"/>
              <w:rPr>
                <w:rFonts w:eastAsiaTheme="minorEastAsia"/>
                <w:color w:val="000000" w:themeColor="text1"/>
                <w:sz w:val="24"/>
              </w:rPr>
            </w:pPr>
            <w:r w:rsidRPr="00AE0465">
              <w:rPr>
                <w:rFonts w:eastAsiaTheme="minorEastAsia"/>
                <w:color w:val="000000" w:themeColor="text1"/>
                <w:sz w:val="24"/>
              </w:rPr>
              <w:t>贵金属投资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5</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金融衍生品投资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6</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买入返售金融资产</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其中：买断式回购的买入返售金融资产</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7</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银行存款和结算备付金合计</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17,671,385.53</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5.70</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8</w:t>
            </w:r>
          </w:p>
        </w:tc>
        <w:tc>
          <w:tcPr>
            <w:tcW w:w="2824" w:type="dxa"/>
            <w:vAlign w:val="center"/>
          </w:tcPr>
          <w:p w:rsidR="00BA170A" w:rsidRPr="00AE0465" w:rsidRDefault="00BA170A" w:rsidP="002D2971">
            <w:pPr>
              <w:spacing w:line="360" w:lineRule="auto"/>
              <w:rPr>
                <w:rFonts w:eastAsiaTheme="minorEastAsia"/>
                <w:color w:val="000000" w:themeColor="text1"/>
                <w:sz w:val="24"/>
              </w:rPr>
            </w:pPr>
            <w:r w:rsidRPr="00AE0465">
              <w:rPr>
                <w:rFonts w:eastAsiaTheme="minorEastAsia"/>
                <w:color w:val="000000" w:themeColor="text1"/>
                <w:sz w:val="24"/>
              </w:rPr>
              <w:t>其他各项资产</w:t>
            </w:r>
          </w:p>
        </w:tc>
        <w:tc>
          <w:tcPr>
            <w:tcW w:w="2552" w:type="dxa"/>
            <w:vAlign w:val="center"/>
          </w:tcPr>
          <w:p w:rsidR="00BA170A" w:rsidRPr="00AE0465" w:rsidRDefault="00BA170A" w:rsidP="002D2971">
            <w:pPr>
              <w:spacing w:line="360" w:lineRule="auto"/>
              <w:jc w:val="right"/>
              <w:rPr>
                <w:rFonts w:eastAsiaTheme="minorEastAsia"/>
                <w:color w:val="000000" w:themeColor="text1"/>
                <w:sz w:val="24"/>
              </w:rPr>
            </w:pPr>
            <w:r w:rsidRPr="00AE0465">
              <w:rPr>
                <w:rFonts w:eastAsiaTheme="minorEastAsia"/>
                <w:color w:val="000000" w:themeColor="text1"/>
                <w:sz w:val="24"/>
              </w:rPr>
              <w:t>366,540.95</w:t>
            </w:r>
          </w:p>
        </w:tc>
        <w:tc>
          <w:tcPr>
            <w:tcW w:w="2801" w:type="dxa"/>
            <w:vAlign w:val="center"/>
          </w:tcPr>
          <w:p w:rsidR="00BA170A" w:rsidRPr="00AE0465" w:rsidRDefault="00BA170A" w:rsidP="002D2971">
            <w:pPr>
              <w:spacing w:line="360" w:lineRule="auto"/>
              <w:jc w:val="right"/>
              <w:rPr>
                <w:rFonts w:eastAsiaTheme="minorEastAsia"/>
                <w:color w:val="000000" w:themeColor="text1"/>
                <w:sz w:val="24"/>
              </w:rPr>
            </w:pPr>
            <w:r w:rsidRPr="00AE0465">
              <w:rPr>
                <w:rFonts w:eastAsiaTheme="minorEastAsia"/>
                <w:color w:val="000000" w:themeColor="text1"/>
                <w:sz w:val="24"/>
              </w:rPr>
              <w:t>0.12</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9</w:t>
            </w:r>
          </w:p>
        </w:tc>
        <w:tc>
          <w:tcPr>
            <w:tcW w:w="2824" w:type="dxa"/>
            <w:vAlign w:val="center"/>
          </w:tcPr>
          <w:p w:rsidR="00BA170A" w:rsidRPr="00AE0465" w:rsidRDefault="00BA170A" w:rsidP="002D2971">
            <w:pPr>
              <w:spacing w:line="360" w:lineRule="auto"/>
              <w:rPr>
                <w:rFonts w:eastAsiaTheme="minorEastAsia"/>
                <w:color w:val="000000" w:themeColor="text1"/>
                <w:sz w:val="24"/>
              </w:rPr>
            </w:pPr>
            <w:r w:rsidRPr="00AE0465">
              <w:rPr>
                <w:rFonts w:eastAsiaTheme="minorEastAsia"/>
                <w:color w:val="000000" w:themeColor="text1"/>
                <w:sz w:val="24"/>
              </w:rPr>
              <w:t>合计</w:t>
            </w:r>
          </w:p>
        </w:tc>
        <w:tc>
          <w:tcPr>
            <w:tcW w:w="2552" w:type="dxa"/>
            <w:vAlign w:val="center"/>
          </w:tcPr>
          <w:p w:rsidR="00BA170A" w:rsidRPr="00AE0465" w:rsidRDefault="00BA170A" w:rsidP="002D2971">
            <w:pPr>
              <w:spacing w:line="360" w:lineRule="auto"/>
              <w:jc w:val="right"/>
              <w:rPr>
                <w:rFonts w:eastAsiaTheme="minorEastAsia"/>
                <w:color w:val="000000" w:themeColor="text1"/>
                <w:sz w:val="24"/>
              </w:rPr>
            </w:pPr>
            <w:r w:rsidRPr="00AE0465">
              <w:rPr>
                <w:rFonts w:eastAsiaTheme="minorEastAsia"/>
                <w:color w:val="000000" w:themeColor="text1"/>
                <w:sz w:val="24"/>
              </w:rPr>
              <w:t>310,198,857.56</w:t>
            </w:r>
          </w:p>
        </w:tc>
        <w:tc>
          <w:tcPr>
            <w:tcW w:w="2801" w:type="dxa"/>
            <w:vAlign w:val="center"/>
          </w:tcPr>
          <w:p w:rsidR="00BA170A" w:rsidRPr="00AE0465" w:rsidRDefault="00BA170A" w:rsidP="002D2971">
            <w:pPr>
              <w:spacing w:line="360" w:lineRule="auto"/>
              <w:jc w:val="right"/>
              <w:rPr>
                <w:rFonts w:eastAsiaTheme="minorEastAsia"/>
                <w:color w:val="000000" w:themeColor="text1"/>
                <w:sz w:val="24"/>
              </w:rPr>
            </w:pPr>
            <w:r w:rsidRPr="00AE0465">
              <w:rPr>
                <w:rFonts w:eastAsiaTheme="minorEastAsia"/>
                <w:color w:val="000000" w:themeColor="text1"/>
                <w:sz w:val="24"/>
              </w:rPr>
              <w:t>100.00</w:t>
            </w:r>
          </w:p>
        </w:tc>
      </w:tr>
    </w:tbl>
    <w:p w:rsidR="00D83335" w:rsidRPr="00324C76" w:rsidRDefault="00D83335" w:rsidP="00B04217">
      <w:pPr>
        <w:autoSpaceDE w:val="0"/>
        <w:autoSpaceDN w:val="0"/>
        <w:adjustRightInd w:val="0"/>
        <w:spacing w:before="29" w:line="288" w:lineRule="auto"/>
        <w:jc w:val="left"/>
        <w:rPr>
          <w:sz w:val="24"/>
        </w:rPr>
      </w:pPr>
    </w:p>
    <w:p w:rsidR="00D83335" w:rsidRPr="00324C76" w:rsidRDefault="00D83335" w:rsidP="00B04217">
      <w:pPr>
        <w:autoSpaceDE w:val="0"/>
        <w:autoSpaceDN w:val="0"/>
        <w:adjustRightInd w:val="0"/>
        <w:spacing w:before="29" w:line="288" w:lineRule="auto"/>
        <w:jc w:val="left"/>
        <w:rPr>
          <w:b/>
          <w:kern w:val="0"/>
          <w:sz w:val="24"/>
        </w:rPr>
      </w:pPr>
      <w:r w:rsidRPr="00324C76">
        <w:rPr>
          <w:b/>
          <w:kern w:val="0"/>
          <w:sz w:val="24"/>
        </w:rPr>
        <w:t>5.2</w:t>
      </w:r>
      <w:r w:rsidRPr="00324C76">
        <w:rPr>
          <w:b/>
          <w:kern w:val="0"/>
          <w:sz w:val="24"/>
        </w:rPr>
        <w:t>期末投资目标基金明细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265"/>
        <w:gridCol w:w="1266"/>
        <w:gridCol w:w="1267"/>
        <w:gridCol w:w="1267"/>
        <w:gridCol w:w="1267"/>
        <w:gridCol w:w="1268"/>
        <w:gridCol w:w="1268"/>
      </w:tblGrid>
      <w:tr w:rsidR="00AD036A" w:rsidRPr="00324C76" w:rsidTr="00E42623">
        <w:trPr>
          <w:jc w:val="center"/>
        </w:trPr>
        <w:tc>
          <w:tcPr>
            <w:tcW w:w="1215"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序号</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基金名称</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基金类型</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运作方式</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管理人</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公允价值</w:t>
            </w:r>
            <w:r w:rsidR="008A6913" w:rsidRPr="00324C76">
              <w:rPr>
                <w:kern w:val="0"/>
                <w:sz w:val="24"/>
              </w:rPr>
              <w:t>（元）</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占基金资产净值比例</w:t>
            </w:r>
            <w:r w:rsidR="008A6913" w:rsidRPr="00324C76">
              <w:rPr>
                <w:kern w:val="0"/>
                <w:sz w:val="24"/>
              </w:rPr>
              <w:t>（％）</w:t>
            </w:r>
          </w:p>
        </w:tc>
      </w:tr>
      <w:tr w:rsidR="0051686F">
        <w:trPr>
          <w:jc w:val="center"/>
        </w:trPr>
        <w:tc>
          <w:tcPr>
            <w:tcW w:w="1265" w:type="dxa"/>
            <w:vAlign w:val="center"/>
          </w:tcPr>
          <w:p w:rsidR="0051686F" w:rsidRDefault="009E1C43">
            <w:pPr>
              <w:jc w:val="center"/>
            </w:pPr>
            <w:r>
              <w:rPr>
                <w:sz w:val="24"/>
              </w:rPr>
              <w:t>1</w:t>
            </w:r>
          </w:p>
        </w:tc>
        <w:tc>
          <w:tcPr>
            <w:tcW w:w="1266" w:type="dxa"/>
            <w:vAlign w:val="center"/>
          </w:tcPr>
          <w:p w:rsidR="0051686F" w:rsidRDefault="009E1C43">
            <w:pPr>
              <w:jc w:val="center"/>
            </w:pPr>
            <w:r>
              <w:rPr>
                <w:sz w:val="24"/>
              </w:rPr>
              <w:t>上证</w:t>
            </w:r>
            <w:r>
              <w:rPr>
                <w:sz w:val="24"/>
              </w:rPr>
              <w:t>180</w:t>
            </w:r>
            <w:r>
              <w:rPr>
                <w:sz w:val="24"/>
              </w:rPr>
              <w:t>公司治理交易型开放式指数证券投资基金</w:t>
            </w:r>
          </w:p>
        </w:tc>
        <w:tc>
          <w:tcPr>
            <w:tcW w:w="1267" w:type="dxa"/>
            <w:vAlign w:val="center"/>
          </w:tcPr>
          <w:p w:rsidR="0051686F" w:rsidRDefault="009E1C43">
            <w:pPr>
              <w:jc w:val="center"/>
            </w:pPr>
            <w:r>
              <w:rPr>
                <w:sz w:val="24"/>
              </w:rPr>
              <w:t>股票型</w:t>
            </w:r>
          </w:p>
        </w:tc>
        <w:tc>
          <w:tcPr>
            <w:tcW w:w="1267" w:type="dxa"/>
            <w:vAlign w:val="center"/>
          </w:tcPr>
          <w:p w:rsidR="0051686F" w:rsidRDefault="009E1C43">
            <w:pPr>
              <w:jc w:val="center"/>
            </w:pPr>
            <w:r>
              <w:rPr>
                <w:sz w:val="24"/>
              </w:rPr>
              <w:t>交易型开放式</w:t>
            </w:r>
          </w:p>
        </w:tc>
        <w:tc>
          <w:tcPr>
            <w:tcW w:w="1267" w:type="dxa"/>
            <w:vAlign w:val="center"/>
          </w:tcPr>
          <w:p w:rsidR="0051686F" w:rsidRDefault="009E1C43">
            <w:pPr>
              <w:jc w:val="center"/>
            </w:pPr>
            <w:r>
              <w:rPr>
                <w:sz w:val="24"/>
              </w:rPr>
              <w:t>交银施罗德基金管理有限公司</w:t>
            </w:r>
          </w:p>
        </w:tc>
        <w:tc>
          <w:tcPr>
            <w:tcW w:w="1268" w:type="dxa"/>
            <w:vAlign w:val="center"/>
          </w:tcPr>
          <w:p w:rsidR="0051686F" w:rsidRDefault="009E1C43">
            <w:pPr>
              <w:jc w:val="right"/>
            </w:pPr>
            <w:r>
              <w:rPr>
                <w:sz w:val="24"/>
              </w:rPr>
              <w:t>286,546,301.48</w:t>
            </w:r>
          </w:p>
        </w:tc>
        <w:tc>
          <w:tcPr>
            <w:tcW w:w="1268" w:type="dxa"/>
            <w:vAlign w:val="center"/>
          </w:tcPr>
          <w:p w:rsidR="0051686F" w:rsidRDefault="009E1C43">
            <w:pPr>
              <w:jc w:val="right"/>
            </w:pPr>
            <w:r>
              <w:rPr>
                <w:sz w:val="24"/>
              </w:rPr>
              <w:t>92.48</w:t>
            </w:r>
          </w:p>
        </w:tc>
      </w:tr>
    </w:tbl>
    <w:p w:rsidR="00C640D9" w:rsidRPr="00324C76" w:rsidRDefault="00C640D9" w:rsidP="00B04217">
      <w:pPr>
        <w:autoSpaceDE w:val="0"/>
        <w:autoSpaceDN w:val="0"/>
        <w:adjustRightInd w:val="0"/>
        <w:spacing w:before="29" w:line="288" w:lineRule="auto"/>
        <w:jc w:val="left"/>
        <w:rPr>
          <w:kern w:val="0"/>
          <w:sz w:val="24"/>
        </w:rPr>
      </w:pPr>
    </w:p>
    <w:p w:rsidR="00220542"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3</w:t>
      </w:r>
      <w:r w:rsidRPr="00324C76">
        <w:rPr>
          <w:b/>
          <w:kern w:val="0"/>
          <w:sz w:val="24"/>
        </w:rPr>
        <w:t>报告期末按行业分类的股票投资组合</w:t>
      </w:r>
    </w:p>
    <w:p w:rsidR="000D27BF" w:rsidRDefault="000D27BF" w:rsidP="000D27BF">
      <w:pPr>
        <w:rPr>
          <w:rFonts w:eastAsiaTheme="minorEastAsia"/>
          <w:b/>
          <w:color w:val="000000" w:themeColor="text1"/>
          <w:kern w:val="0"/>
          <w:sz w:val="24"/>
        </w:rPr>
      </w:pPr>
      <w:r>
        <w:rPr>
          <w:rFonts w:eastAsiaTheme="minorEastAsia" w:hint="eastAsia"/>
          <w:b/>
          <w:color w:val="000000" w:themeColor="text1"/>
          <w:kern w:val="0"/>
          <w:sz w:val="24"/>
        </w:rPr>
        <w:t>5.3</w:t>
      </w:r>
      <w:r w:rsidRPr="004A3846">
        <w:rPr>
          <w:rFonts w:eastAsiaTheme="minorEastAsia" w:hint="eastAsia"/>
          <w:b/>
          <w:color w:val="000000" w:themeColor="text1"/>
          <w:kern w:val="0"/>
          <w:sz w:val="24"/>
        </w:rPr>
        <w:t>.1</w:t>
      </w:r>
      <w:r w:rsidRPr="004A3846">
        <w:rPr>
          <w:rFonts w:eastAsiaTheme="minorEastAsia" w:hint="eastAsia"/>
          <w:b/>
          <w:color w:val="000000" w:themeColor="text1"/>
          <w:kern w:val="0"/>
          <w:sz w:val="24"/>
        </w:rPr>
        <w:t>报告期末按行业分类的境内股票投资组合</w:t>
      </w:r>
    </w:p>
    <w:p w:rsidR="00D17C3D" w:rsidRPr="005312D8" w:rsidRDefault="00D17C3D" w:rsidP="00D17C3D">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bottom w:w="-1" w:type="dxa"/>
        </w:tblCellMar>
        <w:tblLook w:val="0000" w:firstRow="0" w:lastRow="0" w:firstColumn="0" w:lastColumn="0" w:noHBand="0" w:noVBand="0"/>
      </w:tblPr>
      <w:tblGrid>
        <w:gridCol w:w="845"/>
        <w:gridCol w:w="3453"/>
        <w:gridCol w:w="3115"/>
        <w:gridCol w:w="1455"/>
      </w:tblGrid>
      <w:tr w:rsidR="003634D5" w:rsidRPr="00324C76" w:rsidTr="00EF1D5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代码</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行业类别</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1C78B5">
            <w:pPr>
              <w:adjustRightInd w:val="0"/>
              <w:snapToGrid w:val="0"/>
              <w:spacing w:before="29" w:line="288" w:lineRule="auto"/>
              <w:jc w:val="center"/>
              <w:rPr>
                <w:sz w:val="24"/>
              </w:rPr>
            </w:pPr>
            <w:r w:rsidRPr="00324C76">
              <w:rPr>
                <w:sz w:val="24"/>
              </w:rPr>
              <w:t>公允价值</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占基金资产净值比例（％）</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A</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农、林、牧、渔业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B</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采矿业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74B0F">
            <w:pPr>
              <w:spacing w:before="29" w:line="288" w:lineRule="auto"/>
              <w:jc w:val="right"/>
              <w:rPr>
                <w:sz w:val="24"/>
              </w:rPr>
            </w:pPr>
            <w:r w:rsidRPr="00324C76">
              <w:rPr>
                <w:sz w:val="24"/>
              </w:rPr>
              <w:t>345,580.00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74B0F">
            <w:pPr>
              <w:spacing w:before="29" w:line="288" w:lineRule="auto"/>
              <w:jc w:val="right"/>
              <w:rPr>
                <w:sz w:val="24"/>
              </w:rPr>
            </w:pPr>
            <w:r w:rsidRPr="00324C76">
              <w:rPr>
                <w:sz w:val="24"/>
              </w:rPr>
              <w:t>0.11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C</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制造业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1,498,918.24</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0.48</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D</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电力、热力、燃气及水生产和供应业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271,755.00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0.09</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E</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建筑业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284,136.60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0.09</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F</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批发和零售业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61,705.60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0.02</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G</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交通运输、仓储和邮政业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196,102.00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0.06</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H</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住宿和餐饮业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02794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I</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027942">
            <w:pPr>
              <w:adjustRightInd w:val="0"/>
              <w:snapToGrid w:val="0"/>
              <w:spacing w:before="29" w:line="288" w:lineRule="auto"/>
              <w:rPr>
                <w:sz w:val="24"/>
              </w:rPr>
            </w:pPr>
            <w:r w:rsidRPr="00324C76">
              <w:rPr>
                <w:sz w:val="24"/>
              </w:rPr>
              <w:t>信息传输、软件和信息技术服务业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165,677.92</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0.05</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J</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金融业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2,614,545.24</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0.84</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K</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房地产业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164,638.00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0.05</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L</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租赁和商务服务业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M</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科学研究和技术服务业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N</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水利、环境和公共设施管理业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299.00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O</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居民服务、修理和其他服务业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P</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教育</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Q</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卫生和社会工作</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R</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文化、体育和娱乐业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11,272.00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S</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综合</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合计</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5,614,629.60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1.81</w:t>
            </w:r>
          </w:p>
        </w:tc>
      </w:tr>
    </w:tbl>
    <w:p w:rsidR="000D27BF" w:rsidRPr="008A409E" w:rsidRDefault="000D27BF" w:rsidP="000D27BF">
      <w:pPr>
        <w:jc w:val="left"/>
        <w:rPr>
          <w:rFonts w:asciiTheme="minorEastAsia" w:eastAsiaTheme="minorEastAsia" w:hAnsiTheme="minorEastAsia"/>
          <w:b/>
          <w:bCs/>
          <w:color w:val="000000" w:themeColor="text1"/>
          <w:kern w:val="0"/>
          <w:sz w:val="24"/>
        </w:rPr>
      </w:pPr>
      <w:r>
        <w:rPr>
          <w:rFonts w:asciiTheme="minorEastAsia" w:eastAsiaTheme="minorEastAsia" w:hAnsiTheme="minorEastAsia" w:hint="eastAsia"/>
          <w:b/>
          <w:bCs/>
          <w:color w:val="000000" w:themeColor="text1"/>
          <w:kern w:val="0"/>
          <w:sz w:val="24"/>
        </w:rPr>
        <w:t>5.3</w:t>
      </w:r>
      <w:r w:rsidRPr="008A409E">
        <w:rPr>
          <w:rFonts w:asciiTheme="minorEastAsia" w:eastAsiaTheme="minorEastAsia" w:hAnsiTheme="minorEastAsia" w:hint="eastAsia"/>
          <w:b/>
          <w:bCs/>
          <w:color w:val="000000" w:themeColor="text1"/>
          <w:kern w:val="0"/>
          <w:sz w:val="24"/>
        </w:rPr>
        <w:t>.2报告期末按行业分类的</w:t>
      </w:r>
      <w:r w:rsidR="0047622F">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0D27BF" w:rsidRDefault="000D27BF" w:rsidP="000D27BF">
      <w:pPr>
        <w:spacing w:before="29" w:line="360" w:lineRule="auto"/>
        <w:ind w:left="17"/>
        <w:rPr>
          <w:color w:val="000000"/>
          <w:sz w:val="24"/>
        </w:rPr>
      </w:pPr>
      <w:r w:rsidRPr="00FF0BBF">
        <w:rPr>
          <w:color w:val="000000"/>
          <w:sz w:val="24"/>
        </w:rPr>
        <w:t>本基金本报告期末未持有通过港股通投资的股票。</w:t>
      </w:r>
    </w:p>
    <w:p w:rsidR="00220542" w:rsidRPr="000D27BF"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4</w:t>
      </w:r>
      <w:r w:rsidRPr="00324C76">
        <w:rPr>
          <w:b/>
          <w:kern w:val="0"/>
          <w:sz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49"/>
        <w:gridCol w:w="1327"/>
        <w:gridCol w:w="1621"/>
        <w:gridCol w:w="1769"/>
        <w:gridCol w:w="2211"/>
        <w:gridCol w:w="1091"/>
      </w:tblGrid>
      <w:tr w:rsidR="00BA574A" w:rsidRPr="00324C76" w:rsidTr="00E42623">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1276"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股票代码</w:t>
            </w:r>
          </w:p>
        </w:tc>
        <w:tc>
          <w:tcPr>
            <w:tcW w:w="155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股票名称</w:t>
            </w:r>
          </w:p>
        </w:tc>
        <w:tc>
          <w:tcPr>
            <w:tcW w:w="1701"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数量</w:t>
            </w:r>
            <w:r w:rsidR="00CB6AC9" w:rsidRPr="00324C76">
              <w:rPr>
                <w:color w:val="000000"/>
                <w:sz w:val="24"/>
              </w:rPr>
              <w:t>（股）</w:t>
            </w:r>
          </w:p>
        </w:tc>
        <w:tc>
          <w:tcPr>
            <w:tcW w:w="2126" w:type="dxa"/>
            <w:vAlign w:val="center"/>
          </w:tcPr>
          <w:p w:rsidR="00BA574A" w:rsidRPr="00324C76" w:rsidRDefault="00BA574A" w:rsidP="00B04217">
            <w:pPr>
              <w:autoSpaceDE w:val="0"/>
              <w:autoSpaceDN w:val="0"/>
              <w:adjustRightInd w:val="0"/>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04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CB6AC9" w:rsidRPr="00324C76">
              <w:rPr>
                <w:color w:val="000000"/>
                <w:sz w:val="24"/>
              </w:rPr>
              <w:t>（％）</w:t>
            </w:r>
          </w:p>
        </w:tc>
      </w:tr>
      <w:tr w:rsidR="0051686F">
        <w:trPr>
          <w:jc w:val="center"/>
        </w:trPr>
        <w:tc>
          <w:tcPr>
            <w:tcW w:w="849" w:type="dxa"/>
            <w:vAlign w:val="center"/>
          </w:tcPr>
          <w:p w:rsidR="0051686F" w:rsidRDefault="009E1C43">
            <w:pPr>
              <w:jc w:val="center"/>
            </w:pPr>
            <w:r>
              <w:rPr>
                <w:color w:val="000000"/>
                <w:sz w:val="24"/>
              </w:rPr>
              <w:t>1</w:t>
            </w:r>
          </w:p>
        </w:tc>
        <w:tc>
          <w:tcPr>
            <w:tcW w:w="1327" w:type="dxa"/>
            <w:vAlign w:val="center"/>
          </w:tcPr>
          <w:p w:rsidR="0051686F" w:rsidRDefault="009E1C43">
            <w:pPr>
              <w:jc w:val="center"/>
            </w:pPr>
            <w:r>
              <w:rPr>
                <w:color w:val="000000"/>
                <w:sz w:val="24"/>
              </w:rPr>
              <w:t>601318</w:t>
            </w:r>
          </w:p>
        </w:tc>
        <w:tc>
          <w:tcPr>
            <w:tcW w:w="1621" w:type="dxa"/>
            <w:vAlign w:val="center"/>
          </w:tcPr>
          <w:p w:rsidR="0051686F" w:rsidRDefault="009E1C43">
            <w:pPr>
              <w:jc w:val="center"/>
            </w:pPr>
            <w:r>
              <w:rPr>
                <w:color w:val="000000"/>
                <w:sz w:val="24"/>
              </w:rPr>
              <w:t>中国平安</w:t>
            </w:r>
          </w:p>
        </w:tc>
        <w:tc>
          <w:tcPr>
            <w:tcW w:w="1769" w:type="dxa"/>
            <w:vAlign w:val="center"/>
          </w:tcPr>
          <w:p w:rsidR="0051686F" w:rsidRDefault="009E1C43">
            <w:pPr>
              <w:jc w:val="right"/>
            </w:pPr>
            <w:r>
              <w:rPr>
                <w:color w:val="000000"/>
                <w:sz w:val="24"/>
              </w:rPr>
              <w:t>11,000</w:t>
            </w:r>
          </w:p>
        </w:tc>
        <w:tc>
          <w:tcPr>
            <w:tcW w:w="2211" w:type="dxa"/>
            <w:vAlign w:val="center"/>
          </w:tcPr>
          <w:p w:rsidR="0051686F" w:rsidRDefault="009E1C43">
            <w:pPr>
              <w:jc w:val="right"/>
            </w:pPr>
            <w:r>
              <w:rPr>
                <w:color w:val="000000"/>
                <w:sz w:val="24"/>
              </w:rPr>
              <w:t>838,860.00</w:t>
            </w:r>
          </w:p>
        </w:tc>
        <w:tc>
          <w:tcPr>
            <w:tcW w:w="1091" w:type="dxa"/>
            <w:vAlign w:val="center"/>
          </w:tcPr>
          <w:p w:rsidR="0051686F" w:rsidRDefault="009E1C43">
            <w:pPr>
              <w:jc w:val="right"/>
            </w:pPr>
            <w:r>
              <w:rPr>
                <w:color w:val="000000"/>
                <w:sz w:val="24"/>
              </w:rPr>
              <w:t>0.27</w:t>
            </w:r>
          </w:p>
        </w:tc>
      </w:tr>
      <w:tr w:rsidR="0051686F">
        <w:trPr>
          <w:jc w:val="center"/>
        </w:trPr>
        <w:tc>
          <w:tcPr>
            <w:tcW w:w="849" w:type="dxa"/>
            <w:vAlign w:val="center"/>
          </w:tcPr>
          <w:p w:rsidR="0051686F" w:rsidRDefault="009E1C43">
            <w:pPr>
              <w:jc w:val="center"/>
            </w:pPr>
            <w:r>
              <w:rPr>
                <w:color w:val="000000"/>
                <w:sz w:val="24"/>
              </w:rPr>
              <w:t>2</w:t>
            </w:r>
          </w:p>
        </w:tc>
        <w:tc>
          <w:tcPr>
            <w:tcW w:w="1327" w:type="dxa"/>
            <w:vAlign w:val="center"/>
          </w:tcPr>
          <w:p w:rsidR="0051686F" w:rsidRDefault="009E1C43">
            <w:pPr>
              <w:jc w:val="center"/>
            </w:pPr>
            <w:r>
              <w:rPr>
                <w:color w:val="000000"/>
                <w:sz w:val="24"/>
              </w:rPr>
              <w:t>600036</w:t>
            </w:r>
          </w:p>
        </w:tc>
        <w:tc>
          <w:tcPr>
            <w:tcW w:w="1621" w:type="dxa"/>
            <w:vAlign w:val="center"/>
          </w:tcPr>
          <w:p w:rsidR="0051686F" w:rsidRDefault="009E1C43">
            <w:pPr>
              <w:jc w:val="center"/>
            </w:pPr>
            <w:r>
              <w:rPr>
                <w:color w:val="000000"/>
                <w:sz w:val="24"/>
              </w:rPr>
              <w:t>招商银行</w:t>
            </w:r>
          </w:p>
        </w:tc>
        <w:tc>
          <w:tcPr>
            <w:tcW w:w="1769" w:type="dxa"/>
            <w:vAlign w:val="center"/>
          </w:tcPr>
          <w:p w:rsidR="0051686F" w:rsidRDefault="009E1C43">
            <w:pPr>
              <w:jc w:val="right"/>
            </w:pPr>
            <w:r>
              <w:rPr>
                <w:color w:val="000000"/>
                <w:sz w:val="24"/>
              </w:rPr>
              <w:t>10,500</w:t>
            </w:r>
          </w:p>
        </w:tc>
        <w:tc>
          <w:tcPr>
            <w:tcW w:w="2211" w:type="dxa"/>
            <w:vAlign w:val="center"/>
          </w:tcPr>
          <w:p w:rsidR="0051686F" w:rsidRDefault="009E1C43">
            <w:pPr>
              <w:jc w:val="right"/>
            </w:pPr>
            <w:r>
              <w:rPr>
                <w:color w:val="000000"/>
                <w:sz w:val="24"/>
              </w:rPr>
              <w:t>378,000.00</w:t>
            </w:r>
          </w:p>
        </w:tc>
        <w:tc>
          <w:tcPr>
            <w:tcW w:w="1091" w:type="dxa"/>
            <w:vAlign w:val="center"/>
          </w:tcPr>
          <w:p w:rsidR="0051686F" w:rsidRDefault="009E1C43">
            <w:pPr>
              <w:jc w:val="right"/>
            </w:pPr>
            <w:r>
              <w:rPr>
                <w:color w:val="000000"/>
                <w:sz w:val="24"/>
              </w:rPr>
              <w:t>0.12</w:t>
            </w:r>
          </w:p>
        </w:tc>
      </w:tr>
      <w:tr w:rsidR="0051686F">
        <w:trPr>
          <w:jc w:val="center"/>
        </w:trPr>
        <w:tc>
          <w:tcPr>
            <w:tcW w:w="849" w:type="dxa"/>
            <w:vAlign w:val="center"/>
          </w:tcPr>
          <w:p w:rsidR="0051686F" w:rsidRDefault="009E1C43">
            <w:pPr>
              <w:jc w:val="center"/>
            </w:pPr>
            <w:r>
              <w:rPr>
                <w:color w:val="000000"/>
                <w:sz w:val="24"/>
              </w:rPr>
              <w:t>3</w:t>
            </w:r>
          </w:p>
        </w:tc>
        <w:tc>
          <w:tcPr>
            <w:tcW w:w="1327" w:type="dxa"/>
            <w:vAlign w:val="center"/>
          </w:tcPr>
          <w:p w:rsidR="0051686F" w:rsidRDefault="009E1C43">
            <w:pPr>
              <w:jc w:val="center"/>
            </w:pPr>
            <w:r>
              <w:rPr>
                <w:color w:val="000000"/>
                <w:sz w:val="24"/>
              </w:rPr>
              <w:t>600887</w:t>
            </w:r>
          </w:p>
        </w:tc>
        <w:tc>
          <w:tcPr>
            <w:tcW w:w="1621" w:type="dxa"/>
            <w:vAlign w:val="center"/>
          </w:tcPr>
          <w:p w:rsidR="0051686F" w:rsidRDefault="009E1C43">
            <w:pPr>
              <w:jc w:val="center"/>
            </w:pPr>
            <w:r>
              <w:rPr>
                <w:color w:val="000000"/>
                <w:sz w:val="24"/>
              </w:rPr>
              <w:t>伊利股份</w:t>
            </w:r>
          </w:p>
        </w:tc>
        <w:tc>
          <w:tcPr>
            <w:tcW w:w="1769" w:type="dxa"/>
            <w:vAlign w:val="center"/>
          </w:tcPr>
          <w:p w:rsidR="0051686F" w:rsidRDefault="009E1C43">
            <w:pPr>
              <w:jc w:val="right"/>
            </w:pPr>
            <w:r>
              <w:rPr>
                <w:color w:val="000000"/>
                <w:sz w:val="24"/>
              </w:rPr>
              <w:t>6,200</w:t>
            </w:r>
          </w:p>
        </w:tc>
        <w:tc>
          <w:tcPr>
            <w:tcW w:w="2211" w:type="dxa"/>
            <w:vAlign w:val="center"/>
          </w:tcPr>
          <w:p w:rsidR="0051686F" w:rsidRDefault="009E1C43">
            <w:pPr>
              <w:jc w:val="right"/>
            </w:pPr>
            <w:r>
              <w:rPr>
                <w:color w:val="000000"/>
                <w:sz w:val="24"/>
              </w:rPr>
              <w:t>238,700.00</w:t>
            </w:r>
          </w:p>
        </w:tc>
        <w:tc>
          <w:tcPr>
            <w:tcW w:w="1091" w:type="dxa"/>
            <w:vAlign w:val="center"/>
          </w:tcPr>
          <w:p w:rsidR="0051686F" w:rsidRDefault="009E1C43">
            <w:pPr>
              <w:jc w:val="right"/>
            </w:pPr>
            <w:r>
              <w:rPr>
                <w:color w:val="000000"/>
                <w:sz w:val="24"/>
              </w:rPr>
              <w:t>0.08</w:t>
            </w:r>
          </w:p>
        </w:tc>
      </w:tr>
      <w:tr w:rsidR="0051686F">
        <w:trPr>
          <w:jc w:val="center"/>
        </w:trPr>
        <w:tc>
          <w:tcPr>
            <w:tcW w:w="849" w:type="dxa"/>
            <w:vAlign w:val="center"/>
          </w:tcPr>
          <w:p w:rsidR="0051686F" w:rsidRDefault="009E1C43">
            <w:pPr>
              <w:jc w:val="center"/>
            </w:pPr>
            <w:r>
              <w:rPr>
                <w:color w:val="000000"/>
                <w:sz w:val="24"/>
              </w:rPr>
              <w:t>4</w:t>
            </w:r>
          </w:p>
        </w:tc>
        <w:tc>
          <w:tcPr>
            <w:tcW w:w="1327" w:type="dxa"/>
            <w:vAlign w:val="center"/>
          </w:tcPr>
          <w:p w:rsidR="0051686F" w:rsidRDefault="009E1C43">
            <w:pPr>
              <w:jc w:val="center"/>
            </w:pPr>
            <w:r>
              <w:rPr>
                <w:color w:val="000000"/>
                <w:sz w:val="24"/>
              </w:rPr>
              <w:t>601166</w:t>
            </w:r>
          </w:p>
        </w:tc>
        <w:tc>
          <w:tcPr>
            <w:tcW w:w="1621" w:type="dxa"/>
            <w:vAlign w:val="center"/>
          </w:tcPr>
          <w:p w:rsidR="0051686F" w:rsidRDefault="009E1C43">
            <w:pPr>
              <w:jc w:val="center"/>
            </w:pPr>
            <w:r>
              <w:rPr>
                <w:color w:val="000000"/>
                <w:sz w:val="24"/>
              </w:rPr>
              <w:t>兴业银行</w:t>
            </w:r>
          </w:p>
        </w:tc>
        <w:tc>
          <w:tcPr>
            <w:tcW w:w="1769" w:type="dxa"/>
            <w:vAlign w:val="center"/>
          </w:tcPr>
          <w:p w:rsidR="0051686F" w:rsidRDefault="009E1C43">
            <w:pPr>
              <w:jc w:val="right"/>
            </w:pPr>
            <w:r>
              <w:rPr>
                <w:color w:val="000000"/>
                <w:sz w:val="24"/>
              </w:rPr>
              <w:t>12,700</w:t>
            </w:r>
          </w:p>
        </w:tc>
        <w:tc>
          <w:tcPr>
            <w:tcW w:w="2211" w:type="dxa"/>
            <w:vAlign w:val="center"/>
          </w:tcPr>
          <w:p w:rsidR="0051686F" w:rsidRDefault="009E1C43">
            <w:pPr>
              <w:jc w:val="right"/>
            </w:pPr>
            <w:r>
              <w:rPr>
                <w:color w:val="000000"/>
                <w:sz w:val="24"/>
              </w:rPr>
              <w:t>204,851.00</w:t>
            </w:r>
          </w:p>
        </w:tc>
        <w:tc>
          <w:tcPr>
            <w:tcW w:w="1091" w:type="dxa"/>
            <w:vAlign w:val="center"/>
          </w:tcPr>
          <w:p w:rsidR="0051686F" w:rsidRDefault="009E1C43">
            <w:pPr>
              <w:jc w:val="right"/>
            </w:pPr>
            <w:r>
              <w:rPr>
                <w:color w:val="000000"/>
                <w:sz w:val="24"/>
              </w:rPr>
              <w:t>0.07</w:t>
            </w:r>
          </w:p>
        </w:tc>
      </w:tr>
      <w:tr w:rsidR="0051686F">
        <w:trPr>
          <w:jc w:val="center"/>
        </w:trPr>
        <w:tc>
          <w:tcPr>
            <w:tcW w:w="849" w:type="dxa"/>
            <w:vAlign w:val="center"/>
          </w:tcPr>
          <w:p w:rsidR="0051686F" w:rsidRDefault="009E1C43">
            <w:pPr>
              <w:jc w:val="center"/>
            </w:pPr>
            <w:r>
              <w:rPr>
                <w:color w:val="000000"/>
                <w:sz w:val="24"/>
              </w:rPr>
              <w:t>5</w:t>
            </w:r>
          </w:p>
        </w:tc>
        <w:tc>
          <w:tcPr>
            <w:tcW w:w="1327" w:type="dxa"/>
            <w:vAlign w:val="center"/>
          </w:tcPr>
          <w:p w:rsidR="0051686F" w:rsidRDefault="009E1C43">
            <w:pPr>
              <w:jc w:val="center"/>
            </w:pPr>
            <w:r>
              <w:rPr>
                <w:color w:val="000000"/>
                <w:sz w:val="24"/>
              </w:rPr>
              <w:t>601398</w:t>
            </w:r>
          </w:p>
        </w:tc>
        <w:tc>
          <w:tcPr>
            <w:tcW w:w="1621" w:type="dxa"/>
            <w:vAlign w:val="center"/>
          </w:tcPr>
          <w:p w:rsidR="0051686F" w:rsidRDefault="009E1C43">
            <w:pPr>
              <w:jc w:val="center"/>
            </w:pPr>
            <w:r>
              <w:rPr>
                <w:color w:val="000000"/>
                <w:sz w:val="24"/>
              </w:rPr>
              <w:t>工商银行</w:t>
            </w:r>
          </w:p>
        </w:tc>
        <w:tc>
          <w:tcPr>
            <w:tcW w:w="1769" w:type="dxa"/>
            <w:vAlign w:val="center"/>
          </w:tcPr>
          <w:p w:rsidR="0051686F" w:rsidRDefault="009E1C43">
            <w:pPr>
              <w:jc w:val="right"/>
            </w:pPr>
            <w:r>
              <w:rPr>
                <w:color w:val="000000"/>
                <w:sz w:val="24"/>
              </w:rPr>
              <w:t>35,600</w:t>
            </w:r>
          </w:p>
        </w:tc>
        <w:tc>
          <w:tcPr>
            <w:tcW w:w="2211" w:type="dxa"/>
            <w:vAlign w:val="center"/>
          </w:tcPr>
          <w:p w:rsidR="0051686F" w:rsidRDefault="009E1C43">
            <w:pPr>
              <w:jc w:val="right"/>
            </w:pPr>
            <w:r>
              <w:rPr>
                <w:color w:val="000000"/>
                <w:sz w:val="24"/>
              </w:rPr>
              <w:t>175,152.00</w:t>
            </w:r>
          </w:p>
        </w:tc>
        <w:tc>
          <w:tcPr>
            <w:tcW w:w="1091" w:type="dxa"/>
            <w:vAlign w:val="center"/>
          </w:tcPr>
          <w:p w:rsidR="0051686F" w:rsidRDefault="009E1C43">
            <w:pPr>
              <w:jc w:val="right"/>
            </w:pPr>
            <w:r>
              <w:rPr>
                <w:color w:val="000000"/>
                <w:sz w:val="24"/>
              </w:rPr>
              <w:t>0.06</w:t>
            </w:r>
          </w:p>
        </w:tc>
      </w:tr>
      <w:tr w:rsidR="0051686F">
        <w:trPr>
          <w:jc w:val="center"/>
        </w:trPr>
        <w:tc>
          <w:tcPr>
            <w:tcW w:w="849" w:type="dxa"/>
            <w:vAlign w:val="center"/>
          </w:tcPr>
          <w:p w:rsidR="0051686F" w:rsidRDefault="009E1C43">
            <w:pPr>
              <w:jc w:val="center"/>
            </w:pPr>
            <w:r>
              <w:rPr>
                <w:color w:val="000000"/>
                <w:sz w:val="24"/>
              </w:rPr>
              <w:t>6</w:t>
            </w:r>
          </w:p>
        </w:tc>
        <w:tc>
          <w:tcPr>
            <w:tcW w:w="1327" w:type="dxa"/>
            <w:vAlign w:val="center"/>
          </w:tcPr>
          <w:p w:rsidR="0051686F" w:rsidRDefault="009E1C43">
            <w:pPr>
              <w:jc w:val="center"/>
            </w:pPr>
            <w:r>
              <w:rPr>
                <w:color w:val="000000"/>
                <w:sz w:val="24"/>
              </w:rPr>
              <w:t>600900</w:t>
            </w:r>
          </w:p>
        </w:tc>
        <w:tc>
          <w:tcPr>
            <w:tcW w:w="1621" w:type="dxa"/>
            <w:vAlign w:val="center"/>
          </w:tcPr>
          <w:p w:rsidR="0051686F" w:rsidRDefault="009E1C43">
            <w:pPr>
              <w:jc w:val="center"/>
            </w:pPr>
            <w:r>
              <w:rPr>
                <w:color w:val="000000"/>
                <w:sz w:val="24"/>
              </w:rPr>
              <w:t>长江电力</w:t>
            </w:r>
          </w:p>
        </w:tc>
        <w:tc>
          <w:tcPr>
            <w:tcW w:w="1769" w:type="dxa"/>
            <w:vAlign w:val="center"/>
          </w:tcPr>
          <w:p w:rsidR="0051686F" w:rsidRDefault="009E1C43">
            <w:pPr>
              <w:jc w:val="right"/>
            </w:pPr>
            <w:r>
              <w:rPr>
                <w:color w:val="000000"/>
                <w:sz w:val="24"/>
              </w:rPr>
              <w:t>8,900</w:t>
            </w:r>
          </w:p>
        </w:tc>
        <w:tc>
          <w:tcPr>
            <w:tcW w:w="2211" w:type="dxa"/>
            <w:vAlign w:val="center"/>
          </w:tcPr>
          <w:p w:rsidR="0051686F" w:rsidRDefault="009E1C43">
            <w:pPr>
              <w:jc w:val="right"/>
            </w:pPr>
            <w:r>
              <w:rPr>
                <w:color w:val="000000"/>
                <w:sz w:val="24"/>
              </w:rPr>
              <w:t>170,257.00</w:t>
            </w:r>
          </w:p>
        </w:tc>
        <w:tc>
          <w:tcPr>
            <w:tcW w:w="1091" w:type="dxa"/>
            <w:vAlign w:val="center"/>
          </w:tcPr>
          <w:p w:rsidR="0051686F" w:rsidRDefault="009E1C43">
            <w:pPr>
              <w:jc w:val="right"/>
            </w:pPr>
            <w:r>
              <w:rPr>
                <w:color w:val="000000"/>
                <w:sz w:val="24"/>
              </w:rPr>
              <w:t>0.05</w:t>
            </w:r>
          </w:p>
        </w:tc>
      </w:tr>
      <w:tr w:rsidR="0051686F">
        <w:trPr>
          <w:jc w:val="center"/>
        </w:trPr>
        <w:tc>
          <w:tcPr>
            <w:tcW w:w="849" w:type="dxa"/>
            <w:vAlign w:val="center"/>
          </w:tcPr>
          <w:p w:rsidR="0051686F" w:rsidRDefault="009E1C43">
            <w:pPr>
              <w:jc w:val="center"/>
            </w:pPr>
            <w:r>
              <w:rPr>
                <w:color w:val="000000"/>
                <w:sz w:val="24"/>
              </w:rPr>
              <w:t>7</w:t>
            </w:r>
          </w:p>
        </w:tc>
        <w:tc>
          <w:tcPr>
            <w:tcW w:w="1327" w:type="dxa"/>
            <w:vAlign w:val="center"/>
          </w:tcPr>
          <w:p w:rsidR="0051686F" w:rsidRDefault="009E1C43">
            <w:pPr>
              <w:jc w:val="center"/>
            </w:pPr>
            <w:r>
              <w:rPr>
                <w:color w:val="000000"/>
                <w:sz w:val="24"/>
              </w:rPr>
              <w:t>600031</w:t>
            </w:r>
          </w:p>
        </w:tc>
        <w:tc>
          <w:tcPr>
            <w:tcW w:w="1621" w:type="dxa"/>
            <w:vAlign w:val="center"/>
          </w:tcPr>
          <w:p w:rsidR="0051686F" w:rsidRDefault="009E1C43">
            <w:pPr>
              <w:jc w:val="center"/>
            </w:pPr>
            <w:r>
              <w:rPr>
                <w:color w:val="000000"/>
                <w:sz w:val="24"/>
              </w:rPr>
              <w:t>三一重工</w:t>
            </w:r>
          </w:p>
        </w:tc>
        <w:tc>
          <w:tcPr>
            <w:tcW w:w="1769" w:type="dxa"/>
            <w:vAlign w:val="center"/>
          </w:tcPr>
          <w:p w:rsidR="0051686F" w:rsidRDefault="009E1C43">
            <w:pPr>
              <w:jc w:val="right"/>
            </w:pPr>
            <w:r>
              <w:rPr>
                <w:color w:val="000000"/>
                <w:sz w:val="24"/>
              </w:rPr>
              <w:t>6,000</w:t>
            </w:r>
          </w:p>
        </w:tc>
        <w:tc>
          <w:tcPr>
            <w:tcW w:w="2211" w:type="dxa"/>
            <w:vAlign w:val="center"/>
          </w:tcPr>
          <w:p w:rsidR="0051686F" w:rsidRDefault="009E1C43">
            <w:pPr>
              <w:jc w:val="right"/>
            </w:pPr>
            <w:r>
              <w:rPr>
                <w:color w:val="000000"/>
                <w:sz w:val="24"/>
              </w:rPr>
              <w:t>149,340.00</w:t>
            </w:r>
          </w:p>
        </w:tc>
        <w:tc>
          <w:tcPr>
            <w:tcW w:w="1091" w:type="dxa"/>
            <w:vAlign w:val="center"/>
          </w:tcPr>
          <w:p w:rsidR="0051686F" w:rsidRDefault="009E1C43">
            <w:pPr>
              <w:jc w:val="right"/>
            </w:pPr>
            <w:r>
              <w:rPr>
                <w:color w:val="000000"/>
                <w:sz w:val="24"/>
              </w:rPr>
              <w:t>0.05</w:t>
            </w:r>
          </w:p>
        </w:tc>
      </w:tr>
      <w:tr w:rsidR="0051686F">
        <w:trPr>
          <w:jc w:val="center"/>
        </w:trPr>
        <w:tc>
          <w:tcPr>
            <w:tcW w:w="849" w:type="dxa"/>
            <w:vAlign w:val="center"/>
          </w:tcPr>
          <w:p w:rsidR="0051686F" w:rsidRDefault="009E1C43">
            <w:pPr>
              <w:jc w:val="center"/>
            </w:pPr>
            <w:r>
              <w:rPr>
                <w:color w:val="000000"/>
                <w:sz w:val="24"/>
              </w:rPr>
              <w:t>8</w:t>
            </w:r>
          </w:p>
        </w:tc>
        <w:tc>
          <w:tcPr>
            <w:tcW w:w="1327" w:type="dxa"/>
            <w:vAlign w:val="center"/>
          </w:tcPr>
          <w:p w:rsidR="0051686F" w:rsidRDefault="009E1C43">
            <w:pPr>
              <w:jc w:val="center"/>
            </w:pPr>
            <w:r>
              <w:rPr>
                <w:color w:val="000000"/>
                <w:sz w:val="24"/>
              </w:rPr>
              <w:t>600048</w:t>
            </w:r>
          </w:p>
        </w:tc>
        <w:tc>
          <w:tcPr>
            <w:tcW w:w="1621" w:type="dxa"/>
            <w:vAlign w:val="center"/>
          </w:tcPr>
          <w:p w:rsidR="0051686F" w:rsidRDefault="009E1C43">
            <w:pPr>
              <w:jc w:val="center"/>
            </w:pPr>
            <w:r>
              <w:rPr>
                <w:color w:val="000000"/>
                <w:sz w:val="24"/>
              </w:rPr>
              <w:t>保利地产</w:t>
            </w:r>
          </w:p>
        </w:tc>
        <w:tc>
          <w:tcPr>
            <w:tcW w:w="1769" w:type="dxa"/>
            <w:vAlign w:val="center"/>
          </w:tcPr>
          <w:p w:rsidR="0051686F" w:rsidRDefault="009E1C43">
            <w:pPr>
              <w:jc w:val="right"/>
            </w:pPr>
            <w:r>
              <w:rPr>
                <w:color w:val="000000"/>
                <w:sz w:val="24"/>
              </w:rPr>
              <w:t>7,300</w:t>
            </w:r>
          </w:p>
        </w:tc>
        <w:tc>
          <w:tcPr>
            <w:tcW w:w="2211" w:type="dxa"/>
            <w:vAlign w:val="center"/>
          </w:tcPr>
          <w:p w:rsidR="0051686F" w:rsidRDefault="009E1C43">
            <w:pPr>
              <w:jc w:val="right"/>
            </w:pPr>
            <w:r>
              <w:rPr>
                <w:color w:val="000000"/>
                <w:sz w:val="24"/>
              </w:rPr>
              <w:t>115,997.00</w:t>
            </w:r>
          </w:p>
        </w:tc>
        <w:tc>
          <w:tcPr>
            <w:tcW w:w="1091" w:type="dxa"/>
            <w:vAlign w:val="center"/>
          </w:tcPr>
          <w:p w:rsidR="0051686F" w:rsidRDefault="009E1C43">
            <w:pPr>
              <w:jc w:val="right"/>
            </w:pPr>
            <w:r>
              <w:rPr>
                <w:color w:val="000000"/>
                <w:sz w:val="24"/>
              </w:rPr>
              <w:t>0.04</w:t>
            </w:r>
          </w:p>
        </w:tc>
      </w:tr>
      <w:tr w:rsidR="0051686F">
        <w:trPr>
          <w:jc w:val="center"/>
        </w:trPr>
        <w:tc>
          <w:tcPr>
            <w:tcW w:w="849" w:type="dxa"/>
            <w:vAlign w:val="center"/>
          </w:tcPr>
          <w:p w:rsidR="0051686F" w:rsidRDefault="009E1C43">
            <w:pPr>
              <w:jc w:val="center"/>
            </w:pPr>
            <w:r>
              <w:rPr>
                <w:color w:val="000000"/>
                <w:sz w:val="24"/>
              </w:rPr>
              <w:t>9</w:t>
            </w:r>
          </w:p>
        </w:tc>
        <w:tc>
          <w:tcPr>
            <w:tcW w:w="1327" w:type="dxa"/>
            <w:vAlign w:val="center"/>
          </w:tcPr>
          <w:p w:rsidR="0051686F" w:rsidRDefault="009E1C43">
            <w:pPr>
              <w:jc w:val="center"/>
            </w:pPr>
            <w:r>
              <w:rPr>
                <w:color w:val="000000"/>
                <w:sz w:val="24"/>
              </w:rPr>
              <w:t>600000</w:t>
            </w:r>
          </w:p>
        </w:tc>
        <w:tc>
          <w:tcPr>
            <w:tcW w:w="1621" w:type="dxa"/>
            <w:vAlign w:val="center"/>
          </w:tcPr>
          <w:p w:rsidR="0051686F" w:rsidRDefault="009E1C43">
            <w:pPr>
              <w:jc w:val="center"/>
            </w:pPr>
            <w:r>
              <w:rPr>
                <w:color w:val="000000"/>
                <w:sz w:val="24"/>
              </w:rPr>
              <w:t>浦发银行</w:t>
            </w:r>
          </w:p>
        </w:tc>
        <w:tc>
          <w:tcPr>
            <w:tcW w:w="1769" w:type="dxa"/>
            <w:vAlign w:val="center"/>
          </w:tcPr>
          <w:p w:rsidR="0051686F" w:rsidRDefault="009E1C43">
            <w:pPr>
              <w:jc w:val="right"/>
            </w:pPr>
            <w:r>
              <w:rPr>
                <w:color w:val="000000"/>
                <w:sz w:val="24"/>
              </w:rPr>
              <w:t>11,940</w:t>
            </w:r>
          </w:p>
        </w:tc>
        <w:tc>
          <w:tcPr>
            <w:tcW w:w="2211" w:type="dxa"/>
            <w:vAlign w:val="center"/>
          </w:tcPr>
          <w:p w:rsidR="0051686F" w:rsidRDefault="009E1C43">
            <w:pPr>
              <w:jc w:val="right"/>
            </w:pPr>
            <w:r>
              <w:rPr>
                <w:color w:val="000000"/>
                <w:sz w:val="24"/>
              </w:rPr>
              <w:t>112,116.60</w:t>
            </w:r>
          </w:p>
        </w:tc>
        <w:tc>
          <w:tcPr>
            <w:tcW w:w="1091" w:type="dxa"/>
            <w:vAlign w:val="center"/>
          </w:tcPr>
          <w:p w:rsidR="0051686F" w:rsidRDefault="009E1C43">
            <w:pPr>
              <w:jc w:val="right"/>
            </w:pPr>
            <w:r>
              <w:rPr>
                <w:color w:val="000000"/>
                <w:sz w:val="24"/>
              </w:rPr>
              <w:t>0.04</w:t>
            </w:r>
          </w:p>
        </w:tc>
      </w:tr>
      <w:tr w:rsidR="0051686F">
        <w:trPr>
          <w:jc w:val="center"/>
        </w:trPr>
        <w:tc>
          <w:tcPr>
            <w:tcW w:w="849" w:type="dxa"/>
            <w:vAlign w:val="center"/>
          </w:tcPr>
          <w:p w:rsidR="0051686F" w:rsidRDefault="009E1C43">
            <w:pPr>
              <w:jc w:val="center"/>
            </w:pPr>
            <w:r>
              <w:rPr>
                <w:color w:val="000000"/>
                <w:sz w:val="24"/>
              </w:rPr>
              <w:t>10</w:t>
            </w:r>
          </w:p>
        </w:tc>
        <w:tc>
          <w:tcPr>
            <w:tcW w:w="1327" w:type="dxa"/>
            <w:vAlign w:val="center"/>
          </w:tcPr>
          <w:p w:rsidR="0051686F" w:rsidRDefault="009E1C43">
            <w:pPr>
              <w:jc w:val="center"/>
            </w:pPr>
            <w:r>
              <w:rPr>
                <w:color w:val="000000"/>
                <w:sz w:val="24"/>
              </w:rPr>
              <w:t>600309</w:t>
            </w:r>
          </w:p>
        </w:tc>
        <w:tc>
          <w:tcPr>
            <w:tcW w:w="1621" w:type="dxa"/>
            <w:vAlign w:val="center"/>
          </w:tcPr>
          <w:p w:rsidR="0051686F" w:rsidRDefault="009E1C43">
            <w:pPr>
              <w:jc w:val="center"/>
            </w:pPr>
            <w:r>
              <w:rPr>
                <w:color w:val="000000"/>
                <w:sz w:val="24"/>
              </w:rPr>
              <w:t>万华化学</w:t>
            </w:r>
          </w:p>
        </w:tc>
        <w:tc>
          <w:tcPr>
            <w:tcW w:w="1769" w:type="dxa"/>
            <w:vAlign w:val="center"/>
          </w:tcPr>
          <w:p w:rsidR="0051686F" w:rsidRDefault="009E1C43">
            <w:pPr>
              <w:jc w:val="right"/>
            </w:pPr>
            <w:r>
              <w:rPr>
                <w:color w:val="000000"/>
                <w:sz w:val="24"/>
              </w:rPr>
              <w:t>1,600</w:t>
            </w:r>
          </w:p>
        </w:tc>
        <w:tc>
          <w:tcPr>
            <w:tcW w:w="2211" w:type="dxa"/>
            <w:vAlign w:val="center"/>
          </w:tcPr>
          <w:p w:rsidR="0051686F" w:rsidRDefault="009E1C43">
            <w:pPr>
              <w:jc w:val="right"/>
            </w:pPr>
            <w:r>
              <w:rPr>
                <w:color w:val="000000"/>
                <w:sz w:val="24"/>
              </w:rPr>
              <w:t>110,880.00</w:t>
            </w:r>
          </w:p>
        </w:tc>
        <w:tc>
          <w:tcPr>
            <w:tcW w:w="1091" w:type="dxa"/>
            <w:vAlign w:val="center"/>
          </w:tcPr>
          <w:p w:rsidR="0051686F" w:rsidRDefault="009E1C43">
            <w:pPr>
              <w:jc w:val="right"/>
            </w:pPr>
            <w:r>
              <w:rPr>
                <w:color w:val="000000"/>
                <w:sz w:val="24"/>
              </w:rPr>
              <w:t>0.04</w:t>
            </w:r>
          </w:p>
        </w:tc>
      </w:tr>
    </w:tbl>
    <w:p w:rsidR="00BA574A" w:rsidRPr="00324C76" w:rsidRDefault="00BA574A" w:rsidP="00B04217">
      <w:pPr>
        <w:autoSpaceDE w:val="0"/>
        <w:autoSpaceDN w:val="0"/>
        <w:adjustRightInd w:val="0"/>
        <w:spacing w:before="29" w:line="288" w:lineRule="auto"/>
        <w:jc w:val="left"/>
        <w:rPr>
          <w:kern w:val="0"/>
          <w:sz w:val="24"/>
        </w:rPr>
      </w:pPr>
    </w:p>
    <w:p w:rsidR="00220542"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5 </w:t>
      </w:r>
      <w:r w:rsidRPr="00324C76">
        <w:rPr>
          <w:b/>
          <w:kern w:val="0"/>
          <w:sz w:val="24"/>
        </w:rPr>
        <w:t>报告期末按债券品种分类的债券投资组合</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本基金本报告期末未持有债券。</w:t>
      </w:r>
    </w:p>
    <w:p w:rsidR="00220542"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6 </w:t>
      </w:r>
      <w:r w:rsidRPr="00324C76">
        <w:rPr>
          <w:b/>
          <w:kern w:val="0"/>
          <w:sz w:val="24"/>
        </w:rPr>
        <w:t>报告期末按公允价值占基金资产净值比例大小排</w:t>
      </w:r>
      <w:r w:rsidR="00E34648" w:rsidRPr="00324C76">
        <w:rPr>
          <w:b/>
          <w:kern w:val="0"/>
          <w:sz w:val="24"/>
        </w:rPr>
        <w:t>序</w:t>
      </w:r>
      <w:r w:rsidRPr="00324C76">
        <w:rPr>
          <w:b/>
          <w:kern w:val="0"/>
          <w:sz w:val="24"/>
        </w:rPr>
        <w:t>的前五名债券投资明细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本基金本报告期末未持有债券。</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7</w:t>
      </w:r>
      <w:r w:rsidRPr="00324C76">
        <w:rPr>
          <w:b/>
          <w:kern w:val="0"/>
          <w:sz w:val="24"/>
        </w:rPr>
        <w:t>报告期末按公允价值占基金资产净值比例大小排</w:t>
      </w:r>
      <w:r w:rsidR="002A089C" w:rsidRPr="00324C76">
        <w:rPr>
          <w:b/>
          <w:kern w:val="0"/>
          <w:sz w:val="24"/>
        </w:rPr>
        <w:t>序</w:t>
      </w:r>
      <w:r w:rsidRPr="00324C76">
        <w:rPr>
          <w:b/>
          <w:kern w:val="0"/>
          <w:sz w:val="24"/>
        </w:rPr>
        <w:t>的前十名资产支持证券投资明细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本基金本报告期末未持有资产支持证券。</w:t>
      </w:r>
    </w:p>
    <w:p w:rsidR="00220542" w:rsidRPr="00324C76" w:rsidRDefault="00220542" w:rsidP="00B04217">
      <w:pPr>
        <w:autoSpaceDE w:val="0"/>
        <w:autoSpaceDN w:val="0"/>
        <w:adjustRightInd w:val="0"/>
        <w:spacing w:before="29" w:line="288" w:lineRule="auto"/>
        <w:jc w:val="left"/>
        <w:rPr>
          <w:kern w:val="0"/>
          <w:sz w:val="24"/>
        </w:rPr>
      </w:pPr>
    </w:p>
    <w:p w:rsidR="002A089C" w:rsidRPr="00324C76" w:rsidRDefault="002A089C" w:rsidP="00B04217">
      <w:pPr>
        <w:autoSpaceDE w:val="0"/>
        <w:autoSpaceDN w:val="0"/>
        <w:adjustRightInd w:val="0"/>
        <w:spacing w:before="29" w:line="288" w:lineRule="auto"/>
        <w:jc w:val="left"/>
        <w:rPr>
          <w:kern w:val="0"/>
          <w:sz w:val="24"/>
        </w:rPr>
      </w:pPr>
      <w:r w:rsidRPr="00324C76">
        <w:rPr>
          <w:rFonts w:eastAsiaTheme="minorEastAsia"/>
          <w:b/>
          <w:bCs/>
          <w:color w:val="000000"/>
          <w:kern w:val="0"/>
          <w:sz w:val="24"/>
        </w:rPr>
        <w:t xml:space="preserve">5.8 </w:t>
      </w:r>
      <w:r w:rsidRPr="00324C76">
        <w:rPr>
          <w:rFonts w:hAnsi="宋体"/>
          <w:b/>
          <w:bCs/>
          <w:color w:val="000000"/>
          <w:kern w:val="0"/>
          <w:sz w:val="24"/>
        </w:rPr>
        <w:t>报告期末按公允价值占基金资产净值比例大小排序的前五名贵金属投资明细</w:t>
      </w:r>
    </w:p>
    <w:p w:rsidR="002A089C" w:rsidRPr="002124AD" w:rsidRDefault="002A089C" w:rsidP="00B04217">
      <w:pPr>
        <w:autoSpaceDE w:val="0"/>
        <w:autoSpaceDN w:val="0"/>
        <w:adjustRightInd w:val="0"/>
        <w:spacing w:before="29" w:line="288" w:lineRule="auto"/>
        <w:jc w:val="left"/>
        <w:rPr>
          <w:sz w:val="24"/>
        </w:rPr>
      </w:pPr>
      <w:r w:rsidRPr="002124AD">
        <w:rPr>
          <w:sz w:val="24"/>
        </w:rPr>
        <w:t>本基金本报告期末未持有贵金属。</w:t>
      </w:r>
    </w:p>
    <w:p w:rsidR="002A089C" w:rsidRPr="00324C76" w:rsidRDefault="002A089C" w:rsidP="00B04217">
      <w:pPr>
        <w:autoSpaceDE w:val="0"/>
        <w:autoSpaceDN w:val="0"/>
        <w:adjustRightInd w:val="0"/>
        <w:spacing w:before="29" w:line="288" w:lineRule="auto"/>
        <w:jc w:val="left"/>
        <w:rPr>
          <w:kern w:val="0"/>
          <w:sz w:val="24"/>
        </w:rPr>
      </w:pPr>
    </w:p>
    <w:p w:rsidR="008D6BC7" w:rsidRPr="00324C76" w:rsidRDefault="008D6BC7" w:rsidP="00B04217">
      <w:pPr>
        <w:autoSpaceDE w:val="0"/>
        <w:autoSpaceDN w:val="0"/>
        <w:adjustRightInd w:val="0"/>
        <w:spacing w:before="29" w:line="288" w:lineRule="auto"/>
        <w:jc w:val="left"/>
        <w:rPr>
          <w:b/>
          <w:kern w:val="0"/>
          <w:sz w:val="24"/>
        </w:rPr>
      </w:pPr>
      <w:r w:rsidRPr="00324C76">
        <w:rPr>
          <w:b/>
          <w:kern w:val="0"/>
          <w:sz w:val="24"/>
        </w:rPr>
        <w:t xml:space="preserve">5.9 </w:t>
      </w:r>
      <w:r w:rsidRPr="00324C76">
        <w:rPr>
          <w:b/>
          <w:bCs/>
          <w:sz w:val="24"/>
        </w:rPr>
        <w:t>报告期末按公允价值占基金资产净值比例大小排</w:t>
      </w:r>
      <w:r w:rsidR="002A089C" w:rsidRPr="00324C76">
        <w:rPr>
          <w:b/>
          <w:kern w:val="0"/>
          <w:sz w:val="24"/>
        </w:rPr>
        <w:t>序</w:t>
      </w:r>
      <w:r w:rsidRPr="00324C76">
        <w:rPr>
          <w:b/>
          <w:bCs/>
          <w:sz w:val="24"/>
        </w:rPr>
        <w:t>的前五名权证投资明细</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本基金本报告期末未持有权证。</w:t>
      </w:r>
    </w:p>
    <w:p w:rsidR="008D6BC7" w:rsidRPr="00324C76" w:rsidRDefault="008D6BC7" w:rsidP="00B04217">
      <w:pPr>
        <w:autoSpaceDE w:val="0"/>
        <w:autoSpaceDN w:val="0"/>
        <w:adjustRightInd w:val="0"/>
        <w:spacing w:before="29" w:line="288" w:lineRule="auto"/>
        <w:jc w:val="left"/>
        <w:rPr>
          <w:kern w:val="0"/>
          <w:sz w:val="24"/>
        </w:rPr>
      </w:pPr>
    </w:p>
    <w:p w:rsidR="00C73818" w:rsidRPr="00324C76" w:rsidRDefault="006003EC" w:rsidP="00B04217">
      <w:pPr>
        <w:adjustRightInd w:val="0"/>
        <w:snapToGrid w:val="0"/>
        <w:spacing w:before="29" w:line="288" w:lineRule="auto"/>
        <w:rPr>
          <w:b/>
          <w:sz w:val="24"/>
        </w:rPr>
      </w:pPr>
      <w:r w:rsidRPr="00324C76">
        <w:rPr>
          <w:b/>
          <w:sz w:val="24"/>
        </w:rPr>
        <w:t>5.</w:t>
      </w:r>
      <w:r w:rsidR="007D10B0" w:rsidRPr="00324C76">
        <w:rPr>
          <w:b/>
          <w:sz w:val="24"/>
        </w:rPr>
        <w:t>10</w:t>
      </w:r>
      <w:r w:rsidR="00C73818" w:rsidRPr="00324C76">
        <w:rPr>
          <w:b/>
          <w:sz w:val="24"/>
        </w:rPr>
        <w:t>报告期末本基金投资的股指期货交易情况说明</w:t>
      </w:r>
    </w:p>
    <w:p w:rsidR="00C73818" w:rsidRPr="00324C76" w:rsidRDefault="00046A8E" w:rsidP="00B04217">
      <w:pPr>
        <w:autoSpaceDE w:val="0"/>
        <w:autoSpaceDN w:val="0"/>
        <w:adjustRightInd w:val="0"/>
        <w:spacing w:before="29" w:line="288" w:lineRule="auto"/>
        <w:jc w:val="left"/>
        <w:rPr>
          <w:sz w:val="24"/>
        </w:rPr>
      </w:pPr>
      <w:r w:rsidRPr="00324C76">
        <w:rPr>
          <w:sz w:val="24"/>
        </w:rPr>
        <w:t>本基金本报告期末未持有股指期货。</w:t>
      </w:r>
    </w:p>
    <w:p w:rsidR="00046A8E" w:rsidRPr="00324C76" w:rsidRDefault="00046A8E" w:rsidP="00B04217">
      <w:pPr>
        <w:autoSpaceDE w:val="0"/>
        <w:autoSpaceDN w:val="0"/>
        <w:adjustRightInd w:val="0"/>
        <w:spacing w:before="29" w:line="288" w:lineRule="auto"/>
        <w:jc w:val="left"/>
        <w:rPr>
          <w:sz w:val="24"/>
        </w:rPr>
      </w:pPr>
    </w:p>
    <w:p w:rsidR="008D6BC7" w:rsidRPr="00324C76" w:rsidRDefault="008D6BC7" w:rsidP="00B04217">
      <w:pPr>
        <w:adjustRightInd w:val="0"/>
        <w:snapToGrid w:val="0"/>
        <w:spacing w:before="29" w:line="288" w:lineRule="auto"/>
        <w:rPr>
          <w:b/>
          <w:sz w:val="24"/>
        </w:rPr>
      </w:pPr>
      <w:r w:rsidRPr="00324C76">
        <w:rPr>
          <w:b/>
          <w:sz w:val="24"/>
        </w:rPr>
        <w:t>5.11</w:t>
      </w:r>
      <w:r w:rsidRPr="00324C76">
        <w:rPr>
          <w:b/>
          <w:sz w:val="24"/>
        </w:rPr>
        <w:t>报告期末本基金投资的国债期货交易情况说明</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本基金本报告期末未持有国债期货。</w:t>
      </w:r>
    </w:p>
    <w:p w:rsidR="000A7493" w:rsidRPr="00324C76" w:rsidRDefault="000A7493"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
          <w:kern w:val="0"/>
          <w:sz w:val="24"/>
        </w:rPr>
      </w:pPr>
      <w:r w:rsidRPr="00324C76">
        <w:rPr>
          <w:b/>
          <w:kern w:val="0"/>
          <w:sz w:val="24"/>
        </w:rPr>
        <w:t>5</w:t>
      </w:r>
      <w:r w:rsidR="00220542" w:rsidRPr="00324C76">
        <w:rPr>
          <w:b/>
          <w:kern w:val="0"/>
          <w:sz w:val="24"/>
        </w:rPr>
        <w:t>.</w:t>
      </w:r>
      <w:r w:rsidRPr="00324C76">
        <w:rPr>
          <w:b/>
          <w:kern w:val="0"/>
          <w:sz w:val="24"/>
        </w:rPr>
        <w:t>12</w:t>
      </w:r>
      <w:r w:rsidR="00220542" w:rsidRPr="00324C76">
        <w:rPr>
          <w:b/>
          <w:kern w:val="0"/>
          <w:sz w:val="24"/>
        </w:rPr>
        <w:t>投资组合报告附注</w:t>
      </w:r>
    </w:p>
    <w:p w:rsidR="00786656" w:rsidRPr="00120EC8" w:rsidRDefault="00786656" w:rsidP="00BD6051">
      <w:pPr>
        <w:autoSpaceDE w:val="0"/>
        <w:autoSpaceDN w:val="0"/>
        <w:adjustRightInd w:val="0"/>
        <w:spacing w:before="29" w:line="288" w:lineRule="auto"/>
        <w:rPr>
          <w:kern w:val="0"/>
          <w:sz w:val="24"/>
        </w:rPr>
      </w:pPr>
      <w:r w:rsidRPr="00970A7F">
        <w:rPr>
          <w:b/>
          <w:kern w:val="0"/>
          <w:sz w:val="24"/>
        </w:rPr>
        <w:t>5.12.1</w:t>
      </w:r>
      <w:r w:rsidRPr="00120EC8">
        <w:rPr>
          <w:kern w:val="0"/>
          <w:sz w:val="24"/>
        </w:rPr>
        <w:t>报告期内本基金投资的前十名证券的发行主体未被监管部门立案调查，在本报告编制日前一年内本基金投资的前十名证券的发行主体未受到公开谴责和处罚。</w:t>
      </w:r>
    </w:p>
    <w:p w:rsidR="00786656" w:rsidRPr="00120EC8" w:rsidRDefault="00786656" w:rsidP="00BD6051">
      <w:pPr>
        <w:autoSpaceDE w:val="0"/>
        <w:autoSpaceDN w:val="0"/>
        <w:adjustRightInd w:val="0"/>
        <w:spacing w:before="29" w:line="288" w:lineRule="auto"/>
        <w:rPr>
          <w:kern w:val="0"/>
          <w:sz w:val="24"/>
        </w:rPr>
      </w:pPr>
      <w:r w:rsidRPr="00970A7F">
        <w:rPr>
          <w:b/>
          <w:kern w:val="0"/>
          <w:sz w:val="24"/>
        </w:rPr>
        <w:t>5.12.2</w:t>
      </w:r>
      <w:r w:rsidRPr="00120EC8">
        <w:rPr>
          <w:kern w:val="0"/>
          <w:sz w:val="24"/>
        </w:rPr>
        <w:t>本基金投资的前十名股票中，没有超出基金合同规定的备选股票库之外的股票。</w:t>
      </w:r>
    </w:p>
    <w:p w:rsidR="00220542" w:rsidRPr="00390F9A" w:rsidRDefault="007D10B0" w:rsidP="00B04217">
      <w:pPr>
        <w:autoSpaceDE w:val="0"/>
        <w:autoSpaceDN w:val="0"/>
        <w:adjustRightInd w:val="0"/>
        <w:spacing w:before="29" w:line="288" w:lineRule="auto"/>
        <w:rPr>
          <w:b/>
          <w:kern w:val="0"/>
          <w:sz w:val="24"/>
        </w:rPr>
      </w:pPr>
      <w:r w:rsidRPr="00390F9A">
        <w:rPr>
          <w:b/>
          <w:kern w:val="0"/>
          <w:sz w:val="24"/>
        </w:rPr>
        <w:t>5</w:t>
      </w:r>
      <w:r w:rsidR="00220542" w:rsidRPr="00390F9A">
        <w:rPr>
          <w:b/>
          <w:kern w:val="0"/>
          <w:sz w:val="24"/>
        </w:rPr>
        <w:t>.</w:t>
      </w:r>
      <w:r w:rsidRPr="00390F9A">
        <w:rPr>
          <w:b/>
          <w:kern w:val="0"/>
          <w:sz w:val="24"/>
        </w:rPr>
        <w:t>12.3</w:t>
      </w:r>
      <w:r w:rsidR="00220542" w:rsidRPr="00390F9A">
        <w:rPr>
          <w:b/>
          <w:kern w:val="0"/>
          <w:sz w:val="24"/>
        </w:rPr>
        <w:t>其他资产构成</w:t>
      </w:r>
    </w:p>
    <w:p w:rsidR="000A02AE" w:rsidRPr="00120EC8" w:rsidRDefault="000A02AE" w:rsidP="000A02AE">
      <w:pPr>
        <w:autoSpaceDE w:val="0"/>
        <w:autoSpaceDN w:val="0"/>
        <w:adjustRightInd w:val="0"/>
        <w:spacing w:before="29" w:line="288" w:lineRule="auto"/>
        <w:jc w:val="right"/>
        <w:rPr>
          <w:kern w:val="0"/>
          <w:sz w:val="24"/>
        </w:rPr>
      </w:pPr>
      <w:r w:rsidRPr="000A02AE">
        <w:rPr>
          <w:rFonts w:hint="eastAsia"/>
          <w:kern w:val="0"/>
          <w:sz w:val="24"/>
        </w:rPr>
        <w:t>金额单位：人民币元</w:t>
      </w:r>
    </w:p>
    <w:tbl>
      <w:tblPr>
        <w:tblStyle w:val="af7"/>
        <w:tblW w:w="8868" w:type="dxa"/>
        <w:jc w:val="center"/>
        <w:tblLook w:val="04A0" w:firstRow="1" w:lastRow="0" w:firstColumn="1" w:lastColumn="0" w:noHBand="0" w:noVBand="1"/>
      </w:tblPr>
      <w:tblGrid>
        <w:gridCol w:w="984"/>
        <w:gridCol w:w="2876"/>
        <w:gridCol w:w="5008"/>
      </w:tblGrid>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序号</w:t>
            </w:r>
          </w:p>
        </w:tc>
        <w:tc>
          <w:tcPr>
            <w:tcW w:w="2761"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名称</w:t>
            </w:r>
          </w:p>
        </w:tc>
        <w:tc>
          <w:tcPr>
            <w:tcW w:w="4808"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金额</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kern w:val="0"/>
                <w:sz w:val="24"/>
              </w:rPr>
            </w:pPr>
            <w:r w:rsidRPr="00324C76">
              <w:rPr>
                <w:color w:val="000000"/>
                <w:sz w:val="24"/>
              </w:rPr>
              <w:t>1</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存出保证金</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10,221.50</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2</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应收证券清算款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3</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应收股利</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4</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应收利息</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3,588.02</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5</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应收申购款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352,731.43</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6</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其他应收款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7</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sz w:val="24"/>
              </w:rPr>
            </w:pPr>
            <w:r w:rsidRPr="00324C76">
              <w:rPr>
                <w:color w:val="000000"/>
                <w:sz w:val="24"/>
              </w:rPr>
              <w:t>待摊费用</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sz w:val="24"/>
              </w:rPr>
            </w:pPr>
            <w:r w:rsidRPr="00324C76">
              <w:rPr>
                <w:color w:val="00000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8</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9</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合计</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366,540.95</w:t>
            </w:r>
          </w:p>
        </w:tc>
      </w:tr>
    </w:tbl>
    <w:p w:rsidR="006B4B1E" w:rsidRPr="00324C76" w:rsidRDefault="006B4B1E" w:rsidP="00B04217">
      <w:pPr>
        <w:autoSpaceDE w:val="0"/>
        <w:autoSpaceDN w:val="0"/>
        <w:adjustRightInd w:val="0"/>
        <w:spacing w:before="29" w:line="288" w:lineRule="auto"/>
        <w:jc w:val="left"/>
        <w:rPr>
          <w:sz w:val="24"/>
        </w:rPr>
      </w:pPr>
    </w:p>
    <w:p w:rsidR="00220542" w:rsidRPr="00390F9A" w:rsidRDefault="007D10B0" w:rsidP="00B04217">
      <w:pPr>
        <w:autoSpaceDE w:val="0"/>
        <w:autoSpaceDN w:val="0"/>
        <w:adjustRightInd w:val="0"/>
        <w:spacing w:before="29" w:line="288" w:lineRule="auto"/>
        <w:jc w:val="left"/>
        <w:rPr>
          <w:b/>
          <w:kern w:val="0"/>
          <w:sz w:val="24"/>
        </w:rPr>
      </w:pPr>
      <w:r w:rsidRPr="00390F9A">
        <w:rPr>
          <w:b/>
          <w:kern w:val="0"/>
          <w:sz w:val="24"/>
        </w:rPr>
        <w:t>5</w:t>
      </w:r>
      <w:r w:rsidR="00220542" w:rsidRPr="00390F9A">
        <w:rPr>
          <w:b/>
          <w:kern w:val="0"/>
          <w:sz w:val="24"/>
        </w:rPr>
        <w:t>.</w:t>
      </w:r>
      <w:r w:rsidRPr="00390F9A">
        <w:rPr>
          <w:b/>
          <w:kern w:val="0"/>
          <w:sz w:val="24"/>
        </w:rPr>
        <w:t>12.4</w:t>
      </w:r>
      <w:r w:rsidR="00220542" w:rsidRPr="00390F9A">
        <w:rPr>
          <w:b/>
          <w:kern w:val="0"/>
          <w:sz w:val="24"/>
        </w:rPr>
        <w:t>报告期末持有的处于转股期的可转换债券明细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本基金本报告期末未持有处于转股期的可转换债券。</w:t>
      </w:r>
    </w:p>
    <w:p w:rsidR="006B4B1E" w:rsidRPr="00324C76" w:rsidRDefault="006B4B1E" w:rsidP="00B04217">
      <w:pPr>
        <w:autoSpaceDE w:val="0"/>
        <w:autoSpaceDN w:val="0"/>
        <w:adjustRightInd w:val="0"/>
        <w:spacing w:before="29" w:line="288" w:lineRule="auto"/>
        <w:jc w:val="left"/>
        <w:rPr>
          <w:sz w:val="24"/>
        </w:rPr>
      </w:pPr>
    </w:p>
    <w:p w:rsidR="00220542" w:rsidRPr="00390F9A" w:rsidRDefault="007D10B0" w:rsidP="00B04217">
      <w:pPr>
        <w:autoSpaceDE w:val="0"/>
        <w:autoSpaceDN w:val="0"/>
        <w:adjustRightInd w:val="0"/>
        <w:spacing w:before="29" w:line="288" w:lineRule="auto"/>
        <w:jc w:val="left"/>
        <w:rPr>
          <w:b/>
          <w:bCs/>
          <w:sz w:val="24"/>
        </w:rPr>
      </w:pPr>
      <w:r w:rsidRPr="00390F9A">
        <w:rPr>
          <w:b/>
          <w:kern w:val="0"/>
          <w:sz w:val="24"/>
        </w:rPr>
        <w:t>5.12.5</w:t>
      </w:r>
      <w:r w:rsidR="00220542" w:rsidRPr="00390F9A">
        <w:rPr>
          <w:b/>
          <w:bCs/>
          <w:sz w:val="24"/>
        </w:rPr>
        <w:t>报告期末前十名股票中存在流通受限情况的说明</w:t>
      </w:r>
    </w:p>
    <w:p w:rsidR="00220542" w:rsidRPr="00324C76" w:rsidRDefault="00A40C1C" w:rsidP="00B04217">
      <w:pPr>
        <w:autoSpaceDE w:val="0"/>
        <w:autoSpaceDN w:val="0"/>
        <w:adjustRightInd w:val="0"/>
        <w:spacing w:before="29" w:line="288" w:lineRule="auto"/>
        <w:jc w:val="left"/>
        <w:rPr>
          <w:sz w:val="24"/>
        </w:rPr>
      </w:pPr>
      <w:r w:rsidRPr="00324C76">
        <w:rPr>
          <w:sz w:val="24"/>
        </w:rPr>
        <w:t>本基金本报告期末前十名股票中不存在流通受限情况。</w:t>
      </w:r>
    </w:p>
    <w:p w:rsidR="00A40C1C" w:rsidRPr="00390F9A" w:rsidRDefault="007D10B0" w:rsidP="00B04217">
      <w:pPr>
        <w:spacing w:before="29" w:line="288" w:lineRule="auto"/>
        <w:rPr>
          <w:b/>
          <w:color w:val="000000"/>
          <w:kern w:val="0"/>
          <w:sz w:val="24"/>
        </w:rPr>
      </w:pPr>
      <w:r w:rsidRPr="00390F9A">
        <w:rPr>
          <w:b/>
          <w:kern w:val="0"/>
          <w:sz w:val="24"/>
        </w:rPr>
        <w:t>5.12.6</w:t>
      </w:r>
      <w:r w:rsidR="00A40C1C" w:rsidRPr="00390F9A">
        <w:rPr>
          <w:b/>
          <w:color w:val="000000"/>
          <w:kern w:val="0"/>
          <w:sz w:val="24"/>
        </w:rPr>
        <w:t>投资组合报告附注的其他文字描述部分</w:t>
      </w:r>
    </w:p>
    <w:p w:rsidR="002620C9" w:rsidRPr="00324C76" w:rsidRDefault="00A40C1C" w:rsidP="00B04217">
      <w:pPr>
        <w:spacing w:before="29" w:line="288" w:lineRule="auto"/>
        <w:rPr>
          <w:color w:val="000000"/>
          <w:sz w:val="24"/>
        </w:rPr>
      </w:pPr>
      <w:r w:rsidRPr="00324C76">
        <w:rPr>
          <w:color w:val="000000"/>
          <w:sz w:val="24"/>
        </w:rPr>
        <w:t>由于四舍五入的原因，分项之和与合计项之间可能存在尾差。</w:t>
      </w:r>
    </w:p>
    <w:p w:rsidR="00232D92" w:rsidRPr="00324C76" w:rsidRDefault="00232D92" w:rsidP="00B04217">
      <w:pPr>
        <w:spacing w:before="29" w:line="288" w:lineRule="auto"/>
        <w:rPr>
          <w:color w:val="000000"/>
          <w:sz w:val="24"/>
        </w:rPr>
      </w:pPr>
    </w:p>
    <w:p w:rsidR="00220542" w:rsidRPr="00324C76" w:rsidRDefault="00805F23" w:rsidP="0048293C">
      <w:pPr>
        <w:pStyle w:val="1"/>
        <w:spacing w:beforeLines="100" w:before="312" w:afterLines="100" w:after="312" w:line="288" w:lineRule="auto"/>
        <w:jc w:val="center"/>
        <w:rPr>
          <w:kern w:val="0"/>
          <w:sz w:val="24"/>
          <w:szCs w:val="24"/>
        </w:rPr>
      </w:pPr>
      <w:r w:rsidRPr="00C51B4E">
        <w:rPr>
          <w:rFonts w:eastAsiaTheme="minorEastAsia"/>
          <w:color w:val="000000" w:themeColor="text1"/>
          <w:kern w:val="0"/>
          <w:sz w:val="21"/>
          <w:szCs w:val="21"/>
        </w:rPr>
        <w:t>§6</w:t>
      </w:r>
      <w:r>
        <w:rPr>
          <w:rFonts w:eastAsiaTheme="minorEastAsia" w:hint="eastAsia"/>
          <w:color w:val="000000" w:themeColor="text1"/>
          <w:kern w:val="0"/>
          <w:sz w:val="21"/>
          <w:szCs w:val="21"/>
        </w:rPr>
        <w:t xml:space="preserve"> </w:t>
      </w:r>
      <w:r w:rsidR="00C66A9E">
        <w:rPr>
          <w:rFonts w:eastAsiaTheme="minorEastAsia"/>
          <w:color w:val="000000" w:themeColor="text1"/>
          <w:kern w:val="0"/>
          <w:sz w:val="21"/>
          <w:szCs w:val="21"/>
        </w:rPr>
        <w:t xml:space="preserve"> </w:t>
      </w:r>
      <w:r w:rsidR="00220542" w:rsidRPr="00324C76">
        <w:rPr>
          <w:kern w:val="0"/>
          <w:sz w:val="24"/>
          <w:szCs w:val="24"/>
        </w:rPr>
        <w:t>开放式基金份额变动</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单位：份</w:t>
      </w:r>
    </w:p>
    <w:tbl>
      <w:tblPr>
        <w:tblW w:w="8868" w:type="dxa"/>
        <w:jc w:val="center"/>
        <w:tblLayout w:type="fixed"/>
        <w:tblLook w:val="0000" w:firstRow="0" w:lastRow="0" w:firstColumn="0" w:lastColumn="0" w:noHBand="0" w:noVBand="0"/>
      </w:tblPr>
      <w:tblGrid>
        <w:gridCol w:w="4734"/>
        <w:gridCol w:w="4134"/>
      </w:tblGrid>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227,205,291.21</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13,521,961.43</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减：</w:t>
            </w:r>
            <w:r w:rsidR="006973EC" w:rsidRPr="00324C76">
              <w:rPr>
                <w:color w:val="000000"/>
                <w:kern w:val="0"/>
                <w:sz w:val="24"/>
              </w:rPr>
              <w:t>本报告期</w:t>
            </w:r>
            <w:r w:rsidR="00D621B5">
              <w:rPr>
                <w:rFonts w:hint="eastAsia"/>
                <w:color w:val="000000"/>
                <w:kern w:val="0"/>
                <w:sz w:val="24"/>
              </w:rPr>
              <w:t>期间</w:t>
            </w:r>
            <w:r w:rsidRPr="00324C76">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29,757,388.86</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0F11CB">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基金拆分变动份额</w:t>
            </w:r>
            <w:r w:rsidR="00D621B5" w:rsidRPr="006664D2">
              <w:rPr>
                <w:rFonts w:hint="eastAsia"/>
                <w:color w:val="000000"/>
                <w:kern w:val="0"/>
                <w:sz w:val="24"/>
              </w:rPr>
              <w:t>（份额减少以</w:t>
            </w:r>
            <w:r w:rsidR="00D621B5" w:rsidRPr="004D5D71">
              <w:rPr>
                <w:color w:val="000000"/>
              </w:rPr>
              <w:t>“-”</w:t>
            </w:r>
            <w:r w:rsidR="00D621B5"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210,969,863.78</w:t>
            </w:r>
          </w:p>
        </w:tc>
      </w:tr>
    </w:tbl>
    <w:p w:rsidR="0051686F" w:rsidRDefault="009E1C43">
      <w:pPr>
        <w:autoSpaceDE w:val="0"/>
        <w:autoSpaceDN w:val="0"/>
        <w:adjustRightInd w:val="0"/>
        <w:spacing w:before="29" w:line="288" w:lineRule="auto"/>
        <w:jc w:val="left"/>
        <w:rPr>
          <w:sz w:val="24"/>
        </w:rPr>
      </w:pPr>
      <w:r>
        <w:rPr>
          <w:sz w:val="24"/>
        </w:rPr>
        <w:t>注：</w:t>
      </w:r>
      <w:r>
        <w:rPr>
          <w:sz w:val="24"/>
        </w:rPr>
        <w:t>1</w:t>
      </w:r>
      <w:r>
        <w:rPr>
          <w:sz w:val="24"/>
        </w:rPr>
        <w:t>、如果本报告期间发生转换入、红利再投业务，则总申购份额中包含该业务；</w:t>
      </w:r>
    </w:p>
    <w:p w:rsidR="00220542" w:rsidRPr="00324C76" w:rsidRDefault="00A40C1C" w:rsidP="00B04217">
      <w:pPr>
        <w:autoSpaceDE w:val="0"/>
        <w:autoSpaceDN w:val="0"/>
        <w:adjustRightInd w:val="0"/>
        <w:spacing w:before="29" w:line="288" w:lineRule="auto"/>
        <w:jc w:val="left"/>
        <w:rPr>
          <w:sz w:val="24"/>
        </w:rPr>
      </w:pPr>
      <w:r w:rsidRPr="00324C76">
        <w:rPr>
          <w:sz w:val="24"/>
        </w:rPr>
        <w:t xml:space="preserve">    2</w:t>
      </w:r>
      <w:r w:rsidRPr="00324C76">
        <w:rPr>
          <w:sz w:val="24"/>
        </w:rPr>
        <w:t>、如果本报告期间发生转换出业务，则总赎回份额中包含该业务。</w:t>
      </w:r>
    </w:p>
    <w:p w:rsidR="00035465" w:rsidRDefault="00035465" w:rsidP="00B04217">
      <w:pPr>
        <w:autoSpaceDE w:val="0"/>
        <w:autoSpaceDN w:val="0"/>
        <w:adjustRightInd w:val="0"/>
        <w:spacing w:before="29" w:line="288" w:lineRule="auto"/>
        <w:jc w:val="left"/>
        <w:rPr>
          <w:sz w:val="24"/>
        </w:rPr>
      </w:pPr>
    </w:p>
    <w:p w:rsidR="00F229B7" w:rsidRPr="00F229B7" w:rsidRDefault="00805F23" w:rsidP="0048293C">
      <w:pPr>
        <w:pStyle w:val="1"/>
        <w:tabs>
          <w:tab w:val="center" w:pos="4156"/>
          <w:tab w:val="right" w:pos="8312"/>
        </w:tabs>
        <w:spacing w:beforeLines="100" w:before="312" w:afterLines="100" w:after="312" w:line="288" w:lineRule="auto"/>
        <w:jc w:val="center"/>
        <w:rPr>
          <w:sz w:val="24"/>
          <w:szCs w:val="24"/>
        </w:rPr>
      </w:pPr>
      <w:r>
        <w:rPr>
          <w:rFonts w:eastAsiaTheme="minorEastAsia"/>
          <w:color w:val="000000"/>
          <w:kern w:val="0"/>
          <w:sz w:val="24"/>
          <w:szCs w:val="24"/>
        </w:rPr>
        <w:t>§</w:t>
      </w:r>
      <w:r w:rsidR="00F229B7" w:rsidRPr="00F229B7">
        <w:rPr>
          <w:rFonts w:eastAsiaTheme="minorEastAsia"/>
          <w:color w:val="000000"/>
          <w:kern w:val="0"/>
          <w:sz w:val="24"/>
          <w:szCs w:val="24"/>
        </w:rPr>
        <w:t xml:space="preserve">7  </w:t>
      </w:r>
      <w:r w:rsidR="00F229B7" w:rsidRPr="00F229B7">
        <w:rPr>
          <w:sz w:val="24"/>
          <w:szCs w:val="24"/>
        </w:rPr>
        <w:t>基金管理人运用固有资金投资本基金情况</w:t>
      </w:r>
    </w:p>
    <w:p w:rsidR="00F229B7" w:rsidRPr="00F229B7" w:rsidRDefault="00F229B7" w:rsidP="00B04217">
      <w:pPr>
        <w:spacing w:line="288" w:lineRule="auto"/>
        <w:jc w:val="left"/>
        <w:rPr>
          <w:sz w:val="24"/>
        </w:rPr>
      </w:pPr>
      <w:r w:rsidRPr="00F229B7">
        <w:rPr>
          <w:b/>
          <w:sz w:val="24"/>
        </w:rPr>
        <w:t xml:space="preserve">7.1 </w:t>
      </w:r>
      <w:r w:rsidRPr="00F229B7">
        <w:rPr>
          <w:b/>
          <w:sz w:val="24"/>
        </w:rPr>
        <w:t>基金管理人持有本基金份额变动情况</w:t>
      </w:r>
    </w:p>
    <w:p w:rsidR="00F20F7C" w:rsidRDefault="00F229B7" w:rsidP="00B04217">
      <w:pPr>
        <w:autoSpaceDE w:val="0"/>
        <w:autoSpaceDN w:val="0"/>
        <w:adjustRightInd w:val="0"/>
        <w:spacing w:before="29" w:line="288" w:lineRule="auto"/>
        <w:jc w:val="left"/>
        <w:rPr>
          <w:rFonts w:eastAsiaTheme="minorEastAsia"/>
          <w:color w:val="000000"/>
          <w:sz w:val="24"/>
        </w:rPr>
      </w:pPr>
      <w:r w:rsidRPr="00F229B7">
        <w:rPr>
          <w:rFonts w:eastAsiaTheme="minorEastAsia"/>
          <w:color w:val="000000"/>
          <w:sz w:val="24"/>
        </w:rPr>
        <w:t>本报告期内未发生基金管理人运用固有资金投资本基金的情况。</w:t>
      </w:r>
    </w:p>
    <w:p w:rsidR="00F20F7C" w:rsidRDefault="00F20F7C" w:rsidP="00B04217">
      <w:pPr>
        <w:autoSpaceDE w:val="0"/>
        <w:autoSpaceDN w:val="0"/>
        <w:adjustRightInd w:val="0"/>
        <w:spacing w:before="29" w:line="288" w:lineRule="auto"/>
        <w:jc w:val="left"/>
        <w:rPr>
          <w:rFonts w:eastAsiaTheme="minorEastAsia"/>
          <w:color w:val="000000"/>
          <w:sz w:val="24"/>
        </w:rPr>
      </w:pPr>
    </w:p>
    <w:p w:rsidR="00F20F7C" w:rsidRPr="00F20F7C" w:rsidRDefault="00F229B7" w:rsidP="009744C4">
      <w:pPr>
        <w:spacing w:line="288" w:lineRule="auto"/>
        <w:jc w:val="left"/>
        <w:rPr>
          <w:rFonts w:eastAsiaTheme="minorEastAsia"/>
          <w:b/>
          <w:color w:val="000000"/>
          <w:sz w:val="24"/>
        </w:rPr>
      </w:pPr>
      <w:r w:rsidRPr="00F20F7C">
        <w:rPr>
          <w:b/>
          <w:sz w:val="24"/>
        </w:rPr>
        <w:t xml:space="preserve">7.2 </w:t>
      </w:r>
      <w:r w:rsidRPr="00F20F7C">
        <w:rPr>
          <w:rFonts w:hint="eastAsia"/>
          <w:b/>
          <w:sz w:val="24"/>
        </w:rPr>
        <w:t>基金管理人运用固有资金投资本基金交易明细</w:t>
      </w:r>
    </w:p>
    <w:p w:rsidR="00EF07DC" w:rsidRPr="00324C76" w:rsidRDefault="00EF07DC" w:rsidP="00B04217">
      <w:pPr>
        <w:autoSpaceDE w:val="0"/>
        <w:autoSpaceDN w:val="0"/>
        <w:adjustRightInd w:val="0"/>
        <w:spacing w:before="29" w:line="288" w:lineRule="auto"/>
        <w:jc w:val="left"/>
        <w:rPr>
          <w:color w:val="000000"/>
          <w:sz w:val="24"/>
        </w:rPr>
      </w:pPr>
      <w:r w:rsidRPr="00324C76">
        <w:rPr>
          <w:color w:val="000000"/>
          <w:sz w:val="24"/>
        </w:rPr>
        <w:t>本基金管理人本报告期内未进行本基金的申购、赎回、红利再投等。</w:t>
      </w:r>
    </w:p>
    <w:p w:rsidR="00016A56" w:rsidRPr="00324C76" w:rsidRDefault="00016A56" w:rsidP="00B04217">
      <w:pPr>
        <w:autoSpaceDE w:val="0"/>
        <w:autoSpaceDN w:val="0"/>
        <w:adjustRightInd w:val="0"/>
        <w:spacing w:before="29" w:line="288" w:lineRule="auto"/>
        <w:jc w:val="left"/>
        <w:rPr>
          <w:color w:val="000000"/>
          <w:sz w:val="24"/>
        </w:rPr>
      </w:pPr>
    </w:p>
    <w:p w:rsidR="006A0A24" w:rsidRPr="00495FAB" w:rsidRDefault="00220542" w:rsidP="0048293C">
      <w:pPr>
        <w:pStyle w:val="1"/>
        <w:spacing w:beforeLines="100" w:before="312" w:afterLines="100" w:after="312" w:line="288" w:lineRule="auto"/>
        <w:jc w:val="center"/>
        <w:rPr>
          <w:kern w:val="0"/>
          <w:sz w:val="24"/>
          <w:szCs w:val="24"/>
        </w:rPr>
      </w:pPr>
      <w:r w:rsidRPr="00324C76">
        <w:rPr>
          <w:kern w:val="0"/>
          <w:sz w:val="24"/>
          <w:szCs w:val="24"/>
        </w:rPr>
        <w:t>§</w:t>
      </w:r>
      <w:r w:rsidR="00B31ADE" w:rsidRPr="00324C76">
        <w:rPr>
          <w:kern w:val="0"/>
          <w:sz w:val="24"/>
          <w:szCs w:val="24"/>
        </w:rPr>
        <w:t>8</w:t>
      </w:r>
      <w:r w:rsidR="00C66A9E">
        <w:rPr>
          <w:kern w:val="0"/>
          <w:sz w:val="24"/>
          <w:szCs w:val="24"/>
        </w:rPr>
        <w:t xml:space="preserve">  </w:t>
      </w:r>
      <w:r w:rsidRPr="00324C76">
        <w:rPr>
          <w:kern w:val="0"/>
          <w:sz w:val="24"/>
          <w:szCs w:val="24"/>
        </w:rPr>
        <w:t>备查文件目录</w:t>
      </w:r>
    </w:p>
    <w:p w:rsidR="00220542" w:rsidRPr="00324C76" w:rsidRDefault="00B31ADE" w:rsidP="00B04217">
      <w:pPr>
        <w:spacing w:before="29" w:line="288" w:lineRule="auto"/>
        <w:rPr>
          <w:b/>
          <w:sz w:val="24"/>
        </w:rPr>
      </w:pPr>
      <w:r w:rsidRPr="00324C76">
        <w:rPr>
          <w:b/>
          <w:sz w:val="24"/>
        </w:rPr>
        <w:t>8</w:t>
      </w:r>
      <w:r w:rsidR="00220542" w:rsidRPr="00324C76">
        <w:rPr>
          <w:b/>
          <w:sz w:val="24"/>
        </w:rPr>
        <w:t>.</w:t>
      </w:r>
      <w:r w:rsidR="0083066D" w:rsidRPr="00324C76">
        <w:rPr>
          <w:b/>
          <w:sz w:val="24"/>
        </w:rPr>
        <w:t>1</w:t>
      </w:r>
      <w:r w:rsidR="00220542" w:rsidRPr="00324C76">
        <w:rPr>
          <w:b/>
          <w:sz w:val="24"/>
        </w:rPr>
        <w:t>备查文件目录</w:t>
      </w:r>
    </w:p>
    <w:p w:rsidR="0051686F" w:rsidRDefault="009E1C43">
      <w:pPr>
        <w:spacing w:before="29" w:line="288" w:lineRule="auto"/>
        <w:ind w:firstLineChars="200" w:firstLine="480"/>
        <w:rPr>
          <w:color w:val="000000"/>
          <w:sz w:val="24"/>
        </w:rPr>
      </w:pPr>
      <w:r>
        <w:rPr>
          <w:color w:val="000000"/>
          <w:sz w:val="24"/>
        </w:rPr>
        <w:t>1</w:t>
      </w:r>
      <w:r>
        <w:rPr>
          <w:color w:val="000000"/>
          <w:sz w:val="24"/>
        </w:rPr>
        <w:t>、中国证监会核准交银施罗德上证</w:t>
      </w:r>
      <w:r>
        <w:rPr>
          <w:color w:val="000000"/>
          <w:sz w:val="24"/>
        </w:rPr>
        <w:t>180</w:t>
      </w:r>
      <w:r>
        <w:rPr>
          <w:color w:val="000000"/>
          <w:sz w:val="24"/>
        </w:rPr>
        <w:t>公司治理交易型开放式指数证券投资基金联接基金募集的文件；</w:t>
      </w:r>
    </w:p>
    <w:p w:rsidR="0051686F" w:rsidRDefault="009E1C43">
      <w:pPr>
        <w:spacing w:before="29" w:line="288" w:lineRule="auto"/>
        <w:ind w:firstLineChars="200" w:firstLine="480"/>
        <w:rPr>
          <w:color w:val="000000"/>
          <w:sz w:val="24"/>
        </w:rPr>
      </w:pPr>
      <w:r>
        <w:rPr>
          <w:color w:val="000000"/>
          <w:sz w:val="24"/>
        </w:rPr>
        <w:t>2</w:t>
      </w:r>
      <w:r>
        <w:rPr>
          <w:color w:val="000000"/>
          <w:sz w:val="24"/>
        </w:rPr>
        <w:t>、《交银施罗德上证</w:t>
      </w:r>
      <w:r>
        <w:rPr>
          <w:color w:val="000000"/>
          <w:sz w:val="24"/>
        </w:rPr>
        <w:t>180</w:t>
      </w:r>
      <w:r>
        <w:rPr>
          <w:color w:val="000000"/>
          <w:sz w:val="24"/>
        </w:rPr>
        <w:t>公司治理交易型开放式指数证券投资基金联接基金基金合同》；</w:t>
      </w:r>
      <w:r>
        <w:rPr>
          <w:color w:val="000000"/>
          <w:sz w:val="24"/>
        </w:rPr>
        <w:t xml:space="preserve"> </w:t>
      </w:r>
    </w:p>
    <w:p w:rsidR="0051686F" w:rsidRDefault="009E1C43">
      <w:pPr>
        <w:spacing w:before="29" w:line="288" w:lineRule="auto"/>
        <w:ind w:firstLineChars="200" w:firstLine="480"/>
        <w:rPr>
          <w:color w:val="000000"/>
          <w:sz w:val="24"/>
        </w:rPr>
      </w:pPr>
      <w:r>
        <w:rPr>
          <w:color w:val="000000"/>
          <w:sz w:val="24"/>
        </w:rPr>
        <w:t>3</w:t>
      </w:r>
      <w:r>
        <w:rPr>
          <w:color w:val="000000"/>
          <w:sz w:val="24"/>
        </w:rPr>
        <w:t>、《交银施罗德上证</w:t>
      </w:r>
      <w:r>
        <w:rPr>
          <w:color w:val="000000"/>
          <w:sz w:val="24"/>
        </w:rPr>
        <w:t>180</w:t>
      </w:r>
      <w:r>
        <w:rPr>
          <w:color w:val="000000"/>
          <w:sz w:val="24"/>
        </w:rPr>
        <w:t>公司治理交易型开放式指数证券投资基金联接基金招募说明书》；</w:t>
      </w:r>
    </w:p>
    <w:p w:rsidR="0051686F" w:rsidRDefault="009E1C43">
      <w:pPr>
        <w:spacing w:before="29" w:line="288" w:lineRule="auto"/>
        <w:ind w:firstLineChars="200" w:firstLine="480"/>
        <w:rPr>
          <w:color w:val="000000"/>
          <w:sz w:val="24"/>
        </w:rPr>
      </w:pPr>
      <w:r>
        <w:rPr>
          <w:color w:val="000000"/>
          <w:sz w:val="24"/>
        </w:rPr>
        <w:t>4</w:t>
      </w:r>
      <w:r>
        <w:rPr>
          <w:color w:val="000000"/>
          <w:sz w:val="24"/>
        </w:rPr>
        <w:t>、《交银施罗德上证</w:t>
      </w:r>
      <w:r>
        <w:rPr>
          <w:color w:val="000000"/>
          <w:sz w:val="24"/>
        </w:rPr>
        <w:t>180</w:t>
      </w:r>
      <w:r>
        <w:rPr>
          <w:color w:val="000000"/>
          <w:sz w:val="24"/>
        </w:rPr>
        <w:t>公司治理交易型开放式指数证券投资基金联接基金托管协议》；</w:t>
      </w:r>
    </w:p>
    <w:p w:rsidR="0051686F" w:rsidRDefault="009E1C43">
      <w:pPr>
        <w:spacing w:before="29" w:line="288" w:lineRule="auto"/>
        <w:ind w:firstLineChars="200" w:firstLine="480"/>
        <w:rPr>
          <w:color w:val="000000"/>
          <w:sz w:val="24"/>
        </w:rPr>
      </w:pPr>
      <w:r>
        <w:rPr>
          <w:color w:val="000000"/>
          <w:sz w:val="24"/>
        </w:rPr>
        <w:t>5</w:t>
      </w:r>
      <w:r>
        <w:rPr>
          <w:color w:val="000000"/>
          <w:sz w:val="24"/>
        </w:rPr>
        <w:t>、关于申请募集交银施罗德上证</w:t>
      </w:r>
      <w:r>
        <w:rPr>
          <w:color w:val="000000"/>
          <w:sz w:val="24"/>
        </w:rPr>
        <w:t>180</w:t>
      </w:r>
      <w:r>
        <w:rPr>
          <w:color w:val="000000"/>
          <w:sz w:val="24"/>
        </w:rPr>
        <w:t>公司治理交易型开放式指数证券投资基金联接基金之法律意见书；</w:t>
      </w:r>
    </w:p>
    <w:p w:rsidR="0051686F" w:rsidRDefault="009E1C43">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51686F" w:rsidRDefault="009E1C43">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24C76" w:rsidRDefault="00A40C1C" w:rsidP="00B04217">
      <w:pPr>
        <w:spacing w:before="29" w:line="288" w:lineRule="auto"/>
        <w:ind w:firstLineChars="200" w:firstLine="480"/>
        <w:rPr>
          <w:color w:val="000000"/>
          <w:sz w:val="24"/>
        </w:rPr>
      </w:pPr>
      <w:r w:rsidRPr="00324C76">
        <w:rPr>
          <w:color w:val="000000"/>
          <w:sz w:val="24"/>
        </w:rPr>
        <w:t>8</w:t>
      </w:r>
      <w:r w:rsidRPr="00324C76">
        <w:rPr>
          <w:color w:val="000000"/>
          <w:sz w:val="24"/>
        </w:rPr>
        <w:t>、报告期内交银施罗德上证</w:t>
      </w:r>
      <w:r w:rsidRPr="00324C76">
        <w:rPr>
          <w:color w:val="000000"/>
          <w:sz w:val="24"/>
        </w:rPr>
        <w:t>180</w:t>
      </w:r>
      <w:r w:rsidRPr="00324C76">
        <w:rPr>
          <w:color w:val="000000"/>
          <w:sz w:val="24"/>
        </w:rPr>
        <w:t>公司治理交易型开放式指数证券投资基金联接基金在指定报刊上各项公告的原稿。</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8.2</w:t>
      </w:r>
      <w:r w:rsidR="00220542" w:rsidRPr="00324C76">
        <w:rPr>
          <w:b/>
          <w:sz w:val="24"/>
        </w:rPr>
        <w:t>存放地点</w:t>
      </w:r>
    </w:p>
    <w:p w:rsidR="00220542" w:rsidRPr="00324C76" w:rsidRDefault="00A40C1C" w:rsidP="00B04217">
      <w:pPr>
        <w:spacing w:before="29" w:line="288" w:lineRule="auto"/>
        <w:ind w:firstLineChars="200" w:firstLine="480"/>
        <w:rPr>
          <w:color w:val="000000"/>
          <w:sz w:val="24"/>
        </w:rPr>
      </w:pPr>
      <w:r w:rsidRPr="00324C76">
        <w:rPr>
          <w:color w:val="000000"/>
          <w:sz w:val="24"/>
        </w:rPr>
        <w:t>备查文件存放于基金管理人的办公场所。</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8.3</w:t>
      </w:r>
      <w:r w:rsidR="00220542" w:rsidRPr="00324C76">
        <w:rPr>
          <w:b/>
          <w:sz w:val="24"/>
        </w:rPr>
        <w:t>查阅方式</w:t>
      </w:r>
    </w:p>
    <w:p w:rsidR="0051686F" w:rsidRDefault="009E1C43">
      <w:pPr>
        <w:spacing w:before="29" w:line="288" w:lineRule="auto"/>
        <w:ind w:firstLineChars="200" w:firstLine="480"/>
        <w:rPr>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E33DCE" w:rsidRPr="00324C76" w:rsidRDefault="00A40C1C" w:rsidP="00B04217">
      <w:pPr>
        <w:spacing w:before="29" w:line="288" w:lineRule="auto"/>
        <w:ind w:firstLineChars="200" w:firstLine="480"/>
        <w:rPr>
          <w:sz w:val="24"/>
        </w:rPr>
      </w:pPr>
      <w:r w:rsidRPr="00324C76">
        <w:rPr>
          <w:color w:val="000000"/>
          <w:sz w:val="24"/>
        </w:rPr>
        <w:t>投资者对本报告书如有疑问，可咨询本基金管理人交银施罗德基金管理有限公司。本公司客户服务中心电话：</w:t>
      </w:r>
      <w:r w:rsidRPr="00324C76">
        <w:rPr>
          <w:color w:val="000000"/>
          <w:sz w:val="24"/>
        </w:rPr>
        <w:t>400-700-5000</w:t>
      </w:r>
      <w:r w:rsidRPr="00324C76">
        <w:rPr>
          <w:color w:val="000000"/>
          <w:sz w:val="24"/>
        </w:rPr>
        <w:t>（免长途话费），</w:t>
      </w:r>
      <w:r w:rsidRPr="00324C76">
        <w:rPr>
          <w:color w:val="000000"/>
          <w:sz w:val="24"/>
        </w:rPr>
        <w:t>021-61055000</w:t>
      </w:r>
      <w:r w:rsidRPr="00324C76">
        <w:rPr>
          <w:color w:val="000000"/>
          <w:sz w:val="24"/>
        </w:rPr>
        <w:t>，电子邮件：</w:t>
      </w:r>
      <w:r w:rsidRPr="00324C76">
        <w:rPr>
          <w:color w:val="000000"/>
          <w:sz w:val="24"/>
        </w:rPr>
        <w:t>services@jysld.com</w:t>
      </w:r>
      <w:r w:rsidRPr="00324C76">
        <w:rPr>
          <w:color w:val="000000"/>
          <w:sz w:val="24"/>
        </w:rPr>
        <w:t>。</w:t>
      </w:r>
    </w:p>
    <w:p w:rsidR="00897EC2" w:rsidRPr="00324C76" w:rsidRDefault="00897EC2" w:rsidP="00B04217">
      <w:pPr>
        <w:spacing w:before="29" w:line="288" w:lineRule="auto"/>
        <w:ind w:firstLineChars="200" w:firstLine="480"/>
        <w:rPr>
          <w:sz w:val="24"/>
        </w:rPr>
      </w:pPr>
    </w:p>
    <w:sectPr w:rsidR="00897EC2" w:rsidRPr="00324C76" w:rsidSect="00412E7F">
      <w:footerReference w:type="even" r:id="rId15"/>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741" w:rsidRDefault="006C7741">
      <w:r>
        <w:separator/>
      </w:r>
    </w:p>
  </w:endnote>
  <w:endnote w:type="continuationSeparator" w:id="0">
    <w:p w:rsidR="006C7741" w:rsidRDefault="006C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0A" w:rsidRDefault="00BA170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1D0DB0" w:rsidRDefault="00FC3631" w:rsidP="00DB4EE7">
    <w:pPr>
      <w:pStyle w:val="a6"/>
      <w:jc w:val="center"/>
    </w:pPr>
    <w:r>
      <w:rPr>
        <w:rFonts w:hint="eastAsia"/>
        <w:kern w:val="0"/>
        <w:szCs w:val="21"/>
      </w:rPr>
      <w:t>第</w:t>
    </w:r>
    <w:r w:rsidR="007823C0">
      <w:rPr>
        <w:kern w:val="0"/>
        <w:szCs w:val="21"/>
      </w:rPr>
      <w:fldChar w:fldCharType="begin"/>
    </w:r>
    <w:r>
      <w:rPr>
        <w:kern w:val="0"/>
        <w:szCs w:val="21"/>
      </w:rPr>
      <w:instrText xml:space="preserve"> PAGE </w:instrText>
    </w:r>
    <w:r w:rsidR="007823C0">
      <w:rPr>
        <w:kern w:val="0"/>
        <w:szCs w:val="21"/>
      </w:rPr>
      <w:fldChar w:fldCharType="separate"/>
    </w:r>
    <w:r w:rsidR="009E1C43">
      <w:rPr>
        <w:noProof/>
        <w:kern w:val="0"/>
        <w:szCs w:val="21"/>
      </w:rPr>
      <w:t>7</w:t>
    </w:r>
    <w:r w:rsidR="007823C0">
      <w:rPr>
        <w:kern w:val="0"/>
        <w:szCs w:val="21"/>
      </w:rPr>
      <w:fldChar w:fldCharType="end"/>
    </w:r>
    <w:r>
      <w:rPr>
        <w:rFonts w:hint="eastAsia"/>
        <w:kern w:val="0"/>
        <w:szCs w:val="21"/>
      </w:rPr>
      <w:t>页共</w:t>
    </w:r>
    <w:r w:rsidR="007823C0">
      <w:rPr>
        <w:kern w:val="0"/>
        <w:szCs w:val="21"/>
      </w:rPr>
      <w:fldChar w:fldCharType="begin"/>
    </w:r>
    <w:r>
      <w:rPr>
        <w:kern w:val="0"/>
        <w:szCs w:val="21"/>
      </w:rPr>
      <w:instrText xml:space="preserve"> NUMPAGES </w:instrText>
    </w:r>
    <w:r w:rsidR="007823C0">
      <w:rPr>
        <w:kern w:val="0"/>
        <w:szCs w:val="21"/>
      </w:rPr>
      <w:fldChar w:fldCharType="separate"/>
    </w:r>
    <w:r w:rsidR="009E1C43">
      <w:rPr>
        <w:noProof/>
        <w:kern w:val="0"/>
        <w:szCs w:val="21"/>
      </w:rPr>
      <w:t>13</w:t>
    </w:r>
    <w:r w:rsidR="007823C0">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0A" w:rsidRDefault="00BA170A">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Default="007823C0">
    <w:pPr>
      <w:pStyle w:val="a6"/>
      <w:framePr w:wrap="around" w:vAnchor="text" w:hAnchor="margin" w:xAlign="center" w:y="1"/>
      <w:rPr>
        <w:rStyle w:val="a7"/>
      </w:rPr>
    </w:pPr>
    <w:r>
      <w:rPr>
        <w:rStyle w:val="a7"/>
      </w:rPr>
      <w:fldChar w:fldCharType="begin"/>
    </w:r>
    <w:r w:rsidR="00FC3631">
      <w:rPr>
        <w:rStyle w:val="a7"/>
      </w:rPr>
      <w:instrText xml:space="preserve">PAGE  </w:instrText>
    </w:r>
    <w:r>
      <w:rPr>
        <w:rStyle w:val="a7"/>
      </w:rPr>
      <w:fldChar w:fldCharType="end"/>
    </w:r>
  </w:p>
  <w:p w:rsidR="00FC3631" w:rsidRDefault="00FC36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741" w:rsidRDefault="006C7741">
      <w:r>
        <w:separator/>
      </w:r>
    </w:p>
  </w:footnote>
  <w:footnote w:type="continuationSeparator" w:id="0">
    <w:p w:rsidR="006C7741" w:rsidRDefault="006C7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0A" w:rsidRDefault="00BA170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E74491" w:rsidRDefault="00E74491" w:rsidP="00E74491">
    <w:pPr>
      <w:pStyle w:val="a9"/>
      <w:pBdr>
        <w:bottom w:val="single" w:sz="6" w:space="0" w:color="auto"/>
      </w:pBdr>
      <w:ind w:firstLine="480"/>
      <w:jc w:val="right"/>
      <w:rPr>
        <w:sz w:val="24"/>
        <w:szCs w:val="24"/>
      </w:rPr>
    </w:pPr>
    <w:r w:rsidRPr="003E676C">
      <w:rPr>
        <w:sz w:val="24"/>
        <w:szCs w:val="24"/>
      </w:rPr>
      <w:t>交银施罗德上证</w:t>
    </w:r>
    <w:r w:rsidRPr="003E676C">
      <w:rPr>
        <w:sz w:val="24"/>
        <w:szCs w:val="24"/>
      </w:rPr>
      <w:t>180</w:t>
    </w:r>
    <w:r w:rsidRPr="003E676C">
      <w:rPr>
        <w:sz w:val="24"/>
        <w:szCs w:val="24"/>
      </w:rPr>
      <w:t>公司治理交易型开放式指数证券投资基金联接基金</w:t>
    </w:r>
    <w:r w:rsidRPr="003E676C">
      <w:rPr>
        <w:sz w:val="24"/>
        <w:szCs w:val="24"/>
      </w:rPr>
      <w:t>2020</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0A" w:rsidRDefault="00BA170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BC330C7"/>
    <w:multiLevelType w:val="multilevel"/>
    <w:tmpl w:val="0E80B9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15:restartNumberingAfterBreak="0">
    <w:nsid w:val="491157F5"/>
    <w:multiLevelType w:val="multilevel"/>
    <w:tmpl w:val="4E30F4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6302"/>
    <w:rsid w:val="0000403B"/>
    <w:rsid w:val="00005911"/>
    <w:rsid w:val="00006B68"/>
    <w:rsid w:val="00010A83"/>
    <w:rsid w:val="00010A8E"/>
    <w:rsid w:val="00010AC3"/>
    <w:rsid w:val="00011250"/>
    <w:rsid w:val="00011EB5"/>
    <w:rsid w:val="0001280C"/>
    <w:rsid w:val="00016A56"/>
    <w:rsid w:val="00017581"/>
    <w:rsid w:val="00020583"/>
    <w:rsid w:val="00021C28"/>
    <w:rsid w:val="00021DD4"/>
    <w:rsid w:val="00023BE7"/>
    <w:rsid w:val="00024528"/>
    <w:rsid w:val="00027942"/>
    <w:rsid w:val="00027D15"/>
    <w:rsid w:val="00035465"/>
    <w:rsid w:val="00037FCF"/>
    <w:rsid w:val="000421B8"/>
    <w:rsid w:val="00043ABF"/>
    <w:rsid w:val="000445E4"/>
    <w:rsid w:val="00045A7E"/>
    <w:rsid w:val="00046A8E"/>
    <w:rsid w:val="000510AB"/>
    <w:rsid w:val="00052864"/>
    <w:rsid w:val="00052921"/>
    <w:rsid w:val="0005338E"/>
    <w:rsid w:val="00053B07"/>
    <w:rsid w:val="00055AF1"/>
    <w:rsid w:val="00064AE3"/>
    <w:rsid w:val="00066524"/>
    <w:rsid w:val="00070CD1"/>
    <w:rsid w:val="0007171B"/>
    <w:rsid w:val="00076821"/>
    <w:rsid w:val="00081D05"/>
    <w:rsid w:val="0008252F"/>
    <w:rsid w:val="00087CF7"/>
    <w:rsid w:val="0009414A"/>
    <w:rsid w:val="00094876"/>
    <w:rsid w:val="00095912"/>
    <w:rsid w:val="00095CE0"/>
    <w:rsid w:val="00096933"/>
    <w:rsid w:val="00097230"/>
    <w:rsid w:val="000A02AE"/>
    <w:rsid w:val="000A056F"/>
    <w:rsid w:val="000A06A0"/>
    <w:rsid w:val="000A1C78"/>
    <w:rsid w:val="000A457E"/>
    <w:rsid w:val="000A53FD"/>
    <w:rsid w:val="000A549A"/>
    <w:rsid w:val="000A72F2"/>
    <w:rsid w:val="000A7493"/>
    <w:rsid w:val="000B0C56"/>
    <w:rsid w:val="000B3E43"/>
    <w:rsid w:val="000B5CC0"/>
    <w:rsid w:val="000B666F"/>
    <w:rsid w:val="000C027D"/>
    <w:rsid w:val="000C0871"/>
    <w:rsid w:val="000C14B1"/>
    <w:rsid w:val="000C1723"/>
    <w:rsid w:val="000C1B20"/>
    <w:rsid w:val="000C4107"/>
    <w:rsid w:val="000C45E7"/>
    <w:rsid w:val="000C6634"/>
    <w:rsid w:val="000D01F4"/>
    <w:rsid w:val="000D1519"/>
    <w:rsid w:val="000D1C1A"/>
    <w:rsid w:val="000D1E9C"/>
    <w:rsid w:val="000D27BF"/>
    <w:rsid w:val="000D7713"/>
    <w:rsid w:val="000E0611"/>
    <w:rsid w:val="000E186B"/>
    <w:rsid w:val="000E4456"/>
    <w:rsid w:val="000F11CB"/>
    <w:rsid w:val="000F175F"/>
    <w:rsid w:val="000F17D1"/>
    <w:rsid w:val="000F5C95"/>
    <w:rsid w:val="000F60FF"/>
    <w:rsid w:val="000F635F"/>
    <w:rsid w:val="000F6C61"/>
    <w:rsid w:val="00100C12"/>
    <w:rsid w:val="001049B6"/>
    <w:rsid w:val="00104BDD"/>
    <w:rsid w:val="001051C6"/>
    <w:rsid w:val="0011177A"/>
    <w:rsid w:val="00116E31"/>
    <w:rsid w:val="00120EC8"/>
    <w:rsid w:val="0012304E"/>
    <w:rsid w:val="001248EF"/>
    <w:rsid w:val="001257C7"/>
    <w:rsid w:val="00125830"/>
    <w:rsid w:val="0012658D"/>
    <w:rsid w:val="00126DDF"/>
    <w:rsid w:val="001270BF"/>
    <w:rsid w:val="00127A39"/>
    <w:rsid w:val="00127BAC"/>
    <w:rsid w:val="001378A4"/>
    <w:rsid w:val="00140A14"/>
    <w:rsid w:val="00142A56"/>
    <w:rsid w:val="00144DF5"/>
    <w:rsid w:val="00145A97"/>
    <w:rsid w:val="00146485"/>
    <w:rsid w:val="00150AD6"/>
    <w:rsid w:val="00153B40"/>
    <w:rsid w:val="00154ADA"/>
    <w:rsid w:val="0015531A"/>
    <w:rsid w:val="00156E40"/>
    <w:rsid w:val="00163AE8"/>
    <w:rsid w:val="00163B27"/>
    <w:rsid w:val="00165317"/>
    <w:rsid w:val="00165E22"/>
    <w:rsid w:val="00171067"/>
    <w:rsid w:val="00171BAD"/>
    <w:rsid w:val="00174121"/>
    <w:rsid w:val="001744B4"/>
    <w:rsid w:val="001756A1"/>
    <w:rsid w:val="001761EE"/>
    <w:rsid w:val="00176EAA"/>
    <w:rsid w:val="00177009"/>
    <w:rsid w:val="0017725A"/>
    <w:rsid w:val="00177C4B"/>
    <w:rsid w:val="00180BE7"/>
    <w:rsid w:val="0018325A"/>
    <w:rsid w:val="00186199"/>
    <w:rsid w:val="001928F7"/>
    <w:rsid w:val="00192EC8"/>
    <w:rsid w:val="00194537"/>
    <w:rsid w:val="0019563C"/>
    <w:rsid w:val="00197779"/>
    <w:rsid w:val="001A21A9"/>
    <w:rsid w:val="001A2984"/>
    <w:rsid w:val="001A59D8"/>
    <w:rsid w:val="001A5FA6"/>
    <w:rsid w:val="001A6E56"/>
    <w:rsid w:val="001A78A4"/>
    <w:rsid w:val="001B2F0C"/>
    <w:rsid w:val="001B3F9C"/>
    <w:rsid w:val="001C078E"/>
    <w:rsid w:val="001C2E42"/>
    <w:rsid w:val="001C37F6"/>
    <w:rsid w:val="001C4587"/>
    <w:rsid w:val="001C6288"/>
    <w:rsid w:val="001C78B5"/>
    <w:rsid w:val="001D0F6A"/>
    <w:rsid w:val="001D1D94"/>
    <w:rsid w:val="001D20D5"/>
    <w:rsid w:val="001D21BC"/>
    <w:rsid w:val="001D2FA5"/>
    <w:rsid w:val="001D35E0"/>
    <w:rsid w:val="001D5045"/>
    <w:rsid w:val="001D57CC"/>
    <w:rsid w:val="001D5A44"/>
    <w:rsid w:val="001D5A49"/>
    <w:rsid w:val="001D724B"/>
    <w:rsid w:val="001E11D3"/>
    <w:rsid w:val="001E2A6A"/>
    <w:rsid w:val="001E3DC2"/>
    <w:rsid w:val="001E429A"/>
    <w:rsid w:val="001E5689"/>
    <w:rsid w:val="001E56FF"/>
    <w:rsid w:val="001E5C6B"/>
    <w:rsid w:val="001E7CAE"/>
    <w:rsid w:val="001F03E1"/>
    <w:rsid w:val="001F0853"/>
    <w:rsid w:val="001F38BB"/>
    <w:rsid w:val="001F3CC6"/>
    <w:rsid w:val="001F4530"/>
    <w:rsid w:val="002005FD"/>
    <w:rsid w:val="00200C9F"/>
    <w:rsid w:val="002010DE"/>
    <w:rsid w:val="00202968"/>
    <w:rsid w:val="00202C32"/>
    <w:rsid w:val="00203AEF"/>
    <w:rsid w:val="002070DE"/>
    <w:rsid w:val="0021023C"/>
    <w:rsid w:val="00211A26"/>
    <w:rsid w:val="002124AD"/>
    <w:rsid w:val="002125F7"/>
    <w:rsid w:val="0021347B"/>
    <w:rsid w:val="00214463"/>
    <w:rsid w:val="00214756"/>
    <w:rsid w:val="00214B50"/>
    <w:rsid w:val="00215CF2"/>
    <w:rsid w:val="00220542"/>
    <w:rsid w:val="00221174"/>
    <w:rsid w:val="00221233"/>
    <w:rsid w:val="00221540"/>
    <w:rsid w:val="00225ADC"/>
    <w:rsid w:val="00232D92"/>
    <w:rsid w:val="00234D01"/>
    <w:rsid w:val="002359EB"/>
    <w:rsid w:val="002363AB"/>
    <w:rsid w:val="00237963"/>
    <w:rsid w:val="002404C7"/>
    <w:rsid w:val="00240E66"/>
    <w:rsid w:val="0024260D"/>
    <w:rsid w:val="00245012"/>
    <w:rsid w:val="0024504E"/>
    <w:rsid w:val="0024651F"/>
    <w:rsid w:val="0024740E"/>
    <w:rsid w:val="0025007E"/>
    <w:rsid w:val="00250970"/>
    <w:rsid w:val="00251392"/>
    <w:rsid w:val="0025158D"/>
    <w:rsid w:val="0025281A"/>
    <w:rsid w:val="00253D3C"/>
    <w:rsid w:val="00254CE0"/>
    <w:rsid w:val="00255292"/>
    <w:rsid w:val="00260200"/>
    <w:rsid w:val="00261468"/>
    <w:rsid w:val="002620C9"/>
    <w:rsid w:val="00263E8D"/>
    <w:rsid w:val="002648D8"/>
    <w:rsid w:val="0026651A"/>
    <w:rsid w:val="00273F86"/>
    <w:rsid w:val="002774F0"/>
    <w:rsid w:val="00282506"/>
    <w:rsid w:val="0028459B"/>
    <w:rsid w:val="00284C5F"/>
    <w:rsid w:val="00284CBC"/>
    <w:rsid w:val="002873F0"/>
    <w:rsid w:val="0029290C"/>
    <w:rsid w:val="00294DD0"/>
    <w:rsid w:val="002964F9"/>
    <w:rsid w:val="002A089C"/>
    <w:rsid w:val="002A1F14"/>
    <w:rsid w:val="002A24FD"/>
    <w:rsid w:val="002A2678"/>
    <w:rsid w:val="002A2E01"/>
    <w:rsid w:val="002A398F"/>
    <w:rsid w:val="002A5C6B"/>
    <w:rsid w:val="002A5D31"/>
    <w:rsid w:val="002A5D65"/>
    <w:rsid w:val="002A714F"/>
    <w:rsid w:val="002A7558"/>
    <w:rsid w:val="002B1851"/>
    <w:rsid w:val="002B27FF"/>
    <w:rsid w:val="002B6793"/>
    <w:rsid w:val="002B6FAE"/>
    <w:rsid w:val="002C0867"/>
    <w:rsid w:val="002C1726"/>
    <w:rsid w:val="002C21A6"/>
    <w:rsid w:val="002C26D5"/>
    <w:rsid w:val="002C42F9"/>
    <w:rsid w:val="002C5777"/>
    <w:rsid w:val="002C5CC8"/>
    <w:rsid w:val="002C5D69"/>
    <w:rsid w:val="002D179F"/>
    <w:rsid w:val="002D32E3"/>
    <w:rsid w:val="002D4360"/>
    <w:rsid w:val="002E0FEB"/>
    <w:rsid w:val="002E27D4"/>
    <w:rsid w:val="002F0F79"/>
    <w:rsid w:val="002F280E"/>
    <w:rsid w:val="002F3709"/>
    <w:rsid w:val="002F3A6C"/>
    <w:rsid w:val="002F4296"/>
    <w:rsid w:val="002F46DA"/>
    <w:rsid w:val="00300951"/>
    <w:rsid w:val="00300FD7"/>
    <w:rsid w:val="003019BF"/>
    <w:rsid w:val="003023C9"/>
    <w:rsid w:val="00302CA8"/>
    <w:rsid w:val="00302DE9"/>
    <w:rsid w:val="003030C2"/>
    <w:rsid w:val="00304ADD"/>
    <w:rsid w:val="00304C05"/>
    <w:rsid w:val="00305084"/>
    <w:rsid w:val="0031189A"/>
    <w:rsid w:val="00314308"/>
    <w:rsid w:val="003204E9"/>
    <w:rsid w:val="00321E8C"/>
    <w:rsid w:val="003225A9"/>
    <w:rsid w:val="00322A86"/>
    <w:rsid w:val="00323AE8"/>
    <w:rsid w:val="00324548"/>
    <w:rsid w:val="00324C5F"/>
    <w:rsid w:val="00324C76"/>
    <w:rsid w:val="003251EE"/>
    <w:rsid w:val="003251F4"/>
    <w:rsid w:val="003303E3"/>
    <w:rsid w:val="003329EA"/>
    <w:rsid w:val="00333E4E"/>
    <w:rsid w:val="003404B6"/>
    <w:rsid w:val="003407A5"/>
    <w:rsid w:val="00341188"/>
    <w:rsid w:val="0034147B"/>
    <w:rsid w:val="00343D0F"/>
    <w:rsid w:val="00350238"/>
    <w:rsid w:val="0035109C"/>
    <w:rsid w:val="00351F0A"/>
    <w:rsid w:val="0035432B"/>
    <w:rsid w:val="003567DA"/>
    <w:rsid w:val="00357F6A"/>
    <w:rsid w:val="003603E3"/>
    <w:rsid w:val="00360A1E"/>
    <w:rsid w:val="00361E7E"/>
    <w:rsid w:val="003634D5"/>
    <w:rsid w:val="00370748"/>
    <w:rsid w:val="00370AA4"/>
    <w:rsid w:val="00371FF4"/>
    <w:rsid w:val="00372D64"/>
    <w:rsid w:val="00377520"/>
    <w:rsid w:val="00380D36"/>
    <w:rsid w:val="003822D3"/>
    <w:rsid w:val="00383B58"/>
    <w:rsid w:val="00384E91"/>
    <w:rsid w:val="00386630"/>
    <w:rsid w:val="00390B25"/>
    <w:rsid w:val="00390F9A"/>
    <w:rsid w:val="00397156"/>
    <w:rsid w:val="0039770F"/>
    <w:rsid w:val="00397960"/>
    <w:rsid w:val="003A1482"/>
    <w:rsid w:val="003A3BC4"/>
    <w:rsid w:val="003A458A"/>
    <w:rsid w:val="003A7129"/>
    <w:rsid w:val="003B128A"/>
    <w:rsid w:val="003B1FB8"/>
    <w:rsid w:val="003B2F13"/>
    <w:rsid w:val="003B3278"/>
    <w:rsid w:val="003B405E"/>
    <w:rsid w:val="003B460A"/>
    <w:rsid w:val="003B57D3"/>
    <w:rsid w:val="003C044A"/>
    <w:rsid w:val="003C1F58"/>
    <w:rsid w:val="003C6409"/>
    <w:rsid w:val="003C792F"/>
    <w:rsid w:val="003D124B"/>
    <w:rsid w:val="003D1893"/>
    <w:rsid w:val="003D18F3"/>
    <w:rsid w:val="003D3D37"/>
    <w:rsid w:val="003D754A"/>
    <w:rsid w:val="003D78B5"/>
    <w:rsid w:val="003E10F5"/>
    <w:rsid w:val="003E244F"/>
    <w:rsid w:val="003E62A6"/>
    <w:rsid w:val="003E695F"/>
    <w:rsid w:val="003E6C9B"/>
    <w:rsid w:val="003E709C"/>
    <w:rsid w:val="003E7B89"/>
    <w:rsid w:val="003F4086"/>
    <w:rsid w:val="003F4241"/>
    <w:rsid w:val="003F48E7"/>
    <w:rsid w:val="003F5DE1"/>
    <w:rsid w:val="003F780A"/>
    <w:rsid w:val="003F7C45"/>
    <w:rsid w:val="004011B3"/>
    <w:rsid w:val="0040132C"/>
    <w:rsid w:val="00402A3A"/>
    <w:rsid w:val="00402ED1"/>
    <w:rsid w:val="00405085"/>
    <w:rsid w:val="004066FC"/>
    <w:rsid w:val="00407C10"/>
    <w:rsid w:val="004113B4"/>
    <w:rsid w:val="00411C09"/>
    <w:rsid w:val="00412E7F"/>
    <w:rsid w:val="00414827"/>
    <w:rsid w:val="00416C10"/>
    <w:rsid w:val="00417017"/>
    <w:rsid w:val="00422543"/>
    <w:rsid w:val="00424EF3"/>
    <w:rsid w:val="004253A2"/>
    <w:rsid w:val="004268BB"/>
    <w:rsid w:val="00427037"/>
    <w:rsid w:val="00431047"/>
    <w:rsid w:val="004318D9"/>
    <w:rsid w:val="00431B86"/>
    <w:rsid w:val="004408EC"/>
    <w:rsid w:val="00441E6A"/>
    <w:rsid w:val="0044240C"/>
    <w:rsid w:val="00442EB8"/>
    <w:rsid w:val="00443810"/>
    <w:rsid w:val="00443C8F"/>
    <w:rsid w:val="004445C7"/>
    <w:rsid w:val="00446302"/>
    <w:rsid w:val="00446862"/>
    <w:rsid w:val="00452481"/>
    <w:rsid w:val="00454F86"/>
    <w:rsid w:val="00456BE4"/>
    <w:rsid w:val="00456CEF"/>
    <w:rsid w:val="00457804"/>
    <w:rsid w:val="004646BF"/>
    <w:rsid w:val="00464744"/>
    <w:rsid w:val="004665E3"/>
    <w:rsid w:val="004721FE"/>
    <w:rsid w:val="004731F1"/>
    <w:rsid w:val="004739A8"/>
    <w:rsid w:val="0047622F"/>
    <w:rsid w:val="00480BC8"/>
    <w:rsid w:val="00481265"/>
    <w:rsid w:val="004814BF"/>
    <w:rsid w:val="00481E6C"/>
    <w:rsid w:val="0048293C"/>
    <w:rsid w:val="00483508"/>
    <w:rsid w:val="0048587E"/>
    <w:rsid w:val="00486365"/>
    <w:rsid w:val="00486D56"/>
    <w:rsid w:val="00487C2B"/>
    <w:rsid w:val="00487E29"/>
    <w:rsid w:val="004909BF"/>
    <w:rsid w:val="00490A9D"/>
    <w:rsid w:val="00491158"/>
    <w:rsid w:val="0049148F"/>
    <w:rsid w:val="00491506"/>
    <w:rsid w:val="0049297D"/>
    <w:rsid w:val="004929F2"/>
    <w:rsid w:val="00494289"/>
    <w:rsid w:val="00495A03"/>
    <w:rsid w:val="00495FAB"/>
    <w:rsid w:val="00497079"/>
    <w:rsid w:val="004A15F0"/>
    <w:rsid w:val="004A1BBA"/>
    <w:rsid w:val="004A3E3C"/>
    <w:rsid w:val="004A5F76"/>
    <w:rsid w:val="004A6C88"/>
    <w:rsid w:val="004A6ECD"/>
    <w:rsid w:val="004B0E6D"/>
    <w:rsid w:val="004B16E8"/>
    <w:rsid w:val="004B6250"/>
    <w:rsid w:val="004B6F8A"/>
    <w:rsid w:val="004B76B1"/>
    <w:rsid w:val="004C0057"/>
    <w:rsid w:val="004C0541"/>
    <w:rsid w:val="004C2C46"/>
    <w:rsid w:val="004C4CF1"/>
    <w:rsid w:val="004C575D"/>
    <w:rsid w:val="004C7235"/>
    <w:rsid w:val="004C7955"/>
    <w:rsid w:val="004D047F"/>
    <w:rsid w:val="004D3D96"/>
    <w:rsid w:val="004D4B49"/>
    <w:rsid w:val="004D55B2"/>
    <w:rsid w:val="004D650F"/>
    <w:rsid w:val="004D6E34"/>
    <w:rsid w:val="004D6F1D"/>
    <w:rsid w:val="004E2133"/>
    <w:rsid w:val="004E2276"/>
    <w:rsid w:val="004E386C"/>
    <w:rsid w:val="004E60FB"/>
    <w:rsid w:val="004F1DD8"/>
    <w:rsid w:val="004F779C"/>
    <w:rsid w:val="004F7846"/>
    <w:rsid w:val="005000D4"/>
    <w:rsid w:val="00504850"/>
    <w:rsid w:val="00510CAF"/>
    <w:rsid w:val="005128C5"/>
    <w:rsid w:val="0051357F"/>
    <w:rsid w:val="0051478B"/>
    <w:rsid w:val="0051566A"/>
    <w:rsid w:val="00515D7B"/>
    <w:rsid w:val="005166E9"/>
    <w:rsid w:val="0051686F"/>
    <w:rsid w:val="0052009E"/>
    <w:rsid w:val="00525E59"/>
    <w:rsid w:val="00526BBC"/>
    <w:rsid w:val="00527176"/>
    <w:rsid w:val="005318CC"/>
    <w:rsid w:val="005348C7"/>
    <w:rsid w:val="005349B1"/>
    <w:rsid w:val="00535766"/>
    <w:rsid w:val="0053592B"/>
    <w:rsid w:val="005374BC"/>
    <w:rsid w:val="00542355"/>
    <w:rsid w:val="00542A5B"/>
    <w:rsid w:val="00542CC1"/>
    <w:rsid w:val="00543188"/>
    <w:rsid w:val="00543367"/>
    <w:rsid w:val="00543BFA"/>
    <w:rsid w:val="00547D9C"/>
    <w:rsid w:val="00547DA1"/>
    <w:rsid w:val="00551BAA"/>
    <w:rsid w:val="0055513C"/>
    <w:rsid w:val="0055753F"/>
    <w:rsid w:val="00560C94"/>
    <w:rsid w:val="0056291C"/>
    <w:rsid w:val="005629AF"/>
    <w:rsid w:val="00563A3F"/>
    <w:rsid w:val="00565A63"/>
    <w:rsid w:val="00566588"/>
    <w:rsid w:val="0057275D"/>
    <w:rsid w:val="005742B7"/>
    <w:rsid w:val="00575252"/>
    <w:rsid w:val="005800A9"/>
    <w:rsid w:val="00580488"/>
    <w:rsid w:val="0058074D"/>
    <w:rsid w:val="00580FD1"/>
    <w:rsid w:val="00582FAD"/>
    <w:rsid w:val="00583489"/>
    <w:rsid w:val="00583771"/>
    <w:rsid w:val="00590FE4"/>
    <w:rsid w:val="00591D9C"/>
    <w:rsid w:val="0059320E"/>
    <w:rsid w:val="00593440"/>
    <w:rsid w:val="005960E5"/>
    <w:rsid w:val="00597057"/>
    <w:rsid w:val="00597D8B"/>
    <w:rsid w:val="00597E06"/>
    <w:rsid w:val="005A1C30"/>
    <w:rsid w:val="005A3295"/>
    <w:rsid w:val="005A44A3"/>
    <w:rsid w:val="005A46FF"/>
    <w:rsid w:val="005B011E"/>
    <w:rsid w:val="005B1C89"/>
    <w:rsid w:val="005B2E84"/>
    <w:rsid w:val="005B323C"/>
    <w:rsid w:val="005B7B0E"/>
    <w:rsid w:val="005B7DCD"/>
    <w:rsid w:val="005C0751"/>
    <w:rsid w:val="005C2C2B"/>
    <w:rsid w:val="005C5409"/>
    <w:rsid w:val="005C69AC"/>
    <w:rsid w:val="005C722E"/>
    <w:rsid w:val="005D01A4"/>
    <w:rsid w:val="005D259B"/>
    <w:rsid w:val="005D278A"/>
    <w:rsid w:val="005D45B3"/>
    <w:rsid w:val="005D4CEB"/>
    <w:rsid w:val="005D5E5B"/>
    <w:rsid w:val="005D6496"/>
    <w:rsid w:val="005E004D"/>
    <w:rsid w:val="005E43A2"/>
    <w:rsid w:val="005F04E6"/>
    <w:rsid w:val="005F16FA"/>
    <w:rsid w:val="005F43B9"/>
    <w:rsid w:val="005F68CB"/>
    <w:rsid w:val="006003EC"/>
    <w:rsid w:val="006033E3"/>
    <w:rsid w:val="00603B03"/>
    <w:rsid w:val="00606088"/>
    <w:rsid w:val="00607134"/>
    <w:rsid w:val="0061321C"/>
    <w:rsid w:val="0062317C"/>
    <w:rsid w:val="0062386E"/>
    <w:rsid w:val="00623D9A"/>
    <w:rsid w:val="00623F01"/>
    <w:rsid w:val="006242FB"/>
    <w:rsid w:val="006243DC"/>
    <w:rsid w:val="00626E2D"/>
    <w:rsid w:val="006272BD"/>
    <w:rsid w:val="0062756F"/>
    <w:rsid w:val="00627D94"/>
    <w:rsid w:val="00630B42"/>
    <w:rsid w:val="006344D2"/>
    <w:rsid w:val="0063713D"/>
    <w:rsid w:val="00641808"/>
    <w:rsid w:val="00642072"/>
    <w:rsid w:val="0064350E"/>
    <w:rsid w:val="006440ED"/>
    <w:rsid w:val="00644AF7"/>
    <w:rsid w:val="00644EC3"/>
    <w:rsid w:val="00645293"/>
    <w:rsid w:val="006469DC"/>
    <w:rsid w:val="00651B78"/>
    <w:rsid w:val="00652263"/>
    <w:rsid w:val="00652881"/>
    <w:rsid w:val="00656F35"/>
    <w:rsid w:val="00660146"/>
    <w:rsid w:val="00661974"/>
    <w:rsid w:val="0066200A"/>
    <w:rsid w:val="0066232F"/>
    <w:rsid w:val="00664551"/>
    <w:rsid w:val="006676A0"/>
    <w:rsid w:val="00670857"/>
    <w:rsid w:val="00671124"/>
    <w:rsid w:val="00671F44"/>
    <w:rsid w:val="00671F51"/>
    <w:rsid w:val="006727B0"/>
    <w:rsid w:val="0067307E"/>
    <w:rsid w:val="00676126"/>
    <w:rsid w:val="0068082B"/>
    <w:rsid w:val="0068640F"/>
    <w:rsid w:val="00687AD5"/>
    <w:rsid w:val="00691921"/>
    <w:rsid w:val="00695251"/>
    <w:rsid w:val="00695ADE"/>
    <w:rsid w:val="00695C0D"/>
    <w:rsid w:val="00696356"/>
    <w:rsid w:val="00696A7B"/>
    <w:rsid w:val="006973EC"/>
    <w:rsid w:val="006A0A24"/>
    <w:rsid w:val="006A1874"/>
    <w:rsid w:val="006A72C6"/>
    <w:rsid w:val="006A7FC4"/>
    <w:rsid w:val="006B02DA"/>
    <w:rsid w:val="006B0406"/>
    <w:rsid w:val="006B198C"/>
    <w:rsid w:val="006B2065"/>
    <w:rsid w:val="006B207C"/>
    <w:rsid w:val="006B3940"/>
    <w:rsid w:val="006B4145"/>
    <w:rsid w:val="006B4B1E"/>
    <w:rsid w:val="006B7F36"/>
    <w:rsid w:val="006C168D"/>
    <w:rsid w:val="006C615F"/>
    <w:rsid w:val="006C642C"/>
    <w:rsid w:val="006C6FC6"/>
    <w:rsid w:val="006C7741"/>
    <w:rsid w:val="006E2F89"/>
    <w:rsid w:val="006E34B7"/>
    <w:rsid w:val="006F2F56"/>
    <w:rsid w:val="006F4CD8"/>
    <w:rsid w:val="006F53D9"/>
    <w:rsid w:val="006F59D5"/>
    <w:rsid w:val="006F5B9A"/>
    <w:rsid w:val="00700422"/>
    <w:rsid w:val="007004DC"/>
    <w:rsid w:val="00703E8A"/>
    <w:rsid w:val="00711522"/>
    <w:rsid w:val="007124FE"/>
    <w:rsid w:val="00713186"/>
    <w:rsid w:val="00713757"/>
    <w:rsid w:val="00714C63"/>
    <w:rsid w:val="00714DCA"/>
    <w:rsid w:val="00717772"/>
    <w:rsid w:val="00721AF1"/>
    <w:rsid w:val="00721C61"/>
    <w:rsid w:val="0072280F"/>
    <w:rsid w:val="00722B5E"/>
    <w:rsid w:val="0072708F"/>
    <w:rsid w:val="00730566"/>
    <w:rsid w:val="00732D1D"/>
    <w:rsid w:val="00733D9B"/>
    <w:rsid w:val="00733FB9"/>
    <w:rsid w:val="00736034"/>
    <w:rsid w:val="0073681C"/>
    <w:rsid w:val="00736C89"/>
    <w:rsid w:val="0073709A"/>
    <w:rsid w:val="00741D09"/>
    <w:rsid w:val="00741EBE"/>
    <w:rsid w:val="00746130"/>
    <w:rsid w:val="007469C0"/>
    <w:rsid w:val="00746A40"/>
    <w:rsid w:val="00750358"/>
    <w:rsid w:val="00750E0C"/>
    <w:rsid w:val="0075424A"/>
    <w:rsid w:val="00755CDF"/>
    <w:rsid w:val="00756731"/>
    <w:rsid w:val="00757A4C"/>
    <w:rsid w:val="00764A94"/>
    <w:rsid w:val="007651E5"/>
    <w:rsid w:val="007670DC"/>
    <w:rsid w:val="00771003"/>
    <w:rsid w:val="0077111A"/>
    <w:rsid w:val="007720AE"/>
    <w:rsid w:val="00772272"/>
    <w:rsid w:val="0077542F"/>
    <w:rsid w:val="007756ED"/>
    <w:rsid w:val="0078047B"/>
    <w:rsid w:val="007823C0"/>
    <w:rsid w:val="00784443"/>
    <w:rsid w:val="00784955"/>
    <w:rsid w:val="00786656"/>
    <w:rsid w:val="007870FC"/>
    <w:rsid w:val="00787CD0"/>
    <w:rsid w:val="00790B94"/>
    <w:rsid w:val="00791053"/>
    <w:rsid w:val="00791A3A"/>
    <w:rsid w:val="00792F67"/>
    <w:rsid w:val="00794196"/>
    <w:rsid w:val="00797637"/>
    <w:rsid w:val="00797CBF"/>
    <w:rsid w:val="007A0B2A"/>
    <w:rsid w:val="007A3680"/>
    <w:rsid w:val="007A59B8"/>
    <w:rsid w:val="007B0C35"/>
    <w:rsid w:val="007B0E0E"/>
    <w:rsid w:val="007B1A39"/>
    <w:rsid w:val="007B2862"/>
    <w:rsid w:val="007B2A4A"/>
    <w:rsid w:val="007B662A"/>
    <w:rsid w:val="007C099F"/>
    <w:rsid w:val="007C57FC"/>
    <w:rsid w:val="007C67DA"/>
    <w:rsid w:val="007D10B0"/>
    <w:rsid w:val="007D23E1"/>
    <w:rsid w:val="007D28C9"/>
    <w:rsid w:val="007D3CC8"/>
    <w:rsid w:val="007D62F9"/>
    <w:rsid w:val="007D63A4"/>
    <w:rsid w:val="007E1AA2"/>
    <w:rsid w:val="007E4C1F"/>
    <w:rsid w:val="007E5469"/>
    <w:rsid w:val="007F0759"/>
    <w:rsid w:val="007F156E"/>
    <w:rsid w:val="007F25C0"/>
    <w:rsid w:val="007F5F52"/>
    <w:rsid w:val="007F77C6"/>
    <w:rsid w:val="008003A1"/>
    <w:rsid w:val="008006B7"/>
    <w:rsid w:val="00800FDB"/>
    <w:rsid w:val="00802081"/>
    <w:rsid w:val="00802299"/>
    <w:rsid w:val="00805F23"/>
    <w:rsid w:val="00806461"/>
    <w:rsid w:val="0080742F"/>
    <w:rsid w:val="0081096D"/>
    <w:rsid w:val="00810EAD"/>
    <w:rsid w:val="00811833"/>
    <w:rsid w:val="00814DCE"/>
    <w:rsid w:val="0081515B"/>
    <w:rsid w:val="008174D4"/>
    <w:rsid w:val="00820FB9"/>
    <w:rsid w:val="00820FE6"/>
    <w:rsid w:val="00821545"/>
    <w:rsid w:val="00821A66"/>
    <w:rsid w:val="00822476"/>
    <w:rsid w:val="00822882"/>
    <w:rsid w:val="00822A0F"/>
    <w:rsid w:val="00825F68"/>
    <w:rsid w:val="0083066D"/>
    <w:rsid w:val="0083349B"/>
    <w:rsid w:val="00834467"/>
    <w:rsid w:val="00834F45"/>
    <w:rsid w:val="00835408"/>
    <w:rsid w:val="008359DA"/>
    <w:rsid w:val="00836321"/>
    <w:rsid w:val="00837CEF"/>
    <w:rsid w:val="00840035"/>
    <w:rsid w:val="00841E37"/>
    <w:rsid w:val="008428A9"/>
    <w:rsid w:val="00844112"/>
    <w:rsid w:val="008456C9"/>
    <w:rsid w:val="0084595F"/>
    <w:rsid w:val="0084611D"/>
    <w:rsid w:val="00850C62"/>
    <w:rsid w:val="00857C90"/>
    <w:rsid w:val="00863011"/>
    <w:rsid w:val="00865075"/>
    <w:rsid w:val="0086748F"/>
    <w:rsid w:val="008726BA"/>
    <w:rsid w:val="00872CE4"/>
    <w:rsid w:val="008730DF"/>
    <w:rsid w:val="0087589D"/>
    <w:rsid w:val="00877B62"/>
    <w:rsid w:val="00881015"/>
    <w:rsid w:val="008810B0"/>
    <w:rsid w:val="008819B6"/>
    <w:rsid w:val="00881AAC"/>
    <w:rsid w:val="008836B7"/>
    <w:rsid w:val="008841D3"/>
    <w:rsid w:val="00886CF9"/>
    <w:rsid w:val="00887DE6"/>
    <w:rsid w:val="00894C2A"/>
    <w:rsid w:val="00896BE4"/>
    <w:rsid w:val="00897708"/>
    <w:rsid w:val="00897C60"/>
    <w:rsid w:val="00897D88"/>
    <w:rsid w:val="00897EC2"/>
    <w:rsid w:val="008A17AF"/>
    <w:rsid w:val="008A1B66"/>
    <w:rsid w:val="008A22A5"/>
    <w:rsid w:val="008A2F16"/>
    <w:rsid w:val="008A6913"/>
    <w:rsid w:val="008B1823"/>
    <w:rsid w:val="008B6E16"/>
    <w:rsid w:val="008B7110"/>
    <w:rsid w:val="008C1E76"/>
    <w:rsid w:val="008C2029"/>
    <w:rsid w:val="008C4A0E"/>
    <w:rsid w:val="008C550C"/>
    <w:rsid w:val="008C61D6"/>
    <w:rsid w:val="008C64F1"/>
    <w:rsid w:val="008D1BB0"/>
    <w:rsid w:val="008D20FF"/>
    <w:rsid w:val="008D3DE6"/>
    <w:rsid w:val="008D4223"/>
    <w:rsid w:val="008D44CC"/>
    <w:rsid w:val="008D46E3"/>
    <w:rsid w:val="008D6709"/>
    <w:rsid w:val="008D6BC7"/>
    <w:rsid w:val="008E083A"/>
    <w:rsid w:val="008E2450"/>
    <w:rsid w:val="008E61E9"/>
    <w:rsid w:val="008E7896"/>
    <w:rsid w:val="008F2477"/>
    <w:rsid w:val="008F38A8"/>
    <w:rsid w:val="0090000A"/>
    <w:rsid w:val="009010F0"/>
    <w:rsid w:val="00901162"/>
    <w:rsid w:val="00902123"/>
    <w:rsid w:val="0090223A"/>
    <w:rsid w:val="009028E2"/>
    <w:rsid w:val="00903E90"/>
    <w:rsid w:val="009110CF"/>
    <w:rsid w:val="00913200"/>
    <w:rsid w:val="00914613"/>
    <w:rsid w:val="00914EAB"/>
    <w:rsid w:val="00916017"/>
    <w:rsid w:val="0091769F"/>
    <w:rsid w:val="00920CBA"/>
    <w:rsid w:val="0092140D"/>
    <w:rsid w:val="00922D49"/>
    <w:rsid w:val="00925563"/>
    <w:rsid w:val="00925E37"/>
    <w:rsid w:val="00925EDD"/>
    <w:rsid w:val="009274EF"/>
    <w:rsid w:val="00927D0E"/>
    <w:rsid w:val="00927D28"/>
    <w:rsid w:val="0093042A"/>
    <w:rsid w:val="009309DA"/>
    <w:rsid w:val="00932C9E"/>
    <w:rsid w:val="00933EAB"/>
    <w:rsid w:val="00936688"/>
    <w:rsid w:val="00937CFA"/>
    <w:rsid w:val="009406B3"/>
    <w:rsid w:val="00943748"/>
    <w:rsid w:val="009457CF"/>
    <w:rsid w:val="00945CF5"/>
    <w:rsid w:val="00947E6A"/>
    <w:rsid w:val="009500A1"/>
    <w:rsid w:val="0095037E"/>
    <w:rsid w:val="00952AAD"/>
    <w:rsid w:val="00954567"/>
    <w:rsid w:val="00955B04"/>
    <w:rsid w:val="00956671"/>
    <w:rsid w:val="00957466"/>
    <w:rsid w:val="0096260B"/>
    <w:rsid w:val="009664D5"/>
    <w:rsid w:val="00970A7F"/>
    <w:rsid w:val="00970C69"/>
    <w:rsid w:val="00971114"/>
    <w:rsid w:val="00971F1C"/>
    <w:rsid w:val="0097211D"/>
    <w:rsid w:val="00972E10"/>
    <w:rsid w:val="009744C4"/>
    <w:rsid w:val="009746CA"/>
    <w:rsid w:val="0097516E"/>
    <w:rsid w:val="00980733"/>
    <w:rsid w:val="00981963"/>
    <w:rsid w:val="00983C82"/>
    <w:rsid w:val="00984520"/>
    <w:rsid w:val="0098545C"/>
    <w:rsid w:val="00991257"/>
    <w:rsid w:val="00992BA2"/>
    <w:rsid w:val="00992F83"/>
    <w:rsid w:val="00994970"/>
    <w:rsid w:val="0099508A"/>
    <w:rsid w:val="009950C6"/>
    <w:rsid w:val="0099581D"/>
    <w:rsid w:val="00995D0B"/>
    <w:rsid w:val="009974EB"/>
    <w:rsid w:val="009A1126"/>
    <w:rsid w:val="009A4FC8"/>
    <w:rsid w:val="009A59AD"/>
    <w:rsid w:val="009A7A14"/>
    <w:rsid w:val="009B0301"/>
    <w:rsid w:val="009B1584"/>
    <w:rsid w:val="009B1B32"/>
    <w:rsid w:val="009B21CA"/>
    <w:rsid w:val="009B2648"/>
    <w:rsid w:val="009B6BB3"/>
    <w:rsid w:val="009C03E5"/>
    <w:rsid w:val="009C196C"/>
    <w:rsid w:val="009C3730"/>
    <w:rsid w:val="009C37BD"/>
    <w:rsid w:val="009C3AAC"/>
    <w:rsid w:val="009C4D19"/>
    <w:rsid w:val="009C5FDB"/>
    <w:rsid w:val="009C693E"/>
    <w:rsid w:val="009C70CB"/>
    <w:rsid w:val="009D1EA4"/>
    <w:rsid w:val="009D27AA"/>
    <w:rsid w:val="009D4991"/>
    <w:rsid w:val="009D54B7"/>
    <w:rsid w:val="009D5BB5"/>
    <w:rsid w:val="009D696D"/>
    <w:rsid w:val="009D6ED2"/>
    <w:rsid w:val="009E0F1A"/>
    <w:rsid w:val="009E140D"/>
    <w:rsid w:val="009E1C43"/>
    <w:rsid w:val="009E4465"/>
    <w:rsid w:val="009E56E9"/>
    <w:rsid w:val="009E6401"/>
    <w:rsid w:val="009E6C54"/>
    <w:rsid w:val="009F2A25"/>
    <w:rsid w:val="009F2BEF"/>
    <w:rsid w:val="009F4FDA"/>
    <w:rsid w:val="009F5235"/>
    <w:rsid w:val="009F531A"/>
    <w:rsid w:val="009F6550"/>
    <w:rsid w:val="009F786E"/>
    <w:rsid w:val="00A00902"/>
    <w:rsid w:val="00A039FF"/>
    <w:rsid w:val="00A03E55"/>
    <w:rsid w:val="00A05ACE"/>
    <w:rsid w:val="00A13A08"/>
    <w:rsid w:val="00A14AE3"/>
    <w:rsid w:val="00A16675"/>
    <w:rsid w:val="00A20072"/>
    <w:rsid w:val="00A22CD6"/>
    <w:rsid w:val="00A234EC"/>
    <w:rsid w:val="00A2417A"/>
    <w:rsid w:val="00A26668"/>
    <w:rsid w:val="00A27804"/>
    <w:rsid w:val="00A27FCA"/>
    <w:rsid w:val="00A31937"/>
    <w:rsid w:val="00A36822"/>
    <w:rsid w:val="00A36AB5"/>
    <w:rsid w:val="00A37DE4"/>
    <w:rsid w:val="00A40C1C"/>
    <w:rsid w:val="00A411D1"/>
    <w:rsid w:val="00A43389"/>
    <w:rsid w:val="00A43E71"/>
    <w:rsid w:val="00A45753"/>
    <w:rsid w:val="00A45CAA"/>
    <w:rsid w:val="00A46683"/>
    <w:rsid w:val="00A4764D"/>
    <w:rsid w:val="00A47B15"/>
    <w:rsid w:val="00A52F84"/>
    <w:rsid w:val="00A54580"/>
    <w:rsid w:val="00A560AC"/>
    <w:rsid w:val="00A56B05"/>
    <w:rsid w:val="00A5725E"/>
    <w:rsid w:val="00A57678"/>
    <w:rsid w:val="00A6082D"/>
    <w:rsid w:val="00A60E2F"/>
    <w:rsid w:val="00A63284"/>
    <w:rsid w:val="00A64CB8"/>
    <w:rsid w:val="00A66E75"/>
    <w:rsid w:val="00A67018"/>
    <w:rsid w:val="00A672F3"/>
    <w:rsid w:val="00A673DC"/>
    <w:rsid w:val="00A7041B"/>
    <w:rsid w:val="00A7076E"/>
    <w:rsid w:val="00A709BE"/>
    <w:rsid w:val="00A7162E"/>
    <w:rsid w:val="00A7234B"/>
    <w:rsid w:val="00A72D71"/>
    <w:rsid w:val="00A73958"/>
    <w:rsid w:val="00A75705"/>
    <w:rsid w:val="00A77C69"/>
    <w:rsid w:val="00A83953"/>
    <w:rsid w:val="00A8400B"/>
    <w:rsid w:val="00A8678F"/>
    <w:rsid w:val="00A903B6"/>
    <w:rsid w:val="00A9064E"/>
    <w:rsid w:val="00A90F4F"/>
    <w:rsid w:val="00A947AA"/>
    <w:rsid w:val="00AA1B53"/>
    <w:rsid w:val="00AA3556"/>
    <w:rsid w:val="00AA35FD"/>
    <w:rsid w:val="00AA36C7"/>
    <w:rsid w:val="00AA3DB7"/>
    <w:rsid w:val="00AA5BDE"/>
    <w:rsid w:val="00AA687B"/>
    <w:rsid w:val="00AB01AA"/>
    <w:rsid w:val="00AB3012"/>
    <w:rsid w:val="00AB321C"/>
    <w:rsid w:val="00AB513F"/>
    <w:rsid w:val="00AB5C7D"/>
    <w:rsid w:val="00AB660F"/>
    <w:rsid w:val="00AB688F"/>
    <w:rsid w:val="00AB75EA"/>
    <w:rsid w:val="00AB7AA2"/>
    <w:rsid w:val="00AC1269"/>
    <w:rsid w:val="00AC26A8"/>
    <w:rsid w:val="00AC2FFC"/>
    <w:rsid w:val="00AC4BC1"/>
    <w:rsid w:val="00AC658E"/>
    <w:rsid w:val="00AD036A"/>
    <w:rsid w:val="00AD04BD"/>
    <w:rsid w:val="00AD18BE"/>
    <w:rsid w:val="00AD7214"/>
    <w:rsid w:val="00AE0465"/>
    <w:rsid w:val="00AE1066"/>
    <w:rsid w:val="00AE4518"/>
    <w:rsid w:val="00AE5D7F"/>
    <w:rsid w:val="00AE5DDF"/>
    <w:rsid w:val="00AE79F0"/>
    <w:rsid w:val="00AF2DE8"/>
    <w:rsid w:val="00AF650B"/>
    <w:rsid w:val="00AF6EC1"/>
    <w:rsid w:val="00B00331"/>
    <w:rsid w:val="00B01A80"/>
    <w:rsid w:val="00B04217"/>
    <w:rsid w:val="00B046DF"/>
    <w:rsid w:val="00B07B1C"/>
    <w:rsid w:val="00B07C27"/>
    <w:rsid w:val="00B10017"/>
    <w:rsid w:val="00B10CA9"/>
    <w:rsid w:val="00B10DE1"/>
    <w:rsid w:val="00B10FF8"/>
    <w:rsid w:val="00B15902"/>
    <w:rsid w:val="00B16848"/>
    <w:rsid w:val="00B203C4"/>
    <w:rsid w:val="00B2042E"/>
    <w:rsid w:val="00B22E81"/>
    <w:rsid w:val="00B23996"/>
    <w:rsid w:val="00B23CB2"/>
    <w:rsid w:val="00B2561A"/>
    <w:rsid w:val="00B25A64"/>
    <w:rsid w:val="00B31ADE"/>
    <w:rsid w:val="00B32AB3"/>
    <w:rsid w:val="00B34E7C"/>
    <w:rsid w:val="00B34FD9"/>
    <w:rsid w:val="00B368EA"/>
    <w:rsid w:val="00B37EEF"/>
    <w:rsid w:val="00B41DF9"/>
    <w:rsid w:val="00B41E22"/>
    <w:rsid w:val="00B44C24"/>
    <w:rsid w:val="00B51C7C"/>
    <w:rsid w:val="00B53831"/>
    <w:rsid w:val="00B54370"/>
    <w:rsid w:val="00B55185"/>
    <w:rsid w:val="00B558A4"/>
    <w:rsid w:val="00B61923"/>
    <w:rsid w:val="00B621D6"/>
    <w:rsid w:val="00B65D6F"/>
    <w:rsid w:val="00B67C23"/>
    <w:rsid w:val="00B70973"/>
    <w:rsid w:val="00B70DC7"/>
    <w:rsid w:val="00B72596"/>
    <w:rsid w:val="00B731D5"/>
    <w:rsid w:val="00B74B0F"/>
    <w:rsid w:val="00B75735"/>
    <w:rsid w:val="00B77142"/>
    <w:rsid w:val="00B80A2C"/>
    <w:rsid w:val="00B81F60"/>
    <w:rsid w:val="00B841AC"/>
    <w:rsid w:val="00B865B0"/>
    <w:rsid w:val="00B90780"/>
    <w:rsid w:val="00B9240D"/>
    <w:rsid w:val="00BA153D"/>
    <w:rsid w:val="00BA170A"/>
    <w:rsid w:val="00BA22A8"/>
    <w:rsid w:val="00BA3689"/>
    <w:rsid w:val="00BA3E48"/>
    <w:rsid w:val="00BA4BD3"/>
    <w:rsid w:val="00BA4E28"/>
    <w:rsid w:val="00BA574A"/>
    <w:rsid w:val="00BA6DE7"/>
    <w:rsid w:val="00BB0187"/>
    <w:rsid w:val="00BB1EB3"/>
    <w:rsid w:val="00BB2678"/>
    <w:rsid w:val="00BB2A42"/>
    <w:rsid w:val="00BC013A"/>
    <w:rsid w:val="00BC2343"/>
    <w:rsid w:val="00BC3740"/>
    <w:rsid w:val="00BC7A05"/>
    <w:rsid w:val="00BD0A0A"/>
    <w:rsid w:val="00BD2F87"/>
    <w:rsid w:val="00BD30C8"/>
    <w:rsid w:val="00BD3C9B"/>
    <w:rsid w:val="00BD3EB4"/>
    <w:rsid w:val="00BD5C65"/>
    <w:rsid w:val="00BD6051"/>
    <w:rsid w:val="00BE03A5"/>
    <w:rsid w:val="00BE6018"/>
    <w:rsid w:val="00BF1F57"/>
    <w:rsid w:val="00BF3BE6"/>
    <w:rsid w:val="00BF4086"/>
    <w:rsid w:val="00BF426C"/>
    <w:rsid w:val="00BF58D0"/>
    <w:rsid w:val="00BF7D6A"/>
    <w:rsid w:val="00C013E1"/>
    <w:rsid w:val="00C01611"/>
    <w:rsid w:val="00C02D59"/>
    <w:rsid w:val="00C030B6"/>
    <w:rsid w:val="00C03284"/>
    <w:rsid w:val="00C050D7"/>
    <w:rsid w:val="00C05B5F"/>
    <w:rsid w:val="00C07CF9"/>
    <w:rsid w:val="00C104CC"/>
    <w:rsid w:val="00C136D7"/>
    <w:rsid w:val="00C152FE"/>
    <w:rsid w:val="00C161EF"/>
    <w:rsid w:val="00C16739"/>
    <w:rsid w:val="00C1675B"/>
    <w:rsid w:val="00C1697D"/>
    <w:rsid w:val="00C1750D"/>
    <w:rsid w:val="00C22CCE"/>
    <w:rsid w:val="00C23BA2"/>
    <w:rsid w:val="00C26024"/>
    <w:rsid w:val="00C2623B"/>
    <w:rsid w:val="00C30F79"/>
    <w:rsid w:val="00C32AF2"/>
    <w:rsid w:val="00C33204"/>
    <w:rsid w:val="00C338EB"/>
    <w:rsid w:val="00C3465D"/>
    <w:rsid w:val="00C379E9"/>
    <w:rsid w:val="00C438E2"/>
    <w:rsid w:val="00C439FB"/>
    <w:rsid w:val="00C43F23"/>
    <w:rsid w:val="00C50011"/>
    <w:rsid w:val="00C500CD"/>
    <w:rsid w:val="00C51D0A"/>
    <w:rsid w:val="00C56CC6"/>
    <w:rsid w:val="00C6357C"/>
    <w:rsid w:val="00C640D9"/>
    <w:rsid w:val="00C645E6"/>
    <w:rsid w:val="00C64D82"/>
    <w:rsid w:val="00C64FBC"/>
    <w:rsid w:val="00C65A83"/>
    <w:rsid w:val="00C66A9E"/>
    <w:rsid w:val="00C66CBE"/>
    <w:rsid w:val="00C704E8"/>
    <w:rsid w:val="00C72B6C"/>
    <w:rsid w:val="00C72C6F"/>
    <w:rsid w:val="00C73818"/>
    <w:rsid w:val="00C77C8A"/>
    <w:rsid w:val="00C80F23"/>
    <w:rsid w:val="00C81151"/>
    <w:rsid w:val="00C82CC6"/>
    <w:rsid w:val="00C83E51"/>
    <w:rsid w:val="00C850A3"/>
    <w:rsid w:val="00C85C32"/>
    <w:rsid w:val="00C87568"/>
    <w:rsid w:val="00C90DB6"/>
    <w:rsid w:val="00C9394F"/>
    <w:rsid w:val="00C93A35"/>
    <w:rsid w:val="00C93B1A"/>
    <w:rsid w:val="00C967C1"/>
    <w:rsid w:val="00C96F5F"/>
    <w:rsid w:val="00CA5927"/>
    <w:rsid w:val="00CA79EC"/>
    <w:rsid w:val="00CB0C68"/>
    <w:rsid w:val="00CB39C2"/>
    <w:rsid w:val="00CB4C8C"/>
    <w:rsid w:val="00CB6782"/>
    <w:rsid w:val="00CB6AC9"/>
    <w:rsid w:val="00CC02A5"/>
    <w:rsid w:val="00CC080A"/>
    <w:rsid w:val="00CC0D0F"/>
    <w:rsid w:val="00CC33C2"/>
    <w:rsid w:val="00CC6971"/>
    <w:rsid w:val="00CD076B"/>
    <w:rsid w:val="00CD08CC"/>
    <w:rsid w:val="00CD4512"/>
    <w:rsid w:val="00CD4C31"/>
    <w:rsid w:val="00CE2E10"/>
    <w:rsid w:val="00CE4C23"/>
    <w:rsid w:val="00CE5277"/>
    <w:rsid w:val="00CE6358"/>
    <w:rsid w:val="00CE695A"/>
    <w:rsid w:val="00CF2161"/>
    <w:rsid w:val="00CF2D54"/>
    <w:rsid w:val="00CF6A2C"/>
    <w:rsid w:val="00D03538"/>
    <w:rsid w:val="00D038C4"/>
    <w:rsid w:val="00D049B8"/>
    <w:rsid w:val="00D0516C"/>
    <w:rsid w:val="00D05EE7"/>
    <w:rsid w:val="00D068D0"/>
    <w:rsid w:val="00D078D1"/>
    <w:rsid w:val="00D129A8"/>
    <w:rsid w:val="00D12FB9"/>
    <w:rsid w:val="00D178F5"/>
    <w:rsid w:val="00D17C3D"/>
    <w:rsid w:val="00D200BD"/>
    <w:rsid w:val="00D22399"/>
    <w:rsid w:val="00D260E1"/>
    <w:rsid w:val="00D26C7B"/>
    <w:rsid w:val="00D278A8"/>
    <w:rsid w:val="00D33374"/>
    <w:rsid w:val="00D33751"/>
    <w:rsid w:val="00D33822"/>
    <w:rsid w:val="00D33A3D"/>
    <w:rsid w:val="00D36125"/>
    <w:rsid w:val="00D36F6E"/>
    <w:rsid w:val="00D37343"/>
    <w:rsid w:val="00D41291"/>
    <w:rsid w:val="00D4205E"/>
    <w:rsid w:val="00D46057"/>
    <w:rsid w:val="00D5081E"/>
    <w:rsid w:val="00D5574C"/>
    <w:rsid w:val="00D6057D"/>
    <w:rsid w:val="00D61982"/>
    <w:rsid w:val="00D62130"/>
    <w:rsid w:val="00D621B5"/>
    <w:rsid w:val="00D6267A"/>
    <w:rsid w:val="00D63BBA"/>
    <w:rsid w:val="00D67D12"/>
    <w:rsid w:val="00D72602"/>
    <w:rsid w:val="00D73371"/>
    <w:rsid w:val="00D734A9"/>
    <w:rsid w:val="00D7585A"/>
    <w:rsid w:val="00D759A7"/>
    <w:rsid w:val="00D76DD5"/>
    <w:rsid w:val="00D77357"/>
    <w:rsid w:val="00D80618"/>
    <w:rsid w:val="00D82494"/>
    <w:rsid w:val="00D83335"/>
    <w:rsid w:val="00D84264"/>
    <w:rsid w:val="00D84A4B"/>
    <w:rsid w:val="00D92168"/>
    <w:rsid w:val="00D940B5"/>
    <w:rsid w:val="00D95CB0"/>
    <w:rsid w:val="00D96099"/>
    <w:rsid w:val="00D96765"/>
    <w:rsid w:val="00D977C0"/>
    <w:rsid w:val="00DA00A3"/>
    <w:rsid w:val="00DA0D88"/>
    <w:rsid w:val="00DA13F3"/>
    <w:rsid w:val="00DA2DE3"/>
    <w:rsid w:val="00DA7146"/>
    <w:rsid w:val="00DA716A"/>
    <w:rsid w:val="00DB1F4F"/>
    <w:rsid w:val="00DB37EE"/>
    <w:rsid w:val="00DB4450"/>
    <w:rsid w:val="00DB4EE7"/>
    <w:rsid w:val="00DB7B69"/>
    <w:rsid w:val="00DC234A"/>
    <w:rsid w:val="00DC3788"/>
    <w:rsid w:val="00DC3FD7"/>
    <w:rsid w:val="00DC41E4"/>
    <w:rsid w:val="00DC5116"/>
    <w:rsid w:val="00DC7C77"/>
    <w:rsid w:val="00DD7E19"/>
    <w:rsid w:val="00DD7EA2"/>
    <w:rsid w:val="00DE00F2"/>
    <w:rsid w:val="00DE117F"/>
    <w:rsid w:val="00DE401C"/>
    <w:rsid w:val="00DF0E58"/>
    <w:rsid w:val="00DF63FA"/>
    <w:rsid w:val="00E00A1C"/>
    <w:rsid w:val="00E012CC"/>
    <w:rsid w:val="00E02A1E"/>
    <w:rsid w:val="00E02B71"/>
    <w:rsid w:val="00E02DEB"/>
    <w:rsid w:val="00E03D58"/>
    <w:rsid w:val="00E042A1"/>
    <w:rsid w:val="00E05E5E"/>
    <w:rsid w:val="00E07093"/>
    <w:rsid w:val="00E104FA"/>
    <w:rsid w:val="00E1082A"/>
    <w:rsid w:val="00E11166"/>
    <w:rsid w:val="00E13182"/>
    <w:rsid w:val="00E147F9"/>
    <w:rsid w:val="00E15383"/>
    <w:rsid w:val="00E16722"/>
    <w:rsid w:val="00E1738C"/>
    <w:rsid w:val="00E20793"/>
    <w:rsid w:val="00E22B9D"/>
    <w:rsid w:val="00E22D28"/>
    <w:rsid w:val="00E230E3"/>
    <w:rsid w:val="00E2336E"/>
    <w:rsid w:val="00E27AF2"/>
    <w:rsid w:val="00E30EDF"/>
    <w:rsid w:val="00E3112B"/>
    <w:rsid w:val="00E31FBA"/>
    <w:rsid w:val="00E3387E"/>
    <w:rsid w:val="00E33A9F"/>
    <w:rsid w:val="00E33DCE"/>
    <w:rsid w:val="00E34648"/>
    <w:rsid w:val="00E350EA"/>
    <w:rsid w:val="00E36AAE"/>
    <w:rsid w:val="00E36D79"/>
    <w:rsid w:val="00E3741F"/>
    <w:rsid w:val="00E41773"/>
    <w:rsid w:val="00E42623"/>
    <w:rsid w:val="00E42759"/>
    <w:rsid w:val="00E44758"/>
    <w:rsid w:val="00E44E28"/>
    <w:rsid w:val="00E513F6"/>
    <w:rsid w:val="00E5188E"/>
    <w:rsid w:val="00E51A6A"/>
    <w:rsid w:val="00E52EBA"/>
    <w:rsid w:val="00E52F3B"/>
    <w:rsid w:val="00E53D94"/>
    <w:rsid w:val="00E53DEA"/>
    <w:rsid w:val="00E5633B"/>
    <w:rsid w:val="00E616DB"/>
    <w:rsid w:val="00E627A4"/>
    <w:rsid w:val="00E62FCD"/>
    <w:rsid w:val="00E630ED"/>
    <w:rsid w:val="00E6357F"/>
    <w:rsid w:val="00E74491"/>
    <w:rsid w:val="00E74EC5"/>
    <w:rsid w:val="00E76B86"/>
    <w:rsid w:val="00E81ABD"/>
    <w:rsid w:val="00E8342F"/>
    <w:rsid w:val="00E847A7"/>
    <w:rsid w:val="00E85E29"/>
    <w:rsid w:val="00E86E79"/>
    <w:rsid w:val="00E906B4"/>
    <w:rsid w:val="00E9095B"/>
    <w:rsid w:val="00E91C4F"/>
    <w:rsid w:val="00E92040"/>
    <w:rsid w:val="00E926B8"/>
    <w:rsid w:val="00E9399B"/>
    <w:rsid w:val="00E94008"/>
    <w:rsid w:val="00E94762"/>
    <w:rsid w:val="00E96B52"/>
    <w:rsid w:val="00EA10BE"/>
    <w:rsid w:val="00EA2244"/>
    <w:rsid w:val="00EA52F2"/>
    <w:rsid w:val="00EA6B24"/>
    <w:rsid w:val="00EA6FA7"/>
    <w:rsid w:val="00EB067F"/>
    <w:rsid w:val="00EB1F02"/>
    <w:rsid w:val="00EB2D20"/>
    <w:rsid w:val="00EB5BC5"/>
    <w:rsid w:val="00EB6233"/>
    <w:rsid w:val="00EC086C"/>
    <w:rsid w:val="00EC2832"/>
    <w:rsid w:val="00EC42D0"/>
    <w:rsid w:val="00EC638F"/>
    <w:rsid w:val="00EC7E46"/>
    <w:rsid w:val="00ED6C22"/>
    <w:rsid w:val="00ED7363"/>
    <w:rsid w:val="00EE16C9"/>
    <w:rsid w:val="00EE4874"/>
    <w:rsid w:val="00EE574D"/>
    <w:rsid w:val="00EE79A6"/>
    <w:rsid w:val="00EF07DC"/>
    <w:rsid w:val="00EF1D5B"/>
    <w:rsid w:val="00EF6111"/>
    <w:rsid w:val="00EF673D"/>
    <w:rsid w:val="00F005A0"/>
    <w:rsid w:val="00F00C35"/>
    <w:rsid w:val="00F06616"/>
    <w:rsid w:val="00F10BC6"/>
    <w:rsid w:val="00F11352"/>
    <w:rsid w:val="00F1498D"/>
    <w:rsid w:val="00F14DDF"/>
    <w:rsid w:val="00F152AD"/>
    <w:rsid w:val="00F15335"/>
    <w:rsid w:val="00F16161"/>
    <w:rsid w:val="00F20F7C"/>
    <w:rsid w:val="00F21C76"/>
    <w:rsid w:val="00F2285F"/>
    <w:rsid w:val="00F229B7"/>
    <w:rsid w:val="00F23155"/>
    <w:rsid w:val="00F237A6"/>
    <w:rsid w:val="00F24236"/>
    <w:rsid w:val="00F24E0E"/>
    <w:rsid w:val="00F250F9"/>
    <w:rsid w:val="00F26693"/>
    <w:rsid w:val="00F31F40"/>
    <w:rsid w:val="00F36130"/>
    <w:rsid w:val="00F40444"/>
    <w:rsid w:val="00F423BD"/>
    <w:rsid w:val="00F432FF"/>
    <w:rsid w:val="00F4715C"/>
    <w:rsid w:val="00F532A8"/>
    <w:rsid w:val="00F538F6"/>
    <w:rsid w:val="00F53C6A"/>
    <w:rsid w:val="00F54869"/>
    <w:rsid w:val="00F54A02"/>
    <w:rsid w:val="00F556B2"/>
    <w:rsid w:val="00F5754B"/>
    <w:rsid w:val="00F576DE"/>
    <w:rsid w:val="00F63979"/>
    <w:rsid w:val="00F63BF7"/>
    <w:rsid w:val="00F65617"/>
    <w:rsid w:val="00F70F32"/>
    <w:rsid w:val="00F710BE"/>
    <w:rsid w:val="00F73153"/>
    <w:rsid w:val="00F736D2"/>
    <w:rsid w:val="00F741F2"/>
    <w:rsid w:val="00F7564C"/>
    <w:rsid w:val="00F76220"/>
    <w:rsid w:val="00F769BE"/>
    <w:rsid w:val="00F81953"/>
    <w:rsid w:val="00F81F0D"/>
    <w:rsid w:val="00F82E6B"/>
    <w:rsid w:val="00F840F0"/>
    <w:rsid w:val="00F92701"/>
    <w:rsid w:val="00F977B5"/>
    <w:rsid w:val="00F97B71"/>
    <w:rsid w:val="00F97C28"/>
    <w:rsid w:val="00FA1245"/>
    <w:rsid w:val="00FA2DDA"/>
    <w:rsid w:val="00FA34CA"/>
    <w:rsid w:val="00FA4A55"/>
    <w:rsid w:val="00FA4D4F"/>
    <w:rsid w:val="00FA54E8"/>
    <w:rsid w:val="00FB2D17"/>
    <w:rsid w:val="00FB2F69"/>
    <w:rsid w:val="00FB368B"/>
    <w:rsid w:val="00FB45FF"/>
    <w:rsid w:val="00FB4FCE"/>
    <w:rsid w:val="00FB5989"/>
    <w:rsid w:val="00FB5D97"/>
    <w:rsid w:val="00FC1CA5"/>
    <w:rsid w:val="00FC2979"/>
    <w:rsid w:val="00FC3631"/>
    <w:rsid w:val="00FD1C3C"/>
    <w:rsid w:val="00FD38A8"/>
    <w:rsid w:val="00FD4AC8"/>
    <w:rsid w:val="00FD6AC8"/>
    <w:rsid w:val="00FD730D"/>
    <w:rsid w:val="00FE24FC"/>
    <w:rsid w:val="00FE3EA1"/>
    <w:rsid w:val="00FE4818"/>
    <w:rsid w:val="00FE5D80"/>
    <w:rsid w:val="00FE6190"/>
    <w:rsid w:val="00FE7458"/>
    <w:rsid w:val="00FF1577"/>
    <w:rsid w:val="00FF507C"/>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01ECE09A-60E6-4CC1-8D35-7F571E7CE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6973EC"/>
    <w:pPr>
      <w:keepNext/>
      <w:keepLines/>
      <w:spacing w:before="340" w:after="330" w:line="578" w:lineRule="auto"/>
      <w:outlineLvl w:val="0"/>
    </w:pPr>
    <w:rPr>
      <w:b/>
      <w:bCs/>
      <w:kern w:val="44"/>
      <w:sz w:val="44"/>
      <w:szCs w:val="44"/>
    </w:rPr>
  </w:style>
  <w:style w:type="paragraph" w:styleId="2">
    <w:name w:val="heading 2"/>
    <w:basedOn w:val="a"/>
    <w:next w:val="a0"/>
    <w:qFormat/>
    <w:rsid w:val="00171067"/>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71067"/>
    <w:pPr>
      <w:ind w:firstLineChars="200" w:firstLine="420"/>
    </w:pPr>
  </w:style>
  <w:style w:type="paragraph" w:styleId="a4">
    <w:name w:val="Body Text Indent"/>
    <w:basedOn w:val="a"/>
    <w:rsid w:val="00171067"/>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171067"/>
    <w:rPr>
      <w:rFonts w:ascii="宋体" w:hAnsi="Courier New"/>
      <w:szCs w:val="21"/>
    </w:rPr>
  </w:style>
  <w:style w:type="paragraph" w:styleId="20">
    <w:name w:val="Body Text Indent 2"/>
    <w:basedOn w:val="a"/>
    <w:rsid w:val="00171067"/>
    <w:pPr>
      <w:spacing w:line="560" w:lineRule="exact"/>
      <w:ind w:firstLineChars="200" w:firstLine="480"/>
    </w:pPr>
    <w:rPr>
      <w:rFonts w:ascii="宋体" w:hAnsi="宋体"/>
      <w:color w:val="FF0000"/>
      <w:sz w:val="24"/>
    </w:rPr>
  </w:style>
  <w:style w:type="paragraph" w:styleId="a6">
    <w:name w:val="footer"/>
    <w:basedOn w:val="a"/>
    <w:rsid w:val="00171067"/>
    <w:pPr>
      <w:tabs>
        <w:tab w:val="center" w:pos="4153"/>
        <w:tab w:val="right" w:pos="8306"/>
      </w:tabs>
      <w:snapToGrid w:val="0"/>
      <w:jc w:val="left"/>
    </w:pPr>
    <w:rPr>
      <w:sz w:val="18"/>
      <w:szCs w:val="18"/>
    </w:rPr>
  </w:style>
  <w:style w:type="character" w:styleId="a7">
    <w:name w:val="page number"/>
    <w:basedOn w:val="a1"/>
    <w:rsid w:val="00171067"/>
  </w:style>
  <w:style w:type="character" w:styleId="a8">
    <w:name w:val="Hyperlink"/>
    <w:basedOn w:val="a1"/>
    <w:rsid w:val="00171067"/>
    <w:rPr>
      <w:color w:val="0000FF"/>
      <w:u w:val="single"/>
    </w:rPr>
  </w:style>
  <w:style w:type="paragraph" w:styleId="3">
    <w:name w:val="Body Text Indent 3"/>
    <w:basedOn w:val="a"/>
    <w:rsid w:val="00171067"/>
    <w:pPr>
      <w:spacing w:line="560" w:lineRule="exact"/>
      <w:ind w:firstLineChars="200" w:firstLine="420"/>
    </w:pPr>
    <w:rPr>
      <w:rFonts w:ascii="Arial" w:hAnsi="Arial" w:cs="Arial"/>
      <w:color w:val="FF0000"/>
    </w:rPr>
  </w:style>
  <w:style w:type="paragraph" w:styleId="a9">
    <w:name w:val="header"/>
    <w:basedOn w:val="a"/>
    <w:link w:val="Char0"/>
    <w:uiPriority w:val="99"/>
    <w:rsid w:val="00171067"/>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171067"/>
    <w:rPr>
      <w:color w:val="800080"/>
      <w:u w:val="single"/>
    </w:rPr>
  </w:style>
  <w:style w:type="paragraph" w:styleId="ab">
    <w:name w:val="List"/>
    <w:basedOn w:val="ac"/>
    <w:rsid w:val="00171067"/>
    <w:pPr>
      <w:spacing w:after="220" w:line="220" w:lineRule="atLeast"/>
      <w:ind w:left="1440" w:hanging="360"/>
    </w:pPr>
    <w:rPr>
      <w:szCs w:val="20"/>
    </w:rPr>
  </w:style>
  <w:style w:type="paragraph" w:styleId="ac">
    <w:name w:val="Body Text"/>
    <w:basedOn w:val="a"/>
    <w:rsid w:val="00171067"/>
    <w:pPr>
      <w:spacing w:after="120"/>
    </w:pPr>
  </w:style>
  <w:style w:type="paragraph" w:styleId="ad">
    <w:name w:val="Date"/>
    <w:basedOn w:val="a"/>
    <w:next w:val="a"/>
    <w:link w:val="Char1"/>
    <w:rsid w:val="00171067"/>
    <w:rPr>
      <w:sz w:val="24"/>
      <w:szCs w:val="20"/>
    </w:rPr>
  </w:style>
  <w:style w:type="character" w:customStyle="1" w:styleId="c1">
    <w:name w:val="c1"/>
    <w:basedOn w:val="a1"/>
    <w:rsid w:val="00171067"/>
    <w:rPr>
      <w:color w:val="000000"/>
      <w:sz w:val="18"/>
      <w:szCs w:val="18"/>
    </w:rPr>
  </w:style>
  <w:style w:type="paragraph" w:styleId="10">
    <w:name w:val="index 1"/>
    <w:basedOn w:val="a"/>
    <w:next w:val="a"/>
    <w:autoRedefine/>
    <w:semiHidden/>
    <w:rsid w:val="00171067"/>
    <w:pPr>
      <w:jc w:val="right"/>
    </w:pPr>
    <w:rPr>
      <w:color w:val="008000"/>
    </w:rPr>
  </w:style>
  <w:style w:type="paragraph" w:customStyle="1" w:styleId="font5">
    <w:name w:val="font5"/>
    <w:basedOn w:val="a"/>
    <w:rsid w:val="00171067"/>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171067"/>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171067"/>
    <w:rPr>
      <w:sz w:val="18"/>
      <w:szCs w:val="18"/>
    </w:rPr>
  </w:style>
  <w:style w:type="character" w:styleId="af">
    <w:name w:val="annotation reference"/>
    <w:basedOn w:val="a1"/>
    <w:semiHidden/>
    <w:rsid w:val="00171067"/>
    <w:rPr>
      <w:sz w:val="21"/>
      <w:szCs w:val="21"/>
    </w:rPr>
  </w:style>
  <w:style w:type="paragraph" w:styleId="af0">
    <w:name w:val="annotation text"/>
    <w:basedOn w:val="a"/>
    <w:semiHidden/>
    <w:rsid w:val="00171067"/>
    <w:pPr>
      <w:jc w:val="left"/>
    </w:pPr>
  </w:style>
  <w:style w:type="paragraph" w:styleId="af1">
    <w:name w:val="annotation subject"/>
    <w:basedOn w:val="af0"/>
    <w:next w:val="af0"/>
    <w:semiHidden/>
    <w:rsid w:val="00171067"/>
    <w:rPr>
      <w:b/>
      <w:bCs/>
    </w:rPr>
  </w:style>
  <w:style w:type="paragraph" w:customStyle="1" w:styleId="Char2">
    <w:name w:val="Char"/>
    <w:basedOn w:val="a"/>
    <w:rsid w:val="00171067"/>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5">
    <w:name w:val="样式5"/>
    <w:rsid w:val="00B72596"/>
    <w:pPr>
      <w:numPr>
        <w:numId w:val="6"/>
      </w:numPr>
    </w:pPr>
  </w:style>
  <w:style w:type="character" w:customStyle="1" w:styleId="t1">
    <w:name w:val="t1"/>
    <w:rsid w:val="004E386C"/>
    <w:rPr>
      <w:color w:val="990000"/>
    </w:rPr>
  </w:style>
  <w:style w:type="character" w:customStyle="1" w:styleId="m1">
    <w:name w:val="m1"/>
    <w:rsid w:val="004E386C"/>
    <w:rPr>
      <w:color w:val="0000FF"/>
    </w:rPr>
  </w:style>
  <w:style w:type="character" w:customStyle="1" w:styleId="Char">
    <w:name w:val="纯文本 Char"/>
    <w:link w:val="a5"/>
    <w:uiPriority w:val="99"/>
    <w:rsid w:val="00402ED1"/>
    <w:rPr>
      <w:rFonts w:ascii="宋体" w:hAnsi="Courier New"/>
      <w:kern w:val="2"/>
      <w:sz w:val="21"/>
      <w:szCs w:val="21"/>
    </w:rPr>
  </w:style>
  <w:style w:type="paragraph" w:customStyle="1" w:styleId="Default">
    <w:name w:val="Default"/>
    <w:rsid w:val="00C73818"/>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C136D7"/>
    <w:rPr>
      <w:kern w:val="2"/>
      <w:sz w:val="18"/>
      <w:szCs w:val="18"/>
    </w:rPr>
  </w:style>
  <w:style w:type="character" w:customStyle="1" w:styleId="1Char">
    <w:name w:val="标题 1 Char"/>
    <w:basedOn w:val="a1"/>
    <w:link w:val="1"/>
    <w:uiPriority w:val="99"/>
    <w:rsid w:val="006973EC"/>
    <w:rPr>
      <w:b/>
      <w:bCs/>
      <w:kern w:val="44"/>
      <w:sz w:val="44"/>
      <w:szCs w:val="44"/>
    </w:rPr>
  </w:style>
  <w:style w:type="character" w:customStyle="1" w:styleId="Char1">
    <w:name w:val="日期 Char"/>
    <w:basedOn w:val="a1"/>
    <w:link w:val="ad"/>
    <w:rsid w:val="00294DD0"/>
    <w:rPr>
      <w:kern w:val="2"/>
      <w:sz w:val="24"/>
    </w:rPr>
  </w:style>
  <w:style w:type="character" w:styleId="af8">
    <w:name w:val="Strong"/>
    <w:basedOn w:val="a1"/>
    <w:uiPriority w:val="22"/>
    <w:qFormat/>
    <w:rsid w:val="004911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06975386">
      <w:bodyDiv w:val="1"/>
      <w:marLeft w:val="0"/>
      <w:marRight w:val="0"/>
      <w:marTop w:val="0"/>
      <w:marBottom w:val="0"/>
      <w:divBdr>
        <w:top w:val="none" w:sz="0" w:space="0" w:color="auto"/>
        <w:left w:val="none" w:sz="0" w:space="0" w:color="auto"/>
        <w:bottom w:val="none" w:sz="0" w:space="0" w:color="auto"/>
        <w:right w:val="none" w:sz="0" w:space="0" w:color="auto"/>
      </w:divBdr>
    </w:div>
    <w:div w:id="108742882">
      <w:bodyDiv w:val="1"/>
      <w:marLeft w:val="0"/>
      <w:marRight w:val="0"/>
      <w:marTop w:val="0"/>
      <w:marBottom w:val="0"/>
      <w:divBdr>
        <w:top w:val="none" w:sz="0" w:space="0" w:color="auto"/>
        <w:left w:val="none" w:sz="0" w:space="0" w:color="auto"/>
        <w:bottom w:val="none" w:sz="0" w:space="0" w:color="auto"/>
        <w:right w:val="none" w:sz="0" w:space="0" w:color="auto"/>
      </w:divBdr>
    </w:div>
    <w:div w:id="188841736">
      <w:bodyDiv w:val="1"/>
      <w:marLeft w:val="0"/>
      <w:marRight w:val="0"/>
      <w:marTop w:val="0"/>
      <w:marBottom w:val="0"/>
      <w:divBdr>
        <w:top w:val="none" w:sz="0" w:space="0" w:color="auto"/>
        <w:left w:val="none" w:sz="0" w:space="0" w:color="auto"/>
        <w:bottom w:val="none" w:sz="0" w:space="0" w:color="auto"/>
        <w:right w:val="none" w:sz="0" w:space="0" w:color="auto"/>
      </w:divBdr>
    </w:div>
    <w:div w:id="223832582">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31490476">
      <w:bodyDiv w:val="1"/>
      <w:marLeft w:val="0"/>
      <w:marRight w:val="0"/>
      <w:marTop w:val="0"/>
      <w:marBottom w:val="0"/>
      <w:divBdr>
        <w:top w:val="none" w:sz="0" w:space="0" w:color="auto"/>
        <w:left w:val="none" w:sz="0" w:space="0" w:color="auto"/>
        <w:bottom w:val="none" w:sz="0" w:space="0" w:color="auto"/>
        <w:right w:val="none" w:sz="0" w:space="0" w:color="auto"/>
      </w:divBdr>
    </w:div>
    <w:div w:id="655113944">
      <w:bodyDiv w:val="1"/>
      <w:marLeft w:val="0"/>
      <w:marRight w:val="0"/>
      <w:marTop w:val="0"/>
      <w:marBottom w:val="0"/>
      <w:divBdr>
        <w:top w:val="none" w:sz="0" w:space="0" w:color="auto"/>
        <w:left w:val="none" w:sz="0" w:space="0" w:color="auto"/>
        <w:bottom w:val="none" w:sz="0" w:space="0" w:color="auto"/>
        <w:right w:val="none" w:sz="0" w:space="0" w:color="auto"/>
      </w:divBdr>
    </w:div>
    <w:div w:id="665864550">
      <w:bodyDiv w:val="1"/>
      <w:marLeft w:val="0"/>
      <w:marRight w:val="0"/>
      <w:marTop w:val="0"/>
      <w:marBottom w:val="0"/>
      <w:divBdr>
        <w:top w:val="none" w:sz="0" w:space="0" w:color="auto"/>
        <w:left w:val="none" w:sz="0" w:space="0" w:color="auto"/>
        <w:bottom w:val="none" w:sz="0" w:space="0" w:color="auto"/>
        <w:right w:val="none" w:sz="0" w:space="0" w:color="auto"/>
      </w:divBdr>
    </w:div>
    <w:div w:id="673456134">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02306911">
      <w:bodyDiv w:val="1"/>
      <w:marLeft w:val="0"/>
      <w:marRight w:val="0"/>
      <w:marTop w:val="0"/>
      <w:marBottom w:val="0"/>
      <w:divBdr>
        <w:top w:val="none" w:sz="0" w:space="0" w:color="auto"/>
        <w:left w:val="none" w:sz="0" w:space="0" w:color="auto"/>
        <w:bottom w:val="none" w:sz="0" w:space="0" w:color="auto"/>
        <w:right w:val="none" w:sz="0" w:space="0" w:color="auto"/>
      </w:divBdr>
    </w:div>
    <w:div w:id="837574697">
      <w:bodyDiv w:val="1"/>
      <w:marLeft w:val="0"/>
      <w:marRight w:val="0"/>
      <w:marTop w:val="0"/>
      <w:marBottom w:val="0"/>
      <w:divBdr>
        <w:top w:val="none" w:sz="0" w:space="0" w:color="auto"/>
        <w:left w:val="none" w:sz="0" w:space="0" w:color="auto"/>
        <w:bottom w:val="none" w:sz="0" w:space="0" w:color="auto"/>
        <w:right w:val="none" w:sz="0" w:space="0" w:color="auto"/>
      </w:divBdr>
    </w:div>
    <w:div w:id="995836840">
      <w:bodyDiv w:val="1"/>
      <w:marLeft w:val="0"/>
      <w:marRight w:val="0"/>
      <w:marTop w:val="0"/>
      <w:marBottom w:val="0"/>
      <w:divBdr>
        <w:top w:val="none" w:sz="0" w:space="0" w:color="auto"/>
        <w:left w:val="none" w:sz="0" w:space="0" w:color="auto"/>
        <w:bottom w:val="none" w:sz="0" w:space="0" w:color="auto"/>
        <w:right w:val="none" w:sz="0" w:space="0" w:color="auto"/>
      </w:divBdr>
    </w:div>
    <w:div w:id="1155953967">
      <w:bodyDiv w:val="1"/>
      <w:marLeft w:val="0"/>
      <w:marRight w:val="0"/>
      <w:marTop w:val="0"/>
      <w:marBottom w:val="0"/>
      <w:divBdr>
        <w:top w:val="none" w:sz="0" w:space="0" w:color="auto"/>
        <w:left w:val="none" w:sz="0" w:space="0" w:color="auto"/>
        <w:bottom w:val="none" w:sz="0" w:space="0" w:color="auto"/>
        <w:right w:val="none" w:sz="0" w:space="0" w:color="auto"/>
      </w:divBdr>
    </w:div>
    <w:div w:id="1224368644">
      <w:bodyDiv w:val="1"/>
      <w:marLeft w:val="0"/>
      <w:marRight w:val="0"/>
      <w:marTop w:val="0"/>
      <w:marBottom w:val="0"/>
      <w:divBdr>
        <w:top w:val="none" w:sz="0" w:space="0" w:color="auto"/>
        <w:left w:val="none" w:sz="0" w:space="0" w:color="auto"/>
        <w:bottom w:val="none" w:sz="0" w:space="0" w:color="auto"/>
        <w:right w:val="none" w:sz="0" w:space="0" w:color="auto"/>
      </w:divBdr>
    </w:div>
    <w:div w:id="129237008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28572465">
      <w:bodyDiv w:val="1"/>
      <w:marLeft w:val="0"/>
      <w:marRight w:val="0"/>
      <w:marTop w:val="0"/>
      <w:marBottom w:val="0"/>
      <w:divBdr>
        <w:top w:val="none" w:sz="0" w:space="0" w:color="auto"/>
        <w:left w:val="none" w:sz="0" w:space="0" w:color="auto"/>
        <w:bottom w:val="none" w:sz="0" w:space="0" w:color="auto"/>
        <w:right w:val="none" w:sz="0" w:space="0" w:color="auto"/>
      </w:divBdr>
    </w:div>
    <w:div w:id="1448623340">
      <w:bodyDiv w:val="1"/>
      <w:marLeft w:val="0"/>
      <w:marRight w:val="0"/>
      <w:marTop w:val="0"/>
      <w:marBottom w:val="0"/>
      <w:divBdr>
        <w:top w:val="none" w:sz="0" w:space="0" w:color="auto"/>
        <w:left w:val="none" w:sz="0" w:space="0" w:color="auto"/>
        <w:bottom w:val="none" w:sz="0" w:space="0" w:color="auto"/>
        <w:right w:val="none" w:sz="0" w:space="0" w:color="auto"/>
      </w:divBdr>
    </w:div>
    <w:div w:id="1456631699">
      <w:bodyDiv w:val="1"/>
      <w:marLeft w:val="0"/>
      <w:marRight w:val="0"/>
      <w:marTop w:val="0"/>
      <w:marBottom w:val="0"/>
      <w:divBdr>
        <w:top w:val="none" w:sz="0" w:space="0" w:color="auto"/>
        <w:left w:val="none" w:sz="0" w:space="0" w:color="auto"/>
        <w:bottom w:val="none" w:sz="0" w:space="0" w:color="auto"/>
        <w:right w:val="none" w:sz="0" w:space="0" w:color="auto"/>
      </w:divBdr>
    </w:div>
    <w:div w:id="1462846141">
      <w:bodyDiv w:val="1"/>
      <w:marLeft w:val="0"/>
      <w:marRight w:val="0"/>
      <w:marTop w:val="0"/>
      <w:marBottom w:val="0"/>
      <w:divBdr>
        <w:top w:val="none" w:sz="0" w:space="0" w:color="auto"/>
        <w:left w:val="none" w:sz="0" w:space="0" w:color="auto"/>
        <w:bottom w:val="none" w:sz="0" w:space="0" w:color="auto"/>
        <w:right w:val="none" w:sz="0" w:space="0" w:color="auto"/>
      </w:divBdr>
    </w:div>
    <w:div w:id="1491367987">
      <w:bodyDiv w:val="1"/>
      <w:marLeft w:val="0"/>
      <w:marRight w:val="0"/>
      <w:marTop w:val="0"/>
      <w:marBottom w:val="0"/>
      <w:divBdr>
        <w:top w:val="none" w:sz="0" w:space="0" w:color="auto"/>
        <w:left w:val="none" w:sz="0" w:space="0" w:color="auto"/>
        <w:bottom w:val="none" w:sz="0" w:space="0" w:color="auto"/>
        <w:right w:val="none" w:sz="0" w:space="0" w:color="auto"/>
      </w:divBdr>
    </w:div>
    <w:div w:id="1551649530">
      <w:bodyDiv w:val="1"/>
      <w:marLeft w:val="0"/>
      <w:marRight w:val="0"/>
      <w:marTop w:val="0"/>
      <w:marBottom w:val="0"/>
      <w:divBdr>
        <w:top w:val="none" w:sz="0" w:space="0" w:color="auto"/>
        <w:left w:val="none" w:sz="0" w:space="0" w:color="auto"/>
        <w:bottom w:val="none" w:sz="0" w:space="0" w:color="auto"/>
        <w:right w:val="none" w:sz="0" w:space="0" w:color="auto"/>
      </w:divBdr>
    </w:div>
    <w:div w:id="1591622299">
      <w:bodyDiv w:val="1"/>
      <w:marLeft w:val="0"/>
      <w:marRight w:val="0"/>
      <w:marTop w:val="0"/>
      <w:marBottom w:val="0"/>
      <w:divBdr>
        <w:top w:val="none" w:sz="0" w:space="0" w:color="auto"/>
        <w:left w:val="none" w:sz="0" w:space="0" w:color="auto"/>
        <w:bottom w:val="none" w:sz="0" w:space="0" w:color="auto"/>
        <w:right w:val="none" w:sz="0" w:space="0" w:color="auto"/>
      </w:divBdr>
    </w:div>
    <w:div w:id="1609118636">
      <w:bodyDiv w:val="1"/>
      <w:marLeft w:val="0"/>
      <w:marRight w:val="0"/>
      <w:marTop w:val="0"/>
      <w:marBottom w:val="0"/>
      <w:divBdr>
        <w:top w:val="none" w:sz="0" w:space="0" w:color="auto"/>
        <w:left w:val="none" w:sz="0" w:space="0" w:color="auto"/>
        <w:bottom w:val="none" w:sz="0" w:space="0" w:color="auto"/>
        <w:right w:val="none" w:sz="0" w:space="0" w:color="auto"/>
      </w:divBdr>
    </w:div>
    <w:div w:id="1649238446">
      <w:bodyDiv w:val="1"/>
      <w:marLeft w:val="0"/>
      <w:marRight w:val="0"/>
      <w:marTop w:val="0"/>
      <w:marBottom w:val="0"/>
      <w:divBdr>
        <w:top w:val="none" w:sz="0" w:space="0" w:color="auto"/>
        <w:left w:val="none" w:sz="0" w:space="0" w:color="auto"/>
        <w:bottom w:val="none" w:sz="0" w:space="0" w:color="auto"/>
        <w:right w:val="none" w:sz="0" w:space="0" w:color="auto"/>
      </w:divBdr>
    </w:div>
    <w:div w:id="1730575389">
      <w:bodyDiv w:val="1"/>
      <w:marLeft w:val="0"/>
      <w:marRight w:val="0"/>
      <w:marTop w:val="0"/>
      <w:marBottom w:val="0"/>
      <w:divBdr>
        <w:top w:val="none" w:sz="0" w:space="0" w:color="auto"/>
        <w:left w:val="none" w:sz="0" w:space="0" w:color="auto"/>
        <w:bottom w:val="none" w:sz="0" w:space="0" w:color="auto"/>
        <w:right w:val="none" w:sz="0" w:space="0" w:color="auto"/>
      </w:divBdr>
    </w:div>
    <w:div w:id="1795323283">
      <w:bodyDiv w:val="1"/>
      <w:marLeft w:val="0"/>
      <w:marRight w:val="0"/>
      <w:marTop w:val="0"/>
      <w:marBottom w:val="0"/>
      <w:divBdr>
        <w:top w:val="none" w:sz="0" w:space="0" w:color="auto"/>
        <w:left w:val="none" w:sz="0" w:space="0" w:color="auto"/>
        <w:bottom w:val="none" w:sz="0" w:space="0" w:color="auto"/>
        <w:right w:val="none" w:sz="0" w:space="0" w:color="auto"/>
      </w:divBdr>
    </w:div>
    <w:div w:id="1816334313">
      <w:bodyDiv w:val="1"/>
      <w:marLeft w:val="0"/>
      <w:marRight w:val="0"/>
      <w:marTop w:val="0"/>
      <w:marBottom w:val="0"/>
      <w:divBdr>
        <w:top w:val="none" w:sz="0" w:space="0" w:color="auto"/>
        <w:left w:val="none" w:sz="0" w:space="0" w:color="auto"/>
        <w:bottom w:val="none" w:sz="0" w:space="0" w:color="auto"/>
        <w:right w:val="none" w:sz="0" w:space="0" w:color="auto"/>
      </w:divBdr>
    </w:div>
    <w:div w:id="1834908079">
      <w:bodyDiv w:val="1"/>
      <w:marLeft w:val="0"/>
      <w:marRight w:val="0"/>
      <w:marTop w:val="0"/>
      <w:marBottom w:val="0"/>
      <w:divBdr>
        <w:top w:val="none" w:sz="0" w:space="0" w:color="auto"/>
        <w:left w:val="none" w:sz="0" w:space="0" w:color="auto"/>
        <w:bottom w:val="none" w:sz="0" w:space="0" w:color="auto"/>
        <w:right w:val="none" w:sz="0" w:space="0" w:color="auto"/>
      </w:divBdr>
    </w:div>
    <w:div w:id="1984847970">
      <w:bodyDiv w:val="1"/>
      <w:marLeft w:val="0"/>
      <w:marRight w:val="0"/>
      <w:marTop w:val="0"/>
      <w:marBottom w:val="0"/>
      <w:divBdr>
        <w:top w:val="none" w:sz="0" w:space="0" w:color="auto"/>
        <w:left w:val="none" w:sz="0" w:space="0" w:color="auto"/>
        <w:bottom w:val="none" w:sz="0" w:space="0" w:color="auto"/>
        <w:right w:val="none" w:sz="0" w:space="0" w:color="auto"/>
      </w:divBdr>
    </w:div>
    <w:div w:id="20059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temp\etf.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05C34-B7F6-44F5-87F6-95C10767A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etf.dot</Template>
  <TotalTime>366</TotalTime>
  <Pages>13</Pages>
  <Words>1143</Words>
  <Characters>6518</Characters>
  <Application>Microsoft Office Word</Application>
  <DocSecurity>0</DocSecurity>
  <Lines>54</Lines>
  <Paragraphs>15</Paragraphs>
  <ScaleCrop>false</ScaleCrop>
  <Company>TRT. Ltd. Co.</Company>
  <LinksUpToDate>false</LinksUpToDate>
  <CharactersWithSpaces>7646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436</cp:revision>
  <cp:lastPrinted>2007-07-19T00:46:00Z</cp:lastPrinted>
  <dcterms:created xsi:type="dcterms:W3CDTF">2012-11-13T02:08:00Z</dcterms:created>
  <dcterms:modified xsi:type="dcterms:W3CDTF">2020-10-26T02:25:00Z</dcterms:modified>
</cp:coreProperties>
</file>