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交银施罗德信用添利债券证券投资基金（LOF）</w:t>
      </w:r>
    </w:p>
    <w:p w:rsidP="00C15CAC" w:rsidR="002279D3" w:rsidRDefault="002279D3" w:rsidRPr="0081286B">
      <w:pPr>
        <w:spacing w:before="29" w:line="288" w:lineRule="auto"/>
        <w:jc w:val="center"/>
        <w:rPr>
          <w:b/>
          <w:sz w:val="36"/>
          <w:szCs w:val="36"/>
        </w:rPr>
      </w:pPr>
      <w:r w:rsidRPr="0081286B">
        <w:rPr>
          <w:b/>
          <w:sz w:val="36"/>
          <w:szCs w:val="36"/>
        </w:rPr>
        <w:t>2020年第3季度报告</w:t>
      </w:r>
    </w:p>
    <w:p w:rsidP="00C15CAC" w:rsidR="004061AC" w:rsidRDefault="00655CD8" w:rsidRPr="0081286B">
      <w:pPr>
        <w:spacing w:before="29" w:line="288" w:lineRule="auto"/>
        <w:jc w:val="center"/>
        <w:rPr>
          <w:b/>
          <w:sz w:val="36"/>
          <w:szCs w:val="36"/>
        </w:rPr>
      </w:pPr>
      <w:r w:rsidRPr="0081286B">
        <w:rPr>
          <w:b/>
          <w:sz w:val="36"/>
          <w:szCs w:val="36"/>
        </w:rPr>
        <w:t>2020年9月30日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中国农业银行股份有限公司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二〇二〇年十月二十八日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基金托管人中国农业银行股份有限公司根据本基金合同规定，于2020年10月27日复核了本报告中的财务指标、净值表现和投资组合报告等内容，保证复核内容不存在虚假记载、误导性陈述或者重大遗漏。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本报告期自2020年7月1日起至9月30日止。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交银信用添利债券（LOF）</w:t>
            </w:r>
          </w:p>
        </w:tc>
      </w:tr>
      <w:tr w:rsidR="006E6726" w:rsidRPr="00414345" w:rsidTr="006E6726">
        <w:trPr>
          <w:jc w:val="center"/>
        </w:trPr>
        <w:tc>
          <w:tcPr>
            <w:tcW w:type="dxa" w:w="3023"/>
            <w:vAlign w:val="center"/>
          </w:tcPr>
          <w:p w:rsidR="006E6726" w:rsidRDefault="006E6726">
            <w:pPr>
              <w:adjustRightInd w:val="0"/>
              <w:spacing w:before="29" w:line="288" w:lineRule="auto"/>
              <w:ind w:left="17"/>
              <w:jc w:val="left"/>
              <w:rPr>
                <w:kern w:val="0"/>
                <w:sz w:val="24"/>
                <w:szCs w:val="24"/>
              </w:rPr>
            </w:pPr>
            <w:r>
              <w:rPr>
                <w:rFonts w:hint="eastAsia"/>
                <w:kern w:val="0"/>
                <w:sz w:val="24"/>
              </w:rPr>
              <w:t>场内简称</w:t>
            </w:r>
          </w:p>
        </w:tc>
        <w:tc>
          <w:tcPr>
            <w:tcW w:type="dxa" w:w="5845"/>
            <w:gridSpan w:val="2"/>
            <w:vAlign w:val="center"/>
          </w:tcPr>
          <w:p w:rsidR="006E6726" w:rsidRDefault="006E6726">
            <w:pPr>
              <w:adjustRightInd w:val="0"/>
              <w:spacing w:before="29" w:line="288" w:lineRule="auto"/>
              <w:ind w:left="17"/>
              <w:jc w:val="left"/>
              <w:rPr>
                <w:color w:val="000000"/>
                <w:kern w:val="0"/>
                <w:sz w:val="24"/>
                <w:szCs w:val="24"/>
              </w:rPr>
            </w:pPr>
            <w:r>
              <w:rPr>
                <w:color w:val="000000"/>
                <w:kern w:val="0"/>
                <w:sz w:val="24"/>
              </w:rPr>
              <w:t>交银添利</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164902</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2922"/>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164902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type="dxa" w:w="2923"/>
            <w:tcBorders>
              <w:top w:color="auto" w:space="0" w:sz="4" w:val="single"/>
              <w:left w:color="auto" w:space="0" w:sz="4" w:val="single"/>
              <w:bottom w:color="auto" w:space="0" w:sz="4" w:val="single"/>
              <w:right w:color="auto" w:space="0" w:sz="4" w:val="single"/>
            </w:tcBorders>
            <w:vAlign w:val="center"/>
            <w:hideMark/>
          </w:tcPr>
          <w:p w:rsidP="00C15CAC" w:rsidR="001B2F35" w:rsidRDefault="001B2F35" w:rsidRPr="00414345">
            <w:pPr>
              <w:adjustRightInd w:val="0"/>
              <w:spacing w:before="29" w:line="288" w:lineRule="auto"/>
              <w:ind w:left="17"/>
              <w:jc w:val="left"/>
              <w:rPr>
                <w:color w:val="000000"/>
                <w:kern w:val="0"/>
                <w:sz w:val="24"/>
                <w:szCs w:val="24"/>
              </w:rPr>
            </w:pPr>
            <w:r w:rsidRPr="00414345">
              <w:rPr>
                <w:color w:val="000000"/>
                <w:kern w:val="0"/>
                <w:sz w:val="24"/>
                <w:szCs w:val="24"/>
              </w:rPr>
              <w:t>164903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上市契约型开放式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2011年1月27日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3,061,980,974.20</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根据宏观经济运行状况和金融市场的运行趋势，自上而下进行宏观分析，自下而上精选个券，在控制信用风险、利率风险和流动性风险前提下，力求通过主动承担适度信用风险获得持续投资收益，谋求基金资产的长期稳定增长。</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也会关注股票一级市场、权证一级市场等其它相关市场存在的投资机会，力争实现基金总体风险收益特征保持不变前提下的基金资产增值最大化。</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80%×中债企业债总全价指数收益率+20%×中债国债总全价指数收益率</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本基金是一只债券型基金，属于证券投资基金中中等风险的品种，其长期平均的预期收益和风险高于货币市场基金，低于混合型基金和股票型基金。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根据本基金《基金合同》及《招募说明书》的相关规定，本基金在基金合同生效之日起三年(含三年)的期间内，采取封闭式运作，在深圳证券交易所上市交易，封闭期结束后转为上市开放式基金（LOF）。本基金封闭期自2011年1月27日(基金合同生效日)起至2014年1月27日止，自2014年1月28日起基金运作方式转为“上市契约型开放式”，并于同日起开放本基金的申购、赎回业务。本基金在募集期仅开通前端基金份额的认购，转为上市开放式基金（LOF）后同时开通前端基金份额和后端基金份额的申购和赎回。</w:t>
      </w:r>
    </w:p>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(2020年7月1日-2020年9月30日)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16,434,991.20</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4,106,838.46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0.0015</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3,572,376,605.77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1.1667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注：1、上述基金业绩指标不包括持有人认购或交易基金的各项费用，计入费用后的实际收益水平要低于所列数字；</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0.15%</w:t>
            </w:r>
          </w:p>
        </w:tc>
        <w:tc>
          <w:tcPr>
            <w:vAlign w:val="center"/>
          </w:tcPr>
          <w:p>
            <w:pPr>
              <w:jc w:val="center"/>
            </w:pPr>
            <w:r>
              <w:rPr>
                <w:color w:val="000000"/>
                <w:sz w:val="24"/>
                <w:szCs w:val="24"/>
              </w:rPr>
              <w:t>0.06%</w:t>
            </w:r>
          </w:p>
        </w:tc>
        <w:tc>
          <w:tcPr>
            <w:vAlign w:val="center"/>
          </w:tcPr>
          <w:p>
            <w:pPr>
              <w:jc w:val="center"/>
            </w:pPr>
            <w:r>
              <w:rPr>
                <w:color w:val="000000"/>
                <w:sz w:val="24"/>
                <w:szCs w:val="24"/>
              </w:rPr>
              <w:t>-1.02%</w:t>
            </w:r>
          </w:p>
        </w:tc>
        <w:tc>
          <w:tcPr>
            <w:vAlign w:val="center"/>
          </w:tcPr>
          <w:p>
            <w:pPr>
              <w:jc w:val="center"/>
            </w:pPr>
            <w:r>
              <w:rPr>
                <w:color w:val="000000"/>
                <w:sz w:val="24"/>
                <w:szCs w:val="24"/>
              </w:rPr>
              <w:t>0.06%</w:t>
            </w:r>
          </w:p>
        </w:tc>
        <w:tc>
          <w:tcPr>
            <w:vAlign w:val="center"/>
          </w:tcPr>
          <w:p>
            <w:pPr>
              <w:jc w:val="center"/>
            </w:pPr>
            <w:r>
              <w:rPr>
                <w:color w:val="000000"/>
                <w:sz w:val="24"/>
                <w:szCs w:val="24"/>
              </w:rPr>
              <w:t>1.17%</w:t>
            </w:r>
          </w:p>
        </w:tc>
        <w:tc>
          <w:tcPr>
            <w:vAlign w:val="center"/>
          </w:tcPr>
          <w:p>
            <w:pPr>
              <w:jc w:val="center"/>
            </w:pPr>
            <w:r>
              <w:rPr>
                <w:color w:val="000000"/>
                <w:sz w:val="24"/>
                <w:szCs w:val="24"/>
              </w:rPr>
              <w:t>0.00%</w:t>
            </w:r>
          </w:p>
        </w:tc>
      </w:tr>
      <w:tr>
        <w:tc>
          <w:tcPr>
            <w:vAlign w:val="center"/>
          </w:tcPr>
          <w:p>
            <w:pPr>
              <w:jc w:val="left"/>
            </w:pPr>
            <w:r>
              <w:rPr>
                <w:color w:val="000000"/>
                <w:sz w:val="24"/>
                <w:szCs w:val="24"/>
              </w:rPr>
              <w:t>过去六个月</w:t>
            </w:r>
          </w:p>
        </w:tc>
        <w:tc>
          <w:tcPr>
            <w:vAlign w:val="center"/>
          </w:tcPr>
          <w:p>
            <w:pPr>
              <w:jc w:val="center"/>
            </w:pPr>
            <w:r>
              <w:rPr>
                <w:color w:val="000000"/>
                <w:sz w:val="24"/>
                <w:szCs w:val="24"/>
              </w:rPr>
              <w:t>0.15%</w:t>
            </w:r>
          </w:p>
        </w:tc>
        <w:tc>
          <w:tcPr>
            <w:vAlign w:val="center"/>
          </w:tcPr>
          <w:p>
            <w:pPr>
              <w:jc w:val="center"/>
            </w:pPr>
            <w:r>
              <w:rPr>
                <w:color w:val="000000"/>
                <w:sz w:val="24"/>
                <w:szCs w:val="24"/>
              </w:rPr>
              <w:t>0.08%</w:t>
            </w:r>
          </w:p>
        </w:tc>
        <w:tc>
          <w:tcPr>
            <w:vAlign w:val="center"/>
          </w:tcPr>
          <w:p>
            <w:pPr>
              <w:jc w:val="center"/>
            </w:pPr>
            <w:r>
              <w:rPr>
                <w:color w:val="000000"/>
                <w:sz w:val="24"/>
                <w:szCs w:val="24"/>
              </w:rPr>
              <w:t>-2.32%</w:t>
            </w:r>
          </w:p>
        </w:tc>
        <w:tc>
          <w:tcPr>
            <w:vAlign w:val="center"/>
          </w:tcPr>
          <w:p>
            <w:pPr>
              <w:jc w:val="center"/>
            </w:pPr>
            <w:r>
              <w:rPr>
                <w:color w:val="000000"/>
                <w:sz w:val="24"/>
                <w:szCs w:val="24"/>
              </w:rPr>
              <w:t>0.08%</w:t>
            </w:r>
          </w:p>
        </w:tc>
        <w:tc>
          <w:tcPr>
            <w:vAlign w:val="center"/>
          </w:tcPr>
          <w:p>
            <w:pPr>
              <w:jc w:val="center"/>
            </w:pPr>
            <w:r>
              <w:rPr>
                <w:color w:val="000000"/>
                <w:sz w:val="24"/>
                <w:szCs w:val="24"/>
              </w:rPr>
              <w:t>2.47%</w:t>
            </w:r>
          </w:p>
        </w:tc>
        <w:tc>
          <w:tcPr>
            <w:vAlign w:val="center"/>
          </w:tcPr>
          <w:p>
            <w:pPr>
              <w:jc w:val="center"/>
            </w:pPr>
            <w:r>
              <w:rPr>
                <w:color w:val="000000"/>
                <w:sz w:val="24"/>
                <w:szCs w:val="24"/>
              </w:rPr>
              <w:t>0.00%</w:t>
            </w:r>
          </w:p>
        </w:tc>
      </w:tr>
      <w:tr>
        <w:tc>
          <w:tcPr>
            <w:vAlign w:val="center"/>
          </w:tcPr>
          <w:p>
            <w:pPr>
              <w:jc w:val="left"/>
            </w:pPr>
            <w:r>
              <w:rPr>
                <w:color w:val="000000"/>
                <w:sz w:val="24"/>
                <w:szCs w:val="24"/>
              </w:rPr>
              <w:t>过去一年</w:t>
            </w:r>
          </w:p>
        </w:tc>
        <w:tc>
          <w:tcPr>
            <w:vAlign w:val="center"/>
          </w:tcPr>
          <w:p>
            <w:pPr>
              <w:jc w:val="center"/>
            </w:pPr>
            <w:r>
              <w:rPr>
                <w:color w:val="000000"/>
                <w:sz w:val="24"/>
                <w:szCs w:val="24"/>
              </w:rPr>
              <w:t>2.77%</w:t>
            </w:r>
          </w:p>
        </w:tc>
        <w:tc>
          <w:tcPr>
            <w:vAlign w:val="center"/>
          </w:tcPr>
          <w:p>
            <w:pPr>
              <w:jc w:val="center"/>
            </w:pPr>
            <w:r>
              <w:rPr>
                <w:color w:val="000000"/>
                <w:sz w:val="24"/>
                <w:szCs w:val="24"/>
              </w:rPr>
              <w:t>0.07%</w:t>
            </w:r>
          </w:p>
        </w:tc>
        <w:tc>
          <w:tcPr>
            <w:vAlign w:val="center"/>
          </w:tcPr>
          <w:p>
            <w:pPr>
              <w:jc w:val="center"/>
            </w:pPr>
            <w:r>
              <w:rPr>
                <w:color w:val="000000"/>
                <w:sz w:val="24"/>
                <w:szCs w:val="24"/>
              </w:rPr>
              <w:t>-0.55%</w:t>
            </w:r>
          </w:p>
        </w:tc>
        <w:tc>
          <w:tcPr>
            <w:vAlign w:val="center"/>
          </w:tcPr>
          <w:p>
            <w:pPr>
              <w:jc w:val="center"/>
            </w:pPr>
            <w:r>
              <w:rPr>
                <w:color w:val="000000"/>
                <w:sz w:val="24"/>
                <w:szCs w:val="24"/>
              </w:rPr>
              <w:t>0.07%</w:t>
            </w:r>
          </w:p>
        </w:tc>
        <w:tc>
          <w:tcPr>
            <w:vAlign w:val="center"/>
          </w:tcPr>
          <w:p>
            <w:pPr>
              <w:jc w:val="center"/>
            </w:pPr>
            <w:r>
              <w:rPr>
                <w:color w:val="000000"/>
                <w:sz w:val="24"/>
                <w:szCs w:val="24"/>
              </w:rPr>
              <w:t>3.32%</w:t>
            </w:r>
          </w:p>
        </w:tc>
        <w:tc>
          <w:tcPr>
            <w:vAlign w:val="center"/>
          </w:tcPr>
          <w:p>
            <w:pPr>
              <w:jc w:val="center"/>
            </w:pPr>
            <w:r>
              <w:rPr>
                <w:color w:val="000000"/>
                <w:sz w:val="24"/>
                <w:szCs w:val="24"/>
              </w:rPr>
              <w:t>0.00%</w:t>
            </w:r>
          </w:p>
        </w:tc>
      </w:tr>
      <w:tr>
        <w:tc>
          <w:tcPr>
            <w:vAlign w:val="center"/>
          </w:tcPr>
          <w:p>
            <w:pPr>
              <w:jc w:val="left"/>
            </w:pPr>
            <w:r>
              <w:rPr>
                <w:color w:val="000000"/>
                <w:sz w:val="24"/>
                <w:szCs w:val="24"/>
              </w:rPr>
              <w:t>过去三年</w:t>
            </w:r>
          </w:p>
        </w:tc>
        <w:tc>
          <w:tcPr>
            <w:vAlign w:val="center"/>
          </w:tcPr>
          <w:p>
            <w:pPr>
              <w:jc w:val="center"/>
            </w:pPr>
            <w:r>
              <w:rPr>
                <w:color w:val="000000"/>
                <w:sz w:val="24"/>
                <w:szCs w:val="24"/>
              </w:rPr>
              <w:t>12.95%</w:t>
            </w:r>
          </w:p>
        </w:tc>
        <w:tc>
          <w:tcPr>
            <w:vAlign w:val="center"/>
          </w:tcPr>
          <w:p>
            <w:pPr>
              <w:jc w:val="center"/>
            </w:pPr>
            <w:r>
              <w:rPr>
                <w:color w:val="000000"/>
                <w:sz w:val="24"/>
                <w:szCs w:val="24"/>
              </w:rPr>
              <w:t>0.08%</w:t>
            </w:r>
          </w:p>
        </w:tc>
        <w:tc>
          <w:tcPr>
            <w:vAlign w:val="center"/>
          </w:tcPr>
          <w:p>
            <w:pPr>
              <w:jc w:val="center"/>
            </w:pPr>
            <w:r>
              <w:rPr>
                <w:color w:val="000000"/>
                <w:sz w:val="24"/>
                <w:szCs w:val="24"/>
              </w:rPr>
              <w:t>1.58%</w:t>
            </w:r>
          </w:p>
        </w:tc>
        <w:tc>
          <w:tcPr>
            <w:vAlign w:val="center"/>
          </w:tcPr>
          <w:p>
            <w:pPr>
              <w:jc w:val="center"/>
            </w:pPr>
            <w:r>
              <w:rPr>
                <w:color w:val="000000"/>
                <w:sz w:val="24"/>
                <w:szCs w:val="24"/>
              </w:rPr>
              <w:t>0.06%</w:t>
            </w:r>
          </w:p>
        </w:tc>
        <w:tc>
          <w:tcPr>
            <w:vAlign w:val="center"/>
          </w:tcPr>
          <w:p>
            <w:pPr>
              <w:jc w:val="center"/>
            </w:pPr>
            <w:r>
              <w:rPr>
                <w:color w:val="000000"/>
                <w:sz w:val="24"/>
                <w:szCs w:val="24"/>
              </w:rPr>
              <w:t>11.37%</w:t>
            </w:r>
          </w:p>
        </w:tc>
        <w:tc>
          <w:tcPr>
            <w:vAlign w:val="center"/>
          </w:tcPr>
          <w:p>
            <w:pPr>
              <w:jc w:val="center"/>
            </w:pPr>
            <w:r>
              <w:rPr>
                <w:color w:val="000000"/>
                <w:sz w:val="24"/>
                <w:szCs w:val="24"/>
              </w:rPr>
              <w:t>0.02%</w:t>
            </w:r>
          </w:p>
        </w:tc>
      </w:tr>
      <w:tr>
        <w:tc>
          <w:tcPr>
            <w:vAlign w:val="center"/>
          </w:tcPr>
          <w:p>
            <w:pPr>
              <w:jc w:val="left"/>
            </w:pPr>
            <w:r>
              <w:rPr>
                <w:color w:val="000000"/>
                <w:sz w:val="24"/>
                <w:szCs w:val="24"/>
              </w:rPr>
              <w:t>过去五年</w:t>
            </w:r>
          </w:p>
        </w:tc>
        <w:tc>
          <w:tcPr>
            <w:vAlign w:val="center"/>
          </w:tcPr>
          <w:p>
            <w:pPr>
              <w:jc w:val="center"/>
            </w:pPr>
            <w:r>
              <w:rPr>
                <w:color w:val="000000"/>
                <w:sz w:val="24"/>
                <w:szCs w:val="24"/>
              </w:rPr>
              <w:t>20.17%</w:t>
            </w:r>
          </w:p>
        </w:tc>
        <w:tc>
          <w:tcPr>
            <w:vAlign w:val="center"/>
          </w:tcPr>
          <w:p>
            <w:pPr>
              <w:jc w:val="center"/>
            </w:pPr>
            <w:r>
              <w:rPr>
                <w:color w:val="000000"/>
                <w:sz w:val="24"/>
                <w:szCs w:val="24"/>
              </w:rPr>
              <w:t>0.08%</w:t>
            </w:r>
          </w:p>
        </w:tc>
        <w:tc>
          <w:tcPr>
            <w:vAlign w:val="center"/>
          </w:tcPr>
          <w:p>
            <w:pPr>
              <w:jc w:val="center"/>
            </w:pPr>
            <w:r>
              <w:rPr>
                <w:color w:val="000000"/>
                <w:sz w:val="24"/>
                <w:szCs w:val="24"/>
              </w:rPr>
              <w:t>-11.62%</w:t>
            </w:r>
          </w:p>
        </w:tc>
        <w:tc>
          <w:tcPr>
            <w:vAlign w:val="center"/>
          </w:tcPr>
          <w:p>
            <w:pPr>
              <w:jc w:val="center"/>
            </w:pPr>
            <w:r>
              <w:rPr>
                <w:color w:val="000000"/>
                <w:sz w:val="24"/>
                <w:szCs w:val="24"/>
              </w:rPr>
              <w:t>0.08%</w:t>
            </w:r>
          </w:p>
        </w:tc>
        <w:tc>
          <w:tcPr>
            <w:vAlign w:val="center"/>
          </w:tcPr>
          <w:p>
            <w:pPr>
              <w:jc w:val="center"/>
            </w:pPr>
            <w:r>
              <w:rPr>
                <w:color w:val="000000"/>
                <w:sz w:val="24"/>
                <w:szCs w:val="24"/>
              </w:rPr>
              <w:t>31.79%</w:t>
            </w:r>
          </w:p>
        </w:tc>
        <w:tc>
          <w:tcPr>
            <w:vAlign w:val="center"/>
          </w:tcPr>
          <w:p>
            <w:pPr>
              <w:jc w:val="center"/>
            </w:pPr>
            <w:r>
              <w:rPr>
                <w:color w:val="000000"/>
                <w:sz w:val="24"/>
                <w:szCs w:val="24"/>
              </w:rPr>
              <w:t>0.00%</w:t>
            </w:r>
          </w:p>
        </w:tc>
      </w:tr>
      <w:tr>
        <w:tc>
          <w:tcPr>
            <w:vAlign w:val="center"/>
          </w:tcPr>
          <w:p>
            <w:pPr>
              <w:jc w:val="left"/>
            </w:pPr>
            <w:r>
              <w:rPr>
                <w:color w:val="000000"/>
                <w:sz w:val="24"/>
                <w:szCs w:val="24"/>
              </w:rPr>
              <w:t>自基金合同生效至今</w:t>
            </w:r>
          </w:p>
        </w:tc>
        <w:tc>
          <w:tcPr>
            <w:vAlign w:val="center"/>
          </w:tcPr>
          <w:p>
            <w:pPr>
              <w:jc w:val="center"/>
            </w:pPr>
            <w:r>
              <w:rPr>
                <w:color w:val="000000"/>
                <w:sz w:val="24"/>
                <w:szCs w:val="24"/>
              </w:rPr>
              <w:t>73.45%</w:t>
            </w:r>
          </w:p>
        </w:tc>
        <w:tc>
          <w:tcPr>
            <w:vAlign w:val="center"/>
          </w:tcPr>
          <w:p>
            <w:pPr>
              <w:jc w:val="center"/>
            </w:pPr>
            <w:r>
              <w:rPr>
                <w:color w:val="000000"/>
                <w:sz w:val="24"/>
                <w:szCs w:val="24"/>
              </w:rPr>
              <w:t>0.22%</w:t>
            </w:r>
          </w:p>
        </w:tc>
        <w:tc>
          <w:tcPr>
            <w:vAlign w:val="center"/>
          </w:tcPr>
          <w:p>
            <w:pPr>
              <w:jc w:val="center"/>
            </w:pPr>
            <w:r>
              <w:rPr>
                <w:color w:val="000000"/>
                <w:sz w:val="24"/>
                <w:szCs w:val="24"/>
              </w:rPr>
              <w:t>-6.19%</w:t>
            </w:r>
          </w:p>
        </w:tc>
        <w:tc>
          <w:tcPr>
            <w:vAlign w:val="center"/>
          </w:tcPr>
          <w:p>
            <w:pPr>
              <w:jc w:val="center"/>
            </w:pPr>
            <w:r>
              <w:rPr>
                <w:color w:val="000000"/>
                <w:sz w:val="24"/>
                <w:szCs w:val="24"/>
              </w:rPr>
              <w:t>0.09%</w:t>
            </w:r>
          </w:p>
        </w:tc>
        <w:tc>
          <w:tcPr>
            <w:vAlign w:val="center"/>
          </w:tcPr>
          <w:p>
            <w:pPr>
              <w:jc w:val="center"/>
            </w:pPr>
            <w:r>
              <w:rPr>
                <w:color w:val="000000"/>
                <w:sz w:val="24"/>
                <w:szCs w:val="24"/>
              </w:rPr>
              <w:t>79.64%</w:t>
            </w:r>
          </w:p>
        </w:tc>
        <w:tc>
          <w:tcPr>
            <w:vAlign w:val="center"/>
          </w:tcPr>
          <w:p>
            <w:pPr>
              <w:jc w:val="center"/>
            </w:pPr>
            <w:r>
              <w:rPr>
                <w:color w:val="000000"/>
                <w:sz w:val="24"/>
                <w:szCs w:val="24"/>
              </w:rPr>
              <w:t>0.13%</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交银施罗德信用添利债券证券投资基金（LOF）</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2011年1月27日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2020年9月30日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唐赟</w:t>
            </w:r>
          </w:p>
        </w:tc>
        <w:tc>
          <w:tcPr>
            <w:vAlign w:val="center"/>
          </w:tcPr>
          <w:p>
            <w:pPr>
              <w:jc w:val="center"/>
            </w:pPr>
            <w:r>
              <w:rPr>
                <w:color w:val="000000"/>
                <w:sz w:val="24"/>
                <w:szCs w:val="24"/>
              </w:rPr>
              <w:t>交银信用添利债券(LOF)、交银双利债券、交银双轮动债券、交银定期支付月月丰债券、交银增强收益债券、交银强化回报债券、交银荣鑫灵活配置混合、交银稳固收益债券的基金经理</w:t>
            </w:r>
          </w:p>
        </w:tc>
        <w:tc>
          <w:tcPr>
            <w:vAlign w:val="center"/>
          </w:tcPr>
          <w:p>
            <w:pPr>
              <w:jc w:val="center"/>
            </w:pPr>
            <w:r>
              <w:rPr>
                <w:color w:val="000000"/>
                <w:sz w:val="24"/>
                <w:szCs w:val="24"/>
              </w:rPr>
              <w:t>2015-08-04</w:t>
            </w:r>
          </w:p>
        </w:tc>
        <w:tc>
          <w:tcPr>
            <w:vAlign w:val="center"/>
          </w:tcPr>
          <w:p>
            <w:pPr>
              <w:jc w:val="center"/>
            </w:pPr>
            <w:r>
              <w:rPr>
                <w:color w:val="000000"/>
                <w:sz w:val="24"/>
                <w:szCs w:val="24"/>
              </w:rPr>
              <w:t>-</w:t>
            </w:r>
          </w:p>
        </w:tc>
        <w:tc>
          <w:tcPr>
            <w:vAlign w:val="center"/>
          </w:tcPr>
          <w:p>
            <w:pPr>
              <w:jc w:val="center"/>
            </w:pPr>
            <w:r>
              <w:rPr>
                <w:color w:val="000000"/>
                <w:sz w:val="24"/>
                <w:szCs w:val="24"/>
              </w:rPr>
              <w:t>10年</w:t>
            </w:r>
          </w:p>
        </w:tc>
        <w:tc>
          <w:tcPr>
            <w:vAlign w:val="center"/>
          </w:tcPr>
          <w:p>
            <w:pPr>
              <w:jc w:val="both"/>
            </w:pPr>
            <w:r>
              <w:rPr>
                <w:color w:val="000000"/>
                <w:sz w:val="24"/>
                <w:szCs w:val="24"/>
              </w:rPr>
              <w:t>唐赟先生，香港城市大学电子工程硕士。历任渣打银行环球企业部助理客户经理、平安资产管理公司信用分析员。2012年加入交银施罗德基金管理有限公司，历任固定收益研究员、基金经理助理。2015年11月7日至2018年6月1日担任转型前的交银施罗德荣和保本混合型证券投资基金的基金经理。2017年3月31日至2019年10月23日担任交银施罗德裕通纯债债券型证券投资基金的基金经理。2018年6月2日至2019年12月13日担任交银施罗德安心收益债券型证券投资基金的基金经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本报告期内，2020年三季度债券市场在震荡中逐步下跌。首先，从七月开始，央行在公开市场净回笼资金，叠加MLF大量到期、企业集中缴税等因素，银行间流动性出现持续收紧状态，资金利率中枢边际抬升，进入八月央行开展14天逆回购操作，引导DR007向2.2%收敛。其次，利率债供给方面，七月到九月供给压力不减，政府债券净融资量维持在高位。同时，三季度经济基本面呈现出平稳恢复的态势，出口改善带动了制造业投资修复，工业生产平稳运行，经济增长的支撑力较为充足。在以上因素的综合影响下，三季度债券市场在震荡中收益率大幅向上调整，同时收益率曲线呈现出平坦化的趋势。</w:t>
      </w:r>
    </w:p>
    <w:p>
      <w:pPr>
        <w:spacing w:before="29" w:line="288" w:lineRule="auto"/>
        <w:ind w:firstLine="480" w:firstLineChars="200"/>
        <w:rPr>
          <w:color w:val="000000"/>
          <w:sz w:val="24"/>
          <w:szCs w:val="24"/>
        </w:rPr>
      </w:pPr>
      <w:r>
        <w:rPr>
          <w:color w:val="000000"/>
          <w:sz w:val="24"/>
          <w:szCs w:val="24"/>
        </w:rPr>
        <w:t>报告期内，我们认为债券市场有一定回调压力，在基金操作中，逐步降低了组合的杠杆和久期水平，在板块上仍然保持部分中短久期中低等级城投债品种的配置，以提升底仓的静态收益。</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展望2020年四季度，一方面随着企业库存回升和通胀预期抬升，国内经济或从复苏期进入扩张期，宏观环境对债券市场略为不利；另一方面预期四季度利率债的供给压力将明显减弱，叠加美国大选临近中美摩擦可能升级，海外疫情或仍有反复，情绪方面可能对避险资产偏利好。组合策略方面，我们预计维持中性的杠杆水平，控制组合久期风险，同时视融资成本及市场收益率变动情况，择优配置中短久期的信用债个券，持续组合静态收益，并关注长端利率的波段交易机会，以期提升组合收益。</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3,781,176,826.60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95.64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3,751,176,826.60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94.88</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30,000,000.00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0.76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110,000,485.00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2.78</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2,034,077.61</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0.05</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60,461,500.35</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1.53</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3,953,672,889.56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本基金本报告期末未持有股票。</w:t>
      </w:r>
    </w:p>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本基金本报告期末未持有股票。</w:t>
      </w:r>
    </w:p>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188,939,000.00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5.29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188,939,000.00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5.29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693,398,500.00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19.41</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439,972,000.00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12.32</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2,428,865,000.00</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67.99</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2,326.60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0.00</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3,751,176,826.60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105.01</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102000710</w:t>
            </w:r>
          </w:p>
        </w:tc>
        <w:tc>
          <w:tcPr>
            <w:vAlign w:val="center"/>
          </w:tcPr>
          <w:p>
            <w:pPr>
              <w:jc w:val="center"/>
            </w:pPr>
            <w:r>
              <w:rPr>
                <w:color w:val="000000"/>
                <w:sz w:val="24"/>
                <w:szCs w:val="24"/>
              </w:rPr>
              <w:t>20南京浦口MTN002</w:t>
            </w:r>
          </w:p>
        </w:tc>
        <w:tc>
          <w:tcPr>
            <w:vAlign w:val="center"/>
          </w:tcPr>
          <w:p>
            <w:pPr>
              <w:jc w:val="right"/>
            </w:pPr>
            <w:r>
              <w:rPr>
                <w:color w:val="000000"/>
                <w:sz w:val="24"/>
                <w:szCs w:val="24"/>
              </w:rPr>
              <w:t>700,000</w:t>
            </w:r>
          </w:p>
        </w:tc>
        <w:tc>
          <w:tcPr>
            <w:vAlign w:val="center"/>
          </w:tcPr>
          <w:p>
            <w:pPr>
              <w:jc w:val="right"/>
            </w:pPr>
            <w:r>
              <w:rPr>
                <w:color w:val="000000"/>
                <w:sz w:val="24"/>
                <w:szCs w:val="24"/>
              </w:rPr>
              <w:t>69,321,000.00</w:t>
            </w:r>
          </w:p>
        </w:tc>
        <w:tc>
          <w:tcPr>
            <w:vAlign w:val="center"/>
          </w:tcPr>
          <w:p>
            <w:pPr>
              <w:jc w:val="right"/>
            </w:pPr>
            <w:r>
              <w:rPr>
                <w:color w:val="000000"/>
                <w:sz w:val="24"/>
                <w:szCs w:val="24"/>
              </w:rPr>
              <w:t>1.94</w:t>
            </w:r>
          </w:p>
        </w:tc>
      </w:tr>
      <w:tr>
        <w:tc>
          <w:tcPr>
            <w:vAlign w:val="center"/>
          </w:tcPr>
          <w:p>
            <w:pPr>
              <w:jc w:val="center"/>
            </w:pPr>
            <w:r>
              <w:rPr>
                <w:color w:val="000000"/>
                <w:sz w:val="24"/>
                <w:szCs w:val="24"/>
              </w:rPr>
              <w:t>2</w:t>
            </w:r>
          </w:p>
        </w:tc>
        <w:tc>
          <w:tcPr>
            <w:vAlign w:val="center"/>
          </w:tcPr>
          <w:p>
            <w:pPr>
              <w:jc w:val="center"/>
            </w:pPr>
            <w:r>
              <w:rPr>
                <w:color w:val="000000"/>
                <w:sz w:val="24"/>
                <w:szCs w:val="24"/>
              </w:rPr>
              <w:t>101761029</w:t>
            </w:r>
          </w:p>
        </w:tc>
        <w:tc>
          <w:tcPr>
            <w:vAlign w:val="center"/>
          </w:tcPr>
          <w:p>
            <w:pPr>
              <w:jc w:val="center"/>
            </w:pPr>
            <w:r>
              <w:rPr>
                <w:color w:val="000000"/>
                <w:sz w:val="24"/>
                <w:szCs w:val="24"/>
              </w:rPr>
              <w:t>17徐州经开MTN005</w:t>
            </w:r>
          </w:p>
        </w:tc>
        <w:tc>
          <w:tcPr>
            <w:vAlign w:val="center"/>
          </w:tcPr>
          <w:p>
            <w:pPr>
              <w:jc w:val="right"/>
            </w:pPr>
            <w:r>
              <w:rPr>
                <w:color w:val="000000"/>
                <w:sz w:val="24"/>
                <w:szCs w:val="24"/>
              </w:rPr>
              <w:t>600,000</w:t>
            </w:r>
          </w:p>
        </w:tc>
        <w:tc>
          <w:tcPr>
            <w:vAlign w:val="center"/>
          </w:tcPr>
          <w:p>
            <w:pPr>
              <w:jc w:val="right"/>
            </w:pPr>
            <w:r>
              <w:rPr>
                <w:color w:val="000000"/>
                <w:sz w:val="24"/>
                <w:szCs w:val="24"/>
              </w:rPr>
              <w:t>62,022,000.00</w:t>
            </w:r>
          </w:p>
        </w:tc>
        <w:tc>
          <w:tcPr>
            <w:vAlign w:val="center"/>
          </w:tcPr>
          <w:p>
            <w:pPr>
              <w:jc w:val="right"/>
            </w:pPr>
            <w:r>
              <w:rPr>
                <w:color w:val="000000"/>
                <w:sz w:val="24"/>
                <w:szCs w:val="24"/>
              </w:rPr>
              <w:t>1.74</w:t>
            </w:r>
          </w:p>
        </w:tc>
      </w:tr>
      <w:tr>
        <w:tc>
          <w:tcPr>
            <w:vAlign w:val="center"/>
          </w:tcPr>
          <w:p>
            <w:pPr>
              <w:jc w:val="center"/>
            </w:pPr>
            <w:r>
              <w:rPr>
                <w:color w:val="000000"/>
                <w:sz w:val="24"/>
                <w:szCs w:val="24"/>
              </w:rPr>
              <w:t>3</w:t>
            </w:r>
          </w:p>
        </w:tc>
        <w:tc>
          <w:tcPr>
            <w:vAlign w:val="center"/>
          </w:tcPr>
          <w:p>
            <w:pPr>
              <w:jc w:val="center"/>
            </w:pPr>
            <w:r>
              <w:rPr>
                <w:color w:val="000000"/>
                <w:sz w:val="24"/>
                <w:szCs w:val="24"/>
              </w:rPr>
              <w:t>127418</w:t>
            </w:r>
          </w:p>
        </w:tc>
        <w:tc>
          <w:tcPr>
            <w:vAlign w:val="center"/>
          </w:tcPr>
          <w:p>
            <w:pPr>
              <w:jc w:val="center"/>
            </w:pPr>
            <w:r>
              <w:rPr>
                <w:color w:val="000000"/>
                <w:sz w:val="24"/>
                <w:szCs w:val="24"/>
              </w:rPr>
              <w:t>PR启交通</w:t>
            </w:r>
          </w:p>
        </w:tc>
        <w:tc>
          <w:tcPr>
            <w:vAlign w:val="center"/>
          </w:tcPr>
          <w:p>
            <w:pPr>
              <w:jc w:val="right"/>
            </w:pPr>
            <w:r>
              <w:rPr>
                <w:color w:val="000000"/>
                <w:sz w:val="24"/>
                <w:szCs w:val="24"/>
              </w:rPr>
              <w:t>1,000,000</w:t>
            </w:r>
          </w:p>
        </w:tc>
        <w:tc>
          <w:tcPr>
            <w:vAlign w:val="center"/>
          </w:tcPr>
          <w:p>
            <w:pPr>
              <w:jc w:val="right"/>
            </w:pPr>
            <w:r>
              <w:rPr>
                <w:color w:val="000000"/>
                <w:sz w:val="24"/>
                <w:szCs w:val="24"/>
              </w:rPr>
              <w:t>59,910,000.00</w:t>
            </w:r>
          </w:p>
        </w:tc>
        <w:tc>
          <w:tcPr>
            <w:vAlign w:val="center"/>
          </w:tcPr>
          <w:p>
            <w:pPr>
              <w:jc w:val="right"/>
            </w:pPr>
            <w:r>
              <w:rPr>
                <w:color w:val="000000"/>
                <w:sz w:val="24"/>
                <w:szCs w:val="24"/>
              </w:rPr>
              <w:t>1.68</w:t>
            </w:r>
          </w:p>
        </w:tc>
      </w:tr>
      <w:tr>
        <w:tc>
          <w:tcPr>
            <w:vAlign w:val="center"/>
          </w:tcPr>
          <w:p>
            <w:pPr>
              <w:jc w:val="center"/>
            </w:pPr>
            <w:r>
              <w:rPr>
                <w:color w:val="000000"/>
                <w:sz w:val="24"/>
                <w:szCs w:val="24"/>
              </w:rPr>
              <w:t>4</w:t>
            </w:r>
          </w:p>
        </w:tc>
        <w:tc>
          <w:tcPr>
            <w:vAlign w:val="center"/>
          </w:tcPr>
          <w:p>
            <w:pPr>
              <w:jc w:val="center"/>
            </w:pPr>
            <w:r>
              <w:rPr>
                <w:color w:val="000000"/>
                <w:sz w:val="24"/>
                <w:szCs w:val="24"/>
              </w:rPr>
              <w:t>1680320</w:t>
            </w:r>
          </w:p>
        </w:tc>
        <w:tc>
          <w:tcPr>
            <w:vAlign w:val="center"/>
          </w:tcPr>
          <w:p>
            <w:pPr>
              <w:jc w:val="center"/>
            </w:pPr>
            <w:r>
              <w:rPr>
                <w:color w:val="000000"/>
                <w:sz w:val="24"/>
                <w:szCs w:val="24"/>
              </w:rPr>
              <w:t>16章丘债</w:t>
            </w:r>
          </w:p>
        </w:tc>
        <w:tc>
          <w:tcPr>
            <w:vAlign w:val="center"/>
          </w:tcPr>
          <w:p>
            <w:pPr>
              <w:jc w:val="right"/>
            </w:pPr>
            <w:r>
              <w:rPr>
                <w:color w:val="000000"/>
                <w:sz w:val="24"/>
                <w:szCs w:val="24"/>
              </w:rPr>
              <w:t>1,000,000</w:t>
            </w:r>
          </w:p>
        </w:tc>
        <w:tc>
          <w:tcPr>
            <w:vAlign w:val="center"/>
          </w:tcPr>
          <w:p>
            <w:pPr>
              <w:jc w:val="right"/>
            </w:pPr>
            <w:r>
              <w:rPr>
                <w:color w:val="000000"/>
                <w:sz w:val="24"/>
                <w:szCs w:val="24"/>
              </w:rPr>
              <w:t>59,910,000.00</w:t>
            </w:r>
          </w:p>
        </w:tc>
        <w:tc>
          <w:tcPr>
            <w:vAlign w:val="center"/>
          </w:tcPr>
          <w:p>
            <w:pPr>
              <w:jc w:val="right"/>
            </w:pPr>
            <w:r>
              <w:rPr>
                <w:color w:val="000000"/>
                <w:sz w:val="24"/>
                <w:szCs w:val="24"/>
              </w:rPr>
              <w:t>1.68</w:t>
            </w:r>
          </w:p>
        </w:tc>
      </w:tr>
      <w:tr>
        <w:tc>
          <w:tcPr>
            <w:vAlign w:val="center"/>
          </w:tcPr>
          <w:p>
            <w:pPr>
              <w:jc w:val="center"/>
            </w:pPr>
            <w:r>
              <w:rPr>
                <w:color w:val="000000"/>
                <w:sz w:val="24"/>
                <w:szCs w:val="24"/>
              </w:rPr>
              <w:t>5</w:t>
            </w:r>
          </w:p>
        </w:tc>
        <w:tc>
          <w:tcPr>
            <w:vAlign w:val="center"/>
          </w:tcPr>
          <w:p>
            <w:pPr>
              <w:jc w:val="center"/>
            </w:pPr>
            <w:r>
              <w:rPr>
                <w:color w:val="000000"/>
                <w:sz w:val="24"/>
                <w:szCs w:val="24"/>
              </w:rPr>
              <w:t>200308</w:t>
            </w:r>
          </w:p>
        </w:tc>
        <w:tc>
          <w:tcPr>
            <w:vAlign w:val="center"/>
          </w:tcPr>
          <w:p>
            <w:pPr>
              <w:jc w:val="center"/>
            </w:pPr>
            <w:r>
              <w:rPr>
                <w:color w:val="000000"/>
                <w:sz w:val="24"/>
                <w:szCs w:val="24"/>
              </w:rPr>
              <w:t>20进出08</w:t>
            </w:r>
          </w:p>
        </w:tc>
        <w:tc>
          <w:tcPr>
            <w:vAlign w:val="center"/>
          </w:tcPr>
          <w:p>
            <w:pPr>
              <w:jc w:val="right"/>
            </w:pPr>
            <w:r>
              <w:rPr>
                <w:color w:val="000000"/>
                <w:sz w:val="24"/>
                <w:szCs w:val="24"/>
              </w:rPr>
              <w:t>600,000</w:t>
            </w:r>
          </w:p>
        </w:tc>
        <w:tc>
          <w:tcPr>
            <w:vAlign w:val="center"/>
          </w:tcPr>
          <w:p>
            <w:pPr>
              <w:jc w:val="right"/>
            </w:pPr>
            <w:r>
              <w:rPr>
                <w:color w:val="000000"/>
                <w:sz w:val="24"/>
                <w:szCs w:val="24"/>
              </w:rPr>
              <w:t>59,772,000.00</w:t>
            </w:r>
          </w:p>
        </w:tc>
        <w:tc>
          <w:tcPr>
            <w:vAlign w:val="center"/>
          </w:tcPr>
          <w:p>
            <w:pPr>
              <w:jc w:val="right"/>
            </w:pPr>
            <w:r>
              <w:rPr>
                <w:color w:val="000000"/>
                <w:sz w:val="24"/>
                <w:szCs w:val="24"/>
              </w:rPr>
              <w:t>1.67</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D03EB3" w:rsidR="00D03EB3" w:rsidRDefault="00D03EB3" w:rsidRPr="00D03EB3">
      <w:pPr>
        <w:autoSpaceDE w:val="0"/>
        <w:autoSpaceDN w:val="0"/>
        <w:adjustRightInd w:val="0"/>
        <w:spacing w:before="29" w:line="288" w:lineRule="auto"/>
        <w:jc w:val="right"/>
        <w:rPr>
          <w:bCs/>
          <w:color w:val="000000"/>
          <w:kern w:val="0"/>
          <w:sz w:val="24"/>
          <w:szCs w:val="24"/>
        </w:rPr>
      </w:pPr>
      <w:r w:rsidRPr="00D03EB3">
        <w:rPr>
          <w:rFonts w:hint="eastAsia"/>
          <w:bCs/>
          <w:color w:val="000000"/>
          <w:kern w:val="0"/>
          <w:sz w:val="24"/>
          <w:szCs w:val="24"/>
        </w:rPr>
        <w:t/>
      </w:r>
      <w:r w:rsidRPr="00D03EB3">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295"/>
        <w:gridCol w:w="1339"/>
        <w:gridCol w:w="1322"/>
        <w:gridCol w:w="1567"/>
        <w:gridCol w:w="1660"/>
        <w:gridCol w:w="1685"/>
      </w:tblGrid>
      <w:tr w:rsidR="00D57B7C" w:rsidRPr="00414345" w:rsidTr="00A324F4">
        <w:trPr>
          <w:jc w:val="center"/>
        </w:trPr>
        <w:tc>
          <w:tcPr>
            <w:tcW w:type="dxa" w:w="1246"/>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28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证券代码</w:t>
            </w:r>
          </w:p>
        </w:tc>
        <w:tc>
          <w:tcPr>
            <w:tcW w:type="dxa" w:w="127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证券名称</w:t>
            </w:r>
          </w:p>
        </w:tc>
        <w:tc>
          <w:tcPr>
            <w:tcW w:type="dxa" w:w="1507"/>
            <w:vAlign w:val="center"/>
          </w:tcPr>
          <w:p w:rsidP="00C15CAC" w:rsidR="00D03EB3" w:rsidRDefault="003E62FB">
            <w:pPr>
              <w:spacing w:before="29" w:line="288" w:lineRule="auto"/>
              <w:ind w:left="17"/>
              <w:jc w:val="center"/>
              <w:rPr>
                <w:color w:val="000000"/>
                <w:sz w:val="24"/>
                <w:szCs w:val="24"/>
              </w:rPr>
            </w:pPr>
            <w:r w:rsidRPr="00414345">
              <w:rPr>
                <w:color w:val="000000"/>
                <w:sz w:val="24"/>
                <w:szCs w:val="24"/>
              </w:rPr>
              <w:t>数量</w:t>
            </w:r>
          </w:p>
          <w:p w:rsidP="00C15CAC" w:rsidR="003E62FB" w:rsidRDefault="00D57B7C" w:rsidRPr="00414345">
            <w:pPr>
              <w:spacing w:before="29" w:line="288" w:lineRule="auto"/>
              <w:ind w:left="17"/>
              <w:jc w:val="center"/>
              <w:rPr>
                <w:color w:val="000000"/>
                <w:sz w:val="24"/>
                <w:szCs w:val="24"/>
              </w:rPr>
            </w:pPr>
            <w:r w:rsidRPr="00414345">
              <w:rPr>
                <w:color w:val="000000"/>
                <w:sz w:val="24"/>
                <w:szCs w:val="24"/>
              </w:rPr>
              <w:t>(</w:t>
            </w:r>
            <w:r w:rsidR="003E62FB" w:rsidRPr="00414345">
              <w:rPr>
                <w:color w:val="000000"/>
                <w:sz w:val="24"/>
                <w:szCs w:val="24"/>
              </w:rPr>
              <w:t>份</w:t>
            </w:r>
            <w:r w:rsidRPr="00414345">
              <w:rPr>
                <w:color w:val="000000"/>
                <w:sz w:val="24"/>
                <w:szCs w:val="24"/>
              </w:rPr>
              <w:t>)</w:t>
            </w:r>
          </w:p>
        </w:tc>
        <w:tc>
          <w:tcPr>
            <w:tcW w:type="dxa" w:w="1596"/>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2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D57B7C" w:rsidRPr="00414345">
              <w:rPr>
                <w:color w:val="000000"/>
                <w:sz w:val="24"/>
                <w:szCs w:val="24"/>
              </w:rPr>
              <w:t>(</w:t>
            </w:r>
            <w:r w:rsidRPr="00414345">
              <w:rPr>
                <w:color w:val="000000"/>
                <w:sz w:val="24"/>
                <w:szCs w:val="24"/>
              </w:rPr>
              <w:t>％</w:t>
            </w:r>
            <w:r w:rsidR="00D57B7C" w:rsidRPr="00414345">
              <w:rPr>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169422</w:t>
            </w:r>
          </w:p>
        </w:tc>
        <w:tc>
          <w:tcPr>
            <w:vAlign w:val="center"/>
          </w:tcPr>
          <w:p>
            <w:pPr>
              <w:jc w:val="center"/>
            </w:pPr>
            <w:r>
              <w:rPr>
                <w:color w:val="000000"/>
                <w:sz w:val="24"/>
                <w:szCs w:val="24"/>
              </w:rPr>
              <w:t>霄驰01A</w:t>
            </w:r>
          </w:p>
        </w:tc>
        <w:tc>
          <w:tcPr>
            <w:vAlign w:val="center"/>
          </w:tcPr>
          <w:p>
            <w:pPr>
              <w:jc w:val="right"/>
            </w:pPr>
            <w:r>
              <w:rPr>
                <w:color w:val="000000"/>
                <w:sz w:val="24"/>
                <w:szCs w:val="24"/>
              </w:rPr>
              <w:t>300,000</w:t>
            </w:r>
          </w:p>
        </w:tc>
        <w:tc>
          <w:tcPr>
            <w:vAlign w:val="center"/>
          </w:tcPr>
          <w:p>
            <w:pPr>
              <w:jc w:val="right"/>
            </w:pPr>
            <w:r>
              <w:rPr>
                <w:color w:val="000000"/>
                <w:sz w:val="24"/>
                <w:szCs w:val="24"/>
              </w:rPr>
              <w:t>30,000,000.00</w:t>
            </w:r>
          </w:p>
        </w:tc>
        <w:tc>
          <w:tcPr>
            <w:vAlign w:val="center"/>
          </w:tcPr>
          <w:p>
            <w:pPr>
              <w:jc w:val="right"/>
            </w:pPr>
            <w:r>
              <w:rPr>
                <w:color w:val="000000"/>
                <w:sz w:val="24"/>
                <w:szCs w:val="24"/>
              </w:rPr>
              <w:t>0.84</w:t>
            </w:r>
          </w:p>
        </w:tc>
      </w:tr>
    </w:tbl>
    <w:p w:rsidP="00C15CAC" w:rsidR="00A54C7D" w:rsidRDefault="00A54C7D" w:rsidRPr="00414345">
      <w:pPr>
        <w:autoSpaceDE w:val="0"/>
        <w:autoSpaceDN w:val="0"/>
        <w:adjustRightInd w:val="0"/>
        <w:spacing w:before="29" w:line="288" w:lineRule="auto"/>
        <w:jc w:val="left"/>
        <w:rPr>
          <w:color w:val="000000"/>
          <w:sz w:val="24"/>
          <w:szCs w:val="24"/>
        </w:rPr>
      </w:pP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11,628.71</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55,493,440.18</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4,956,231.46</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200.00</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60,461,500.35</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本基金本报告期末未持有处于转股期的可转换债券。</w:t>
      </w: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lastRenderedPageBreak/>
        <w:t/>
      </w:r>
      <w:r w:rsidR="004061AC" w:rsidRPr="00414345">
        <w:rPr>
          <w:color w:val="000000"/>
          <w:sz w:val="24"/>
          <w:szCs w:val="24"/>
        </w:rPr>
        <w:t/>
      </w:r>
      <w:r w:rsidR="008E326D" w:rsidRPr="00414345">
        <w:rPr>
          <w:color w:val="000000"/>
          <w:sz w:val="24"/>
          <w:szCs w:val="24"/>
        </w:rPr>
        <w:t/>
      </w:r>
      <w:r w:rsidR="004061AC" w:rsidRPr="00414345">
        <w:rPr>
          <w:color w:val="000000"/>
          <w:sz w:val="24"/>
          <w:szCs w:val="24"/>
        </w:rPr>
        <w:t>本基金本报告期末未持有股票。</w:t>
      </w: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2,904,206,746.99</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987,093,087.50</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829,318,860.29</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3,061,980,974.20</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注：1、如果本报告期间发生转换入、红利再投业务，则总申购份额中包含该业务；     </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312" w:afterLines="100" w:before="312"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§8</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r w:rsidRPr="009A5C99">
        <w:rPr>
          <w:rFonts w:ascii="宋体" w:hAnsi="宋体" w:hint="eastAsia"/>
          <w:b/>
          <w:bCs/>
          <w:color w:val="000000"/>
          <w:kern w:val="0"/>
          <w:sz w:val="24"/>
          <w:szCs w:val="24"/>
        </w:rPr>
        <w:t>8.1 影响投资者决策的其他重要信息</w:t>
      </w:r>
    </w:p>
    <w:p w:rsidP="003C50AD" w:rsidR="003C50AD" w:rsidRDefault="003C50AD" w:rsidRPr="004F4D27">
      <w:pPr>
        <w:spacing w:line="360" w:lineRule="auto"/>
        <w:ind w:firstLine="420" w:firstLineChars="200"/>
        <w:rPr>
          <w:rFonts w:ascii="宋体" w:hAnsi="宋体"/>
          <w:color w:val="000000"/>
        </w:rPr>
      </w:pPr>
      <w:r w:rsidRPr="004F4D27">
        <w:rPr>
          <w:rFonts w:ascii="宋体" w:hAnsi="宋体"/>
          <w:color w:val="000000"/>
        </w:rPr>
        <w:t>为更好地维护基金份额持有人的利益，提高本基金基金份额净值的精确度，本基金管理人经与基金托管人协商一致，并报中国证券监督管理委员会备案，自2020年7月27日起调整本基金的基金份额净值计算小数点后保留位数，由保留到小数点后3位调整为小数点后4位，小数点后第5位四舍五入，并对本基金的基金合同、托管协议作相应修改。详情请查阅本基金管理人于2020年7月24日发布的《交银施罗德基金管理有限公司关于调整旗下11只公募基金的基金份额净值计算小数点后保留位数并修改基金合同、托管协议的公告》。</w:t>
      </w:r>
    </w:p>
    <w:p w:rsidP="00C15CAC" w:rsidR="00ED6E80" w:rsidRDefault="00ED6E80" w:rsidRPr="00414345">
      <w:pPr>
        <w:spacing w:before="29" w:line="288" w:lineRule="auto"/>
        <w:ind w:firstLine="480" w:firstLineChars="200"/>
        <w:rPr>
          <w:color w:val="000000"/>
          <w:sz w:val="24"/>
          <w:szCs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1、中国证监会核准交银施罗德信用添利债券证券投资基金募集的文件； </w:t>
      </w:r>
    </w:p>
    <w:p>
      <w:pPr>
        <w:spacing w:before="29" w:line="288" w:lineRule="auto"/>
        <w:ind w:firstLine="480" w:firstLineChars="200"/>
        <w:rPr>
          <w:color w:val="000000"/>
          <w:sz w:val="24"/>
          <w:szCs w:val="24"/>
        </w:rPr>
      </w:pPr>
      <w:r>
        <w:rPr>
          <w:color w:val="000000"/>
          <w:sz w:val="24"/>
          <w:szCs w:val="24"/>
        </w:rPr>
        <w:t>2、《交银施罗德信用添利债券证券投资基金基金合同》；</w:t>
      </w:r>
    </w:p>
    <w:p>
      <w:pPr>
        <w:spacing w:before="29" w:line="288" w:lineRule="auto"/>
        <w:ind w:firstLine="480" w:firstLineChars="200"/>
        <w:rPr>
          <w:color w:val="000000"/>
          <w:sz w:val="24"/>
          <w:szCs w:val="24"/>
        </w:rPr>
      </w:pPr>
      <w:r>
        <w:rPr>
          <w:color w:val="000000"/>
          <w:sz w:val="24"/>
          <w:szCs w:val="24"/>
        </w:rPr>
        <w:t xml:space="preserve">3、《交银施罗德信用添利债券证券投资基金招募说明书》； </w:t>
      </w:r>
    </w:p>
    <w:p>
      <w:pPr>
        <w:spacing w:before="29" w:line="288" w:lineRule="auto"/>
        <w:ind w:firstLine="480" w:firstLineChars="200"/>
        <w:rPr>
          <w:color w:val="000000"/>
          <w:sz w:val="24"/>
          <w:szCs w:val="24"/>
        </w:rPr>
      </w:pPr>
      <w:r>
        <w:rPr>
          <w:color w:val="000000"/>
          <w:sz w:val="24"/>
          <w:szCs w:val="24"/>
        </w:rPr>
        <w:t xml:space="preserve">4、《交银施罗德信用添利债券证券投资基金托管协议》； </w:t>
      </w:r>
    </w:p>
    <w:p>
      <w:pPr>
        <w:spacing w:before="29" w:line="288" w:lineRule="auto"/>
        <w:ind w:firstLine="480" w:firstLineChars="200"/>
        <w:rPr>
          <w:color w:val="000000"/>
          <w:sz w:val="24"/>
          <w:szCs w:val="24"/>
        </w:rPr>
      </w:pPr>
      <w:r>
        <w:rPr>
          <w:color w:val="000000"/>
          <w:sz w:val="24"/>
          <w:szCs w:val="24"/>
        </w:rPr>
        <w:t>5、基金管理人业务资格批件、营业执照；</w:t>
      </w:r>
    </w:p>
    <w:p>
      <w:pPr>
        <w:spacing w:before="29" w:line="288" w:lineRule="auto"/>
        <w:ind w:firstLine="480" w:firstLineChars="200"/>
        <w:rPr>
          <w:color w:val="000000"/>
          <w:sz w:val="24"/>
          <w:szCs w:val="24"/>
        </w:rPr>
      </w:pPr>
      <w:r>
        <w:rPr>
          <w:color w:val="000000"/>
          <w:sz w:val="24"/>
          <w:szCs w:val="24"/>
        </w:rPr>
        <w:t>6、基金托管人业务资格批件、营业执照；</w:t>
      </w:r>
    </w:p>
    <w:p>
      <w:pPr>
        <w:spacing w:before="29" w:line="288" w:lineRule="auto"/>
        <w:ind w:firstLine="480" w:firstLineChars="200"/>
        <w:rPr>
          <w:color w:val="000000"/>
          <w:sz w:val="24"/>
          <w:szCs w:val="24"/>
        </w:rPr>
      </w:pPr>
      <w:r>
        <w:rPr>
          <w:color w:val="000000"/>
          <w:sz w:val="24"/>
          <w:szCs w:val="24"/>
        </w:rPr>
        <w:t>7、关于申请募集交银施罗德信用添利债券证券投资基金之法律意见书；</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8、报告期内交银施罗德信用添利债券证券投资基金在指定报刊上各项公告的原稿。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交银施罗德信用添利债券证券投资基金（LOF）2020年第3季度报告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