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交银施罗德增利增强债券型证券投资基金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中国建设银行股份有限公司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二〇二〇年十月二十八日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基金托管人中国建设银行股份有限公司根据本基金合同规定，于2020年10月27日复核了本报告中的财务指标、净值表现和投资组合报告等内容，保证复核内容不存在虚假记载、误导性陈述或者重大遗漏。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交银增利增强债券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004427</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2017年6月2日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29,537,371.89</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本基金以债券投资为主，通过自上而下进行宏观分析，自下而上精选个券，在严格控制风险的前提下，力争实现基金资产的长期稳定增值。</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大类资产比例。本基金自上而下决定债券组合久期、期限结构配置及债券类属配置；在严谨深入的信用分析基础上，综合考量信用债券的信用评级，以及各类债券的流动性、供求关系和收益率水平等，自下而上地精选个券。通过综合运用骑乘操作、套利操作等策略，提高投资组合收益。此外，本基金深度关注股票、权证市场的运行状况与相应风险收益特征，在严格控制基金资产运作风险的前提下，有效把握投资机会，适时增强组合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交银增利增强债券A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交银增利增强债券C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004427</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004428</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21,423,328.96</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8,114,042.93</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(2020年7月1日-2020年9月30日)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交银增利增强债券A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交银增利增强债券C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1,420,521.54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753,680.31</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1,780,545.38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482,374.54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0.0974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0.0565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29,558,904.42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11,066,209.85</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1.3798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1.3638</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交银增利增强债券A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10.21%</w:t>
            </w:r>
          </w:p>
        </w:tc>
        <w:tc>
          <w:tcPr>
            <w:vAlign w:val="center"/>
          </w:tcPr>
          <w:p>
            <w:pPr>
              <w:jc w:val="center"/>
            </w:pPr>
            <w:r>
              <w:rPr>
                <w:color w:val="000000"/>
                <w:sz w:val="24"/>
              </w:rPr>
              <w:t>1.06%</w:t>
            </w:r>
          </w:p>
        </w:tc>
        <w:tc>
          <w:tcPr>
            <w:vAlign w:val="center"/>
          </w:tcPr>
          <w:p>
            <w:pPr>
              <w:jc w:val="center"/>
            </w:pPr>
            <w:r>
              <w:rPr>
                <w:color w:val="000000"/>
                <w:sz w:val="24"/>
              </w:rPr>
              <w:t>-1.48%</w:t>
            </w:r>
          </w:p>
        </w:tc>
        <w:tc>
          <w:tcPr>
            <w:vAlign w:val="center"/>
          </w:tcPr>
          <w:p>
            <w:pPr>
              <w:jc w:val="center"/>
            </w:pPr>
            <w:r>
              <w:rPr>
                <w:color w:val="000000"/>
                <w:sz w:val="24"/>
              </w:rPr>
              <w:t>0.08%</w:t>
            </w:r>
          </w:p>
        </w:tc>
        <w:tc>
          <w:tcPr>
            <w:vAlign w:val="center"/>
          </w:tcPr>
          <w:p>
            <w:pPr>
              <w:jc w:val="center"/>
            </w:pPr>
            <w:r>
              <w:rPr>
                <w:color w:val="000000"/>
                <w:sz w:val="24"/>
              </w:rPr>
              <w:t>11.69%</w:t>
            </w:r>
          </w:p>
        </w:tc>
        <w:tc>
          <w:tcPr>
            <w:vAlign w:val="center"/>
          </w:tcPr>
          <w:p>
            <w:pPr>
              <w:jc w:val="center"/>
            </w:pPr>
            <w:r>
              <w:rPr>
                <w:color w:val="000000"/>
                <w:sz w:val="24"/>
              </w:rPr>
              <w:t>0.98%</w:t>
            </w:r>
          </w:p>
        </w:tc>
      </w:tr>
      <w:tr>
        <w:tc>
          <w:tcPr>
            <w:vAlign w:val="center"/>
          </w:tcPr>
          <w:p>
            <w:pPr>
              <w:jc w:val="left"/>
            </w:pPr>
            <w:r>
              <w:rPr>
                <w:color w:val="000000"/>
                <w:sz w:val="24"/>
              </w:rPr>
              <w:t>过去六个月</w:t>
            </w:r>
          </w:p>
        </w:tc>
        <w:tc>
          <w:tcPr>
            <w:vAlign w:val="center"/>
          </w:tcPr>
          <w:p>
            <w:pPr>
              <w:jc w:val="center"/>
            </w:pPr>
            <w:r>
              <w:rPr>
                <w:color w:val="000000"/>
                <w:sz w:val="24"/>
              </w:rPr>
              <w:t>12.82%</w:t>
            </w:r>
          </w:p>
        </w:tc>
        <w:tc>
          <w:tcPr>
            <w:vAlign w:val="center"/>
          </w:tcPr>
          <w:p>
            <w:pPr>
              <w:jc w:val="center"/>
            </w:pPr>
            <w:r>
              <w:rPr>
                <w:color w:val="000000"/>
                <w:sz w:val="24"/>
              </w:rPr>
              <w:t>0.84%</w:t>
            </w:r>
          </w:p>
        </w:tc>
        <w:tc>
          <w:tcPr>
            <w:vAlign w:val="center"/>
          </w:tcPr>
          <w:p>
            <w:pPr>
              <w:jc w:val="center"/>
            </w:pPr>
            <w:r>
              <w:rPr>
                <w:color w:val="000000"/>
                <w:sz w:val="24"/>
              </w:rPr>
              <w:t>-2.50%</w:t>
            </w:r>
          </w:p>
        </w:tc>
        <w:tc>
          <w:tcPr>
            <w:vAlign w:val="center"/>
          </w:tcPr>
          <w:p>
            <w:pPr>
              <w:jc w:val="center"/>
            </w:pPr>
            <w:r>
              <w:rPr>
                <w:color w:val="000000"/>
                <w:sz w:val="24"/>
              </w:rPr>
              <w:t>0.10%</w:t>
            </w:r>
          </w:p>
        </w:tc>
        <w:tc>
          <w:tcPr>
            <w:vAlign w:val="center"/>
          </w:tcPr>
          <w:p>
            <w:pPr>
              <w:jc w:val="center"/>
            </w:pPr>
            <w:r>
              <w:rPr>
                <w:color w:val="000000"/>
                <w:sz w:val="24"/>
              </w:rPr>
              <w:t>15.32%</w:t>
            </w:r>
          </w:p>
        </w:tc>
        <w:tc>
          <w:tcPr>
            <w:vAlign w:val="center"/>
          </w:tcPr>
          <w:p>
            <w:pPr>
              <w:jc w:val="center"/>
            </w:pPr>
            <w:r>
              <w:rPr>
                <w:color w:val="000000"/>
                <w:sz w:val="24"/>
              </w:rPr>
              <w:t>0.74%</w:t>
            </w:r>
          </w:p>
        </w:tc>
      </w:tr>
      <w:tr>
        <w:tc>
          <w:tcPr>
            <w:vAlign w:val="center"/>
          </w:tcPr>
          <w:p>
            <w:pPr>
              <w:jc w:val="left"/>
            </w:pPr>
            <w:r>
              <w:rPr>
                <w:color w:val="000000"/>
                <w:sz w:val="24"/>
              </w:rPr>
              <w:t>过去一年</w:t>
            </w:r>
          </w:p>
        </w:tc>
        <w:tc>
          <w:tcPr>
            <w:vAlign w:val="center"/>
          </w:tcPr>
          <w:p>
            <w:pPr>
              <w:jc w:val="center"/>
            </w:pPr>
            <w:r>
              <w:rPr>
                <w:color w:val="000000"/>
                <w:sz w:val="24"/>
              </w:rPr>
              <w:t>18.85%</w:t>
            </w:r>
          </w:p>
        </w:tc>
        <w:tc>
          <w:tcPr>
            <w:vAlign w:val="center"/>
          </w:tcPr>
          <w:p>
            <w:pPr>
              <w:jc w:val="center"/>
            </w:pPr>
            <w:r>
              <w:rPr>
                <w:color w:val="000000"/>
                <w:sz w:val="24"/>
              </w:rPr>
              <w:t>0.75%</w:t>
            </w:r>
          </w:p>
        </w:tc>
        <w:tc>
          <w:tcPr>
            <w:vAlign w:val="center"/>
          </w:tcPr>
          <w:p>
            <w:pPr>
              <w:jc w:val="center"/>
            </w:pPr>
            <w:r>
              <w:rPr>
                <w:color w:val="000000"/>
                <w:sz w:val="24"/>
              </w:rPr>
              <w:t>-0.08%</w:t>
            </w:r>
          </w:p>
        </w:tc>
        <w:tc>
          <w:tcPr>
            <w:vAlign w:val="center"/>
          </w:tcPr>
          <w:p>
            <w:pPr>
              <w:jc w:val="center"/>
            </w:pPr>
            <w:r>
              <w:rPr>
                <w:color w:val="000000"/>
                <w:sz w:val="24"/>
              </w:rPr>
              <w:t>0.09%</w:t>
            </w:r>
          </w:p>
        </w:tc>
        <w:tc>
          <w:tcPr>
            <w:vAlign w:val="center"/>
          </w:tcPr>
          <w:p>
            <w:pPr>
              <w:jc w:val="center"/>
            </w:pPr>
            <w:r>
              <w:rPr>
                <w:color w:val="000000"/>
                <w:sz w:val="24"/>
              </w:rPr>
              <w:t>18.93%</w:t>
            </w:r>
          </w:p>
        </w:tc>
        <w:tc>
          <w:tcPr>
            <w:vAlign w:val="center"/>
          </w:tcPr>
          <w:p>
            <w:pPr>
              <w:jc w:val="center"/>
            </w:pPr>
            <w:r>
              <w:rPr>
                <w:color w:val="000000"/>
                <w:sz w:val="24"/>
              </w:rPr>
              <w:t>0.66%</w:t>
            </w:r>
          </w:p>
        </w:tc>
      </w:tr>
      <w:tr>
        <w:tc>
          <w:tcPr>
            <w:vAlign w:val="center"/>
          </w:tcPr>
          <w:p>
            <w:pPr>
              <w:jc w:val="left"/>
            </w:pPr>
            <w:r>
              <w:rPr>
                <w:color w:val="000000"/>
                <w:sz w:val="24"/>
              </w:rPr>
              <w:t>过去三年</w:t>
            </w:r>
          </w:p>
        </w:tc>
        <w:tc>
          <w:tcPr>
            <w:vAlign w:val="center"/>
          </w:tcPr>
          <w:p>
            <w:pPr>
              <w:jc w:val="center"/>
            </w:pPr>
            <w:r>
              <w:rPr>
                <w:color w:val="000000"/>
                <w:sz w:val="24"/>
              </w:rPr>
              <w:t>35.41%</w:t>
            </w:r>
          </w:p>
        </w:tc>
        <w:tc>
          <w:tcPr>
            <w:vAlign w:val="center"/>
          </w:tcPr>
          <w:p>
            <w:pPr>
              <w:jc w:val="center"/>
            </w:pPr>
            <w:r>
              <w:rPr>
                <w:color w:val="000000"/>
                <w:sz w:val="24"/>
              </w:rPr>
              <w:t>0.52%</w:t>
            </w:r>
          </w:p>
        </w:tc>
        <w:tc>
          <w:tcPr>
            <w:vAlign w:val="center"/>
          </w:tcPr>
          <w:p>
            <w:pPr>
              <w:jc w:val="center"/>
            </w:pPr>
            <w:r>
              <w:rPr>
                <w:color w:val="000000"/>
                <w:sz w:val="24"/>
              </w:rPr>
              <w:t>4.21%</w:t>
            </w:r>
          </w:p>
        </w:tc>
        <w:tc>
          <w:tcPr>
            <w:vAlign w:val="center"/>
          </w:tcPr>
          <w:p>
            <w:pPr>
              <w:jc w:val="center"/>
            </w:pPr>
            <w:r>
              <w:rPr>
                <w:color w:val="000000"/>
                <w:sz w:val="24"/>
              </w:rPr>
              <w:t>0.07%</w:t>
            </w:r>
          </w:p>
        </w:tc>
        <w:tc>
          <w:tcPr>
            <w:vAlign w:val="center"/>
          </w:tcPr>
          <w:p>
            <w:pPr>
              <w:jc w:val="center"/>
            </w:pPr>
            <w:r>
              <w:rPr>
                <w:color w:val="000000"/>
                <w:sz w:val="24"/>
              </w:rPr>
              <w:t>31.20%</w:t>
            </w:r>
          </w:p>
        </w:tc>
        <w:tc>
          <w:tcPr>
            <w:vAlign w:val="center"/>
          </w:tcPr>
          <w:p>
            <w:pPr>
              <w:jc w:val="center"/>
            </w:pPr>
            <w:r>
              <w:rPr>
                <w:color w:val="000000"/>
                <w:sz w:val="24"/>
              </w:rPr>
              <w:t>0.45%</w:t>
            </w:r>
          </w:p>
        </w:tc>
      </w:tr>
      <w:tr>
        <w:tc>
          <w:tcPr>
            <w:vAlign w:val="center"/>
          </w:tcPr>
          <w:p>
            <w:pPr>
              <w:jc w:val="left"/>
            </w:pPr>
            <w:r>
              <w:rPr>
                <w:color w:val="000000"/>
                <w:sz w:val="24"/>
              </w:rPr>
              <w:t>自基金合同生效至今</w:t>
            </w:r>
          </w:p>
        </w:tc>
        <w:tc>
          <w:tcPr>
            <w:vAlign w:val="center"/>
          </w:tcPr>
          <w:p>
            <w:pPr>
              <w:jc w:val="center"/>
            </w:pPr>
            <w:r>
              <w:rPr>
                <w:color w:val="000000"/>
                <w:sz w:val="24"/>
              </w:rPr>
              <w:t>37.98%</w:t>
            </w:r>
          </w:p>
        </w:tc>
        <w:tc>
          <w:tcPr>
            <w:vAlign w:val="center"/>
          </w:tcPr>
          <w:p>
            <w:pPr>
              <w:jc w:val="center"/>
            </w:pPr>
            <w:r>
              <w:rPr>
                <w:color w:val="000000"/>
                <w:sz w:val="24"/>
              </w:rPr>
              <w:t>0.49%</w:t>
            </w:r>
          </w:p>
        </w:tc>
        <w:tc>
          <w:tcPr>
            <w:vAlign w:val="center"/>
          </w:tcPr>
          <w:p>
            <w:pPr>
              <w:jc w:val="center"/>
            </w:pPr>
            <w:r>
              <w:rPr>
                <w:color w:val="000000"/>
                <w:sz w:val="24"/>
              </w:rPr>
              <w:t>4.98%</w:t>
            </w:r>
          </w:p>
        </w:tc>
        <w:tc>
          <w:tcPr>
            <w:vAlign w:val="center"/>
          </w:tcPr>
          <w:p>
            <w:pPr>
              <w:jc w:val="center"/>
            </w:pPr>
            <w:r>
              <w:rPr>
                <w:color w:val="000000"/>
                <w:sz w:val="24"/>
              </w:rPr>
              <w:t>0.07%</w:t>
            </w:r>
          </w:p>
        </w:tc>
        <w:tc>
          <w:tcPr>
            <w:vAlign w:val="center"/>
          </w:tcPr>
          <w:p>
            <w:pPr>
              <w:jc w:val="center"/>
            </w:pPr>
            <w:r>
              <w:rPr>
                <w:color w:val="000000"/>
                <w:sz w:val="24"/>
              </w:rPr>
              <w:t>33.00%</w:t>
            </w:r>
          </w:p>
        </w:tc>
        <w:tc>
          <w:tcPr>
            <w:vAlign w:val="center"/>
          </w:tcPr>
          <w:p>
            <w:pPr>
              <w:jc w:val="center"/>
            </w:pPr>
            <w:r>
              <w:rPr>
                <w:color w:val="000000"/>
                <w:sz w:val="24"/>
              </w:rPr>
              <w:t>0.42%</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交银增利增强债券C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10.07%</w:t>
            </w:r>
          </w:p>
        </w:tc>
        <w:tc>
          <w:tcPr>
            <w:vAlign w:val="center"/>
          </w:tcPr>
          <w:p>
            <w:pPr>
              <w:jc w:val="center"/>
            </w:pPr>
            <w:r>
              <w:rPr>
                <w:color w:val="000000"/>
                <w:sz w:val="24"/>
              </w:rPr>
              <w:t>1.06%</w:t>
            </w:r>
          </w:p>
        </w:tc>
        <w:tc>
          <w:tcPr>
            <w:vAlign w:val="center"/>
          </w:tcPr>
          <w:p>
            <w:pPr>
              <w:jc w:val="center"/>
            </w:pPr>
            <w:r>
              <w:rPr>
                <w:color w:val="000000"/>
                <w:sz w:val="24"/>
              </w:rPr>
              <w:t>-1.48%</w:t>
            </w:r>
          </w:p>
        </w:tc>
        <w:tc>
          <w:tcPr>
            <w:vAlign w:val="center"/>
          </w:tcPr>
          <w:p>
            <w:pPr>
              <w:jc w:val="center"/>
            </w:pPr>
            <w:r>
              <w:rPr>
                <w:color w:val="000000"/>
                <w:sz w:val="24"/>
              </w:rPr>
              <w:t>0.08%</w:t>
            </w:r>
          </w:p>
        </w:tc>
        <w:tc>
          <w:tcPr>
            <w:vAlign w:val="center"/>
          </w:tcPr>
          <w:p>
            <w:pPr>
              <w:jc w:val="center"/>
            </w:pPr>
            <w:r>
              <w:rPr>
                <w:color w:val="000000"/>
                <w:sz w:val="24"/>
              </w:rPr>
              <w:t>11.55%</w:t>
            </w:r>
          </w:p>
        </w:tc>
        <w:tc>
          <w:tcPr>
            <w:vAlign w:val="center"/>
          </w:tcPr>
          <w:p>
            <w:pPr>
              <w:jc w:val="center"/>
            </w:pPr>
            <w:r>
              <w:rPr>
                <w:color w:val="000000"/>
                <w:sz w:val="24"/>
              </w:rPr>
              <w:t>0.98%</w:t>
            </w:r>
          </w:p>
        </w:tc>
      </w:tr>
      <w:tr>
        <w:tc>
          <w:tcPr>
            <w:vAlign w:val="center"/>
          </w:tcPr>
          <w:p>
            <w:pPr>
              <w:jc w:val="left"/>
            </w:pPr>
            <w:r>
              <w:rPr>
                <w:color w:val="000000"/>
                <w:sz w:val="24"/>
              </w:rPr>
              <w:t>过去六个月</w:t>
            </w:r>
          </w:p>
        </w:tc>
        <w:tc>
          <w:tcPr>
            <w:vAlign w:val="center"/>
          </w:tcPr>
          <w:p>
            <w:pPr>
              <w:jc w:val="center"/>
            </w:pPr>
            <w:r>
              <w:rPr>
                <w:color w:val="000000"/>
                <w:sz w:val="24"/>
              </w:rPr>
              <w:t>12.62%</w:t>
            </w:r>
          </w:p>
        </w:tc>
        <w:tc>
          <w:tcPr>
            <w:vAlign w:val="center"/>
          </w:tcPr>
          <w:p>
            <w:pPr>
              <w:jc w:val="center"/>
            </w:pPr>
            <w:r>
              <w:rPr>
                <w:color w:val="000000"/>
                <w:sz w:val="24"/>
              </w:rPr>
              <w:t>0.84%</w:t>
            </w:r>
          </w:p>
        </w:tc>
        <w:tc>
          <w:tcPr>
            <w:vAlign w:val="center"/>
          </w:tcPr>
          <w:p>
            <w:pPr>
              <w:jc w:val="center"/>
            </w:pPr>
            <w:r>
              <w:rPr>
                <w:color w:val="000000"/>
                <w:sz w:val="24"/>
              </w:rPr>
              <w:t>-2.50%</w:t>
            </w:r>
          </w:p>
        </w:tc>
        <w:tc>
          <w:tcPr>
            <w:vAlign w:val="center"/>
          </w:tcPr>
          <w:p>
            <w:pPr>
              <w:jc w:val="center"/>
            </w:pPr>
            <w:r>
              <w:rPr>
                <w:color w:val="000000"/>
                <w:sz w:val="24"/>
              </w:rPr>
              <w:t>0.10%</w:t>
            </w:r>
          </w:p>
        </w:tc>
        <w:tc>
          <w:tcPr>
            <w:vAlign w:val="center"/>
          </w:tcPr>
          <w:p>
            <w:pPr>
              <w:jc w:val="center"/>
            </w:pPr>
            <w:r>
              <w:rPr>
                <w:color w:val="000000"/>
                <w:sz w:val="24"/>
              </w:rPr>
              <w:t>15.12%</w:t>
            </w:r>
          </w:p>
        </w:tc>
        <w:tc>
          <w:tcPr>
            <w:vAlign w:val="center"/>
          </w:tcPr>
          <w:p>
            <w:pPr>
              <w:jc w:val="center"/>
            </w:pPr>
            <w:r>
              <w:rPr>
                <w:color w:val="000000"/>
                <w:sz w:val="24"/>
              </w:rPr>
              <w:t>0.74%</w:t>
            </w:r>
          </w:p>
        </w:tc>
      </w:tr>
      <w:tr>
        <w:tc>
          <w:tcPr>
            <w:vAlign w:val="center"/>
          </w:tcPr>
          <w:p>
            <w:pPr>
              <w:jc w:val="left"/>
            </w:pPr>
            <w:r>
              <w:rPr>
                <w:color w:val="000000"/>
                <w:sz w:val="24"/>
              </w:rPr>
              <w:t>过去一年</w:t>
            </w:r>
          </w:p>
        </w:tc>
        <w:tc>
          <w:tcPr>
            <w:vAlign w:val="center"/>
          </w:tcPr>
          <w:p>
            <w:pPr>
              <w:jc w:val="center"/>
            </w:pPr>
            <w:r>
              <w:rPr>
                <w:color w:val="000000"/>
                <w:sz w:val="24"/>
              </w:rPr>
              <w:t>18.28%</w:t>
            </w:r>
          </w:p>
        </w:tc>
        <w:tc>
          <w:tcPr>
            <w:vAlign w:val="center"/>
          </w:tcPr>
          <w:p>
            <w:pPr>
              <w:jc w:val="center"/>
            </w:pPr>
            <w:r>
              <w:rPr>
                <w:color w:val="000000"/>
                <w:sz w:val="24"/>
              </w:rPr>
              <w:t>0.75%</w:t>
            </w:r>
          </w:p>
        </w:tc>
        <w:tc>
          <w:tcPr>
            <w:vAlign w:val="center"/>
          </w:tcPr>
          <w:p>
            <w:pPr>
              <w:jc w:val="center"/>
            </w:pPr>
            <w:r>
              <w:rPr>
                <w:color w:val="000000"/>
                <w:sz w:val="24"/>
              </w:rPr>
              <w:t>-0.08%</w:t>
            </w:r>
          </w:p>
        </w:tc>
        <w:tc>
          <w:tcPr>
            <w:vAlign w:val="center"/>
          </w:tcPr>
          <w:p>
            <w:pPr>
              <w:jc w:val="center"/>
            </w:pPr>
            <w:r>
              <w:rPr>
                <w:color w:val="000000"/>
                <w:sz w:val="24"/>
              </w:rPr>
              <w:t>0.09%</w:t>
            </w:r>
          </w:p>
        </w:tc>
        <w:tc>
          <w:tcPr>
            <w:vAlign w:val="center"/>
          </w:tcPr>
          <w:p>
            <w:pPr>
              <w:jc w:val="center"/>
            </w:pPr>
            <w:r>
              <w:rPr>
                <w:color w:val="000000"/>
                <w:sz w:val="24"/>
              </w:rPr>
              <w:t>18.36%</w:t>
            </w:r>
          </w:p>
        </w:tc>
        <w:tc>
          <w:tcPr>
            <w:vAlign w:val="center"/>
          </w:tcPr>
          <w:p>
            <w:pPr>
              <w:jc w:val="center"/>
            </w:pPr>
            <w:r>
              <w:rPr>
                <w:color w:val="000000"/>
                <w:sz w:val="24"/>
              </w:rPr>
              <w:t>0.66%</w:t>
            </w:r>
          </w:p>
        </w:tc>
      </w:tr>
      <w:tr>
        <w:tc>
          <w:tcPr>
            <w:vAlign w:val="center"/>
          </w:tcPr>
          <w:p>
            <w:pPr>
              <w:jc w:val="left"/>
            </w:pPr>
            <w:r>
              <w:rPr>
                <w:color w:val="000000"/>
                <w:sz w:val="24"/>
              </w:rPr>
              <w:t>过去三年</w:t>
            </w:r>
          </w:p>
        </w:tc>
        <w:tc>
          <w:tcPr>
            <w:vAlign w:val="center"/>
          </w:tcPr>
          <w:p>
            <w:pPr>
              <w:jc w:val="center"/>
            </w:pPr>
            <w:r>
              <w:rPr>
                <w:color w:val="000000"/>
                <w:sz w:val="24"/>
              </w:rPr>
              <w:t>33.84%</w:t>
            </w:r>
          </w:p>
        </w:tc>
        <w:tc>
          <w:tcPr>
            <w:vAlign w:val="center"/>
          </w:tcPr>
          <w:p>
            <w:pPr>
              <w:jc w:val="center"/>
            </w:pPr>
            <w:r>
              <w:rPr>
                <w:color w:val="000000"/>
                <w:sz w:val="24"/>
              </w:rPr>
              <w:t>0.52%</w:t>
            </w:r>
          </w:p>
        </w:tc>
        <w:tc>
          <w:tcPr>
            <w:vAlign w:val="center"/>
          </w:tcPr>
          <w:p>
            <w:pPr>
              <w:jc w:val="center"/>
            </w:pPr>
            <w:r>
              <w:rPr>
                <w:color w:val="000000"/>
                <w:sz w:val="24"/>
              </w:rPr>
              <w:t>4.21%</w:t>
            </w:r>
          </w:p>
        </w:tc>
        <w:tc>
          <w:tcPr>
            <w:vAlign w:val="center"/>
          </w:tcPr>
          <w:p>
            <w:pPr>
              <w:jc w:val="center"/>
            </w:pPr>
            <w:r>
              <w:rPr>
                <w:color w:val="000000"/>
                <w:sz w:val="24"/>
              </w:rPr>
              <w:t>0.07%</w:t>
            </w:r>
          </w:p>
        </w:tc>
        <w:tc>
          <w:tcPr>
            <w:vAlign w:val="center"/>
          </w:tcPr>
          <w:p>
            <w:pPr>
              <w:jc w:val="center"/>
            </w:pPr>
            <w:r>
              <w:rPr>
                <w:color w:val="000000"/>
                <w:sz w:val="24"/>
              </w:rPr>
              <w:t>29.63%</w:t>
            </w:r>
          </w:p>
        </w:tc>
        <w:tc>
          <w:tcPr>
            <w:vAlign w:val="center"/>
          </w:tcPr>
          <w:p>
            <w:pPr>
              <w:jc w:val="center"/>
            </w:pPr>
            <w:r>
              <w:rPr>
                <w:color w:val="000000"/>
                <w:sz w:val="24"/>
              </w:rPr>
              <w:t>0.45%</w:t>
            </w:r>
          </w:p>
        </w:tc>
      </w:tr>
      <w:tr>
        <w:tc>
          <w:tcPr>
            <w:vAlign w:val="center"/>
          </w:tcPr>
          <w:p>
            <w:pPr>
              <w:jc w:val="left"/>
            </w:pPr>
            <w:r>
              <w:rPr>
                <w:color w:val="000000"/>
                <w:sz w:val="24"/>
              </w:rPr>
              <w:t>自基金合同生效至今</w:t>
            </w:r>
          </w:p>
        </w:tc>
        <w:tc>
          <w:tcPr>
            <w:vAlign w:val="center"/>
          </w:tcPr>
          <w:p>
            <w:pPr>
              <w:jc w:val="center"/>
            </w:pPr>
            <w:r>
              <w:rPr>
                <w:color w:val="000000"/>
                <w:sz w:val="24"/>
              </w:rPr>
              <w:t>36.38%</w:t>
            </w:r>
          </w:p>
        </w:tc>
        <w:tc>
          <w:tcPr>
            <w:vAlign w:val="center"/>
          </w:tcPr>
          <w:p>
            <w:pPr>
              <w:jc w:val="center"/>
            </w:pPr>
            <w:r>
              <w:rPr>
                <w:color w:val="000000"/>
                <w:sz w:val="24"/>
              </w:rPr>
              <w:t>0.49%</w:t>
            </w:r>
          </w:p>
        </w:tc>
        <w:tc>
          <w:tcPr>
            <w:vAlign w:val="center"/>
          </w:tcPr>
          <w:p>
            <w:pPr>
              <w:jc w:val="center"/>
            </w:pPr>
            <w:r>
              <w:rPr>
                <w:color w:val="000000"/>
                <w:sz w:val="24"/>
              </w:rPr>
              <w:t>4.98%</w:t>
            </w:r>
          </w:p>
        </w:tc>
        <w:tc>
          <w:tcPr>
            <w:vAlign w:val="center"/>
          </w:tcPr>
          <w:p>
            <w:pPr>
              <w:jc w:val="center"/>
            </w:pPr>
            <w:r>
              <w:rPr>
                <w:color w:val="000000"/>
                <w:sz w:val="24"/>
              </w:rPr>
              <w:t>0.07%</w:t>
            </w:r>
          </w:p>
        </w:tc>
        <w:tc>
          <w:tcPr>
            <w:vAlign w:val="center"/>
          </w:tcPr>
          <w:p>
            <w:pPr>
              <w:jc w:val="center"/>
            </w:pPr>
            <w:r>
              <w:rPr>
                <w:color w:val="000000"/>
                <w:sz w:val="24"/>
              </w:rPr>
              <w:t>31.40%</w:t>
            </w:r>
          </w:p>
        </w:tc>
        <w:tc>
          <w:tcPr>
            <w:vAlign w:val="center"/>
          </w:tcPr>
          <w:p>
            <w:pPr>
              <w:jc w:val="center"/>
            </w:pPr>
            <w:r>
              <w:rPr>
                <w:color w:val="000000"/>
                <w:sz w:val="24"/>
              </w:rPr>
              <w:t>0.42%</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交银施罗德增利增强债券型证券投资基金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2017年6月2日</w:t>
      </w:r>
      <w:r w:rsidR="009A045B" w:rsidRPr="007F52FA">
        <w:rPr>
          <w:rFonts w:ascii="Times New Roman" w:hAnsi="Times New Roman"/>
          <w:sz w:val="24"/>
          <w:szCs w:val="24"/>
        </w:rPr>
        <w:t>至</w:t>
      </w:r>
      <w:r w:rsidRPr="007F52FA">
        <w:rPr>
          <w:rFonts w:ascii="Times New Roman" w:hAnsi="Times New Roman"/>
          <w:sz w:val="24"/>
          <w:szCs w:val="24"/>
        </w:rPr>
        <w:t>2020年9月30日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交银增利增强债券A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交银增利增强债券C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凌超</w:t>
            </w:r>
          </w:p>
        </w:tc>
        <w:tc>
          <w:tcPr>
            <w:vAlign w:val="center"/>
          </w:tcPr>
          <w:p>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rPr>
              <w:t>2018-02-13</w:t>
            </w:r>
          </w:p>
        </w:tc>
        <w:tc>
          <w:tcPr>
            <w:vAlign w:val="center"/>
          </w:tcPr>
          <w:p>
            <w:pPr>
              <w:jc w:val="center"/>
            </w:pPr>
            <w:r>
              <w:rPr>
                <w:color w:val="000000"/>
                <w:sz w:val="24"/>
              </w:rPr>
              <w:t>2020-07-23</w:t>
            </w:r>
          </w:p>
        </w:tc>
        <w:tc>
          <w:tcPr>
            <w:vAlign w:val="center"/>
          </w:tcPr>
          <w:p>
            <w:pPr>
              <w:jc w:val="center"/>
            </w:pPr>
            <w:r>
              <w:rPr>
                <w:color w:val="000000"/>
                <w:sz w:val="24"/>
              </w:rPr>
              <w:t>14年</w:t>
            </w:r>
          </w:p>
        </w:tc>
        <w:tc>
          <w:tcPr>
            <w:vAlign w:val="center"/>
          </w:tcPr>
          <w:p>
            <w:pPr>
              <w:jc w:val="both"/>
            </w:pPr>
            <w:r>
              <w:rPr>
                <w:color w:val="000000"/>
                <w:sz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2018年2月13日至2020年7月22日担任交银施罗德定期支付月月丰债券型证券投资基金、交银施罗德增强收益债券型证券投资基金（原交银荣泰保本）、交银施罗德强化回报债券型证券投资基金、交银施罗德增利增强债券型证券投资基金的基金经理。2019年2月28日至2020年7月22日担任交银施罗德稳固收益债券型证券投资基金（原交银荣祥保本)的基金经理。2019年7月20日至2020年7月22日担任交银施罗德周期回报灵活配置混合型证券投资基金、交银施罗德新回报灵活配置混合型证券投资基金、交银施罗德多策略回报灵活配置混合型证券投资基金、交银施罗德优选回报灵活配置混合型证券投资基金、交银施罗德优择回报灵活配置混合型证券投资基金、交银施罗德瑞鑫定期开放灵活配置混合型证券投资基金、交银施罗德恒益灵活配置混合型证券投资基金、交银施罗德裕祥纯债债券型证券投资基金的基金经理。</w:t>
            </w:r>
          </w:p>
        </w:tc>
      </w:tr>
      <w:tr>
        <w:tc>
          <w:tcPr>
            <w:vAlign w:val="center"/>
          </w:tcPr>
          <w:p>
            <w:pPr>
              <w:jc w:val="center"/>
            </w:pPr>
            <w:r>
              <w:rPr>
                <w:color w:val="000000"/>
                <w:sz w:val="24"/>
              </w:rPr>
              <w:t>魏玉敏</w:t>
            </w:r>
          </w:p>
        </w:tc>
        <w:tc>
          <w:tcPr>
            <w:vAlign w:val="center"/>
          </w:tcPr>
          <w:p>
            <w:pPr>
              <w:jc w:val="center"/>
            </w:pPr>
            <w:r>
              <w:rPr>
                <w:color w:val="000000"/>
                <w:sz w:val="24"/>
              </w:rPr>
              <w:t>交银增利债券、交银纯债债券发起、交银丰润收益债券、交银增利增强债券、交银丰晟收益债券、交银裕如纯债债券、交银中债1-3年农发债指数、交银可转债债券、交银裕泰两年定期开放债券的基金经理</w:t>
            </w:r>
          </w:p>
        </w:tc>
        <w:tc>
          <w:tcPr>
            <w:vAlign w:val="center"/>
          </w:tcPr>
          <w:p>
            <w:pPr>
              <w:jc w:val="center"/>
            </w:pPr>
            <w:r>
              <w:rPr>
                <w:color w:val="000000"/>
                <w:sz w:val="24"/>
              </w:rPr>
              <w:t>2018-11-02</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魏玉敏女士，厦门大学金融学硕士、学士。2012年至2013年任招商证券固定收益研究员，2013年至2016年任国信证券固定收益高级分析师。2016年加入交银施罗德基金管理有限公司，历任基金经理助理。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债券市场方面，回顾2020年三季度，债券收益率整体呈现震荡上行的趋势，经济复苏预期下叠加货币政策回归中性，资金面呈现出阶段性紧张局面，债券市场弱势震荡。具体来看，本季度初，周期类股票上涨强化了经济复苏预期，同时央行公开市场操作持续净回笼传递货币政策偏紧预期，特别国债发行导致供给压力增大，债券市场延续弱势调整。季度中期，债市在配置资金和避险情绪催化下开启一波反弹行情。进入季度末，在超储率低位的情况下，资金面持续维持平衡偏紧格局，银行负债压力加大，存单发行利率不断上行，带动曲线平坦化上行。</w:t>
      </w:r>
    </w:p>
    <w:p>
      <w:pPr>
        <w:spacing w:before="29" w:line="288" w:lineRule="auto"/>
        <w:ind w:firstLine="480" w:firstLineChars="200"/>
        <w:rPr>
          <w:color w:val="000000"/>
          <w:sz w:val="24"/>
        </w:rPr>
      </w:pPr>
      <w:r>
        <w:rPr>
          <w:color w:val="000000"/>
          <w:sz w:val="24"/>
        </w:rPr>
        <w:t>权益市场方面，七月上旬股市加速上行、债市情绪悲观，股债两极分化激发部分机构的再平衡。随后中美再起风波美股高位震荡，A股也同步回调。板块表现来看，前期表现强势的防御性板块在三季度的表现明显逊于二季度。包括A股在内的全球股市的反弹逻辑已从二季度的政策刺激，在三季度转变为对疫情后复苏期基本面的验证。转债指数于七月初随着周期板块上涨上行，后续随着正股回落，缺乏全面机会，只有部分个股机会，转债估值小幅压缩。</w:t>
      </w:r>
    </w:p>
    <w:p>
      <w:pPr>
        <w:spacing w:before="29" w:line="288" w:lineRule="auto"/>
        <w:ind w:firstLine="480" w:firstLineChars="200"/>
        <w:rPr>
          <w:color w:val="000000"/>
          <w:sz w:val="24"/>
        </w:rPr>
      </w:pPr>
      <w:r>
        <w:rPr>
          <w:color w:val="000000"/>
          <w:sz w:val="24"/>
        </w:rPr>
        <w:t>报告期内，本基金由于规模限制，债券配置以利率债和转债为主以保证组合流动性。组合在报告期内维持了较高的转债仓位配置，精选个券增厚组合收益。</w:t>
      </w:r>
    </w:p>
    <w:p>
      <w:pPr>
        <w:spacing w:before="29" w:line="288" w:lineRule="auto"/>
        <w:ind w:firstLine="480" w:firstLineChars="200"/>
        <w:rPr>
          <w:color w:val="000000"/>
          <w:sz w:val="24"/>
        </w:rPr>
      </w:pPr>
      <w:r>
        <w:rPr>
          <w:color w:val="000000"/>
          <w:sz w:val="24"/>
        </w:rPr>
        <w:t>展望2020年四季度，国内基本面恢复的节奏和货币信用的边际变化将成为影响债市的主要因素。短期来看经济延续改善趋势、工业品价格上行压力增大，货币政策回归中性以及银行负债端压力较大等因素影响下，我们认为债券市场将维持震荡上行，趋势性机会仍需要等待。但随着年末供给压力减弱、信用增速放缓以及中美关系不确定性提升，债券市场或存在波段交易机会。在广义流动性相对宽松的温和环境下，股票市场仍有结构性机会，中期逻辑围绕经济回升、盈利改善、政策渐进收敛。</w:t>
      </w:r>
    </w:p>
    <w:p w:rsidP="007C14DF" w:rsidR="00952A72" w:rsidRDefault="00323F25" w:rsidRPr="007F52FA">
      <w:pPr>
        <w:spacing w:before="29" w:line="288" w:lineRule="auto"/>
        <w:ind w:firstLine="480" w:firstLineChars="200"/>
        <w:rPr>
          <w:color w:val="000000"/>
          <w:sz w:val="24"/>
        </w:rPr>
      </w:pPr>
      <w:r w:rsidRPr="007F52FA">
        <w:rPr>
          <w:color w:val="000000"/>
          <w:sz w:val="24"/>
        </w:rPr>
        <w:t>操作策略方面，组合将继续以利率债和转债为主要配置。转债资产方面，整体仓位较此前小幅下降，选择盈利能力好，具有长期逻辑的个券作为重点配置，适当参与低价转债的配置机会。</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本基金本报告期内连续六十个工作日以上出现基金资产净值低于5000万元的情形，截至本报告期末，本基金基金资产净值仍低于5000万元。</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6,100,646.01</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14.79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6,100,646.01</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14.79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33,055,284.19</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80.12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33,055,284.19</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80.12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1,741,548.35</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4.22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361,007.67</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0.87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41,258,486.22</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4,903,103.14</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12.07</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697,751.60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1.72</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193,671.27</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0.48</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184,800.00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0.45</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121,320.00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0.30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6,100,646.01</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15.02</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603816</w:t>
            </w:r>
          </w:p>
        </w:tc>
        <w:tc>
          <w:tcPr>
            <w:vAlign w:val="center"/>
          </w:tcPr>
          <w:p>
            <w:pPr>
              <w:jc w:val="center"/>
            </w:pPr>
            <w:r>
              <w:rPr>
                <w:color w:val="000000"/>
                <w:sz w:val="24"/>
              </w:rPr>
              <w:t>顾家家居</w:t>
            </w:r>
          </w:p>
        </w:tc>
        <w:tc>
          <w:tcPr>
            <w:vAlign w:val="center"/>
          </w:tcPr>
          <w:p>
            <w:pPr>
              <w:jc w:val="right"/>
            </w:pPr>
            <w:r>
              <w:rPr>
                <w:color w:val="000000"/>
                <w:sz w:val="24"/>
              </w:rPr>
              <w:t>15,200</w:t>
            </w:r>
          </w:p>
        </w:tc>
        <w:tc>
          <w:tcPr>
            <w:vAlign w:val="center"/>
          </w:tcPr>
          <w:p>
            <w:pPr>
              <w:jc w:val="right"/>
            </w:pPr>
            <w:r>
              <w:rPr>
                <w:color w:val="000000"/>
                <w:sz w:val="24"/>
              </w:rPr>
              <w:t>916,560.00</w:t>
            </w:r>
          </w:p>
        </w:tc>
        <w:tc>
          <w:tcPr>
            <w:vAlign w:val="center"/>
          </w:tcPr>
          <w:p>
            <w:pPr>
              <w:jc w:val="right"/>
            </w:pPr>
            <w:r>
              <w:rPr>
                <w:color w:val="000000"/>
                <w:sz w:val="24"/>
              </w:rPr>
              <w:t>2.26</w:t>
            </w:r>
          </w:p>
        </w:tc>
      </w:tr>
      <w:tr>
        <w:tc>
          <w:tcPr>
            <w:vAlign w:val="center"/>
          </w:tcPr>
          <w:p>
            <w:pPr>
              <w:jc w:val="center"/>
            </w:pPr>
            <w:r>
              <w:rPr>
                <w:color w:val="000000"/>
                <w:sz w:val="24"/>
              </w:rPr>
              <w:t>2</w:t>
            </w:r>
          </w:p>
        </w:tc>
        <w:tc>
          <w:tcPr>
            <w:vAlign w:val="center"/>
          </w:tcPr>
          <w:p>
            <w:pPr>
              <w:jc w:val="center"/>
            </w:pPr>
            <w:r>
              <w:rPr>
                <w:color w:val="000000"/>
                <w:sz w:val="24"/>
              </w:rPr>
              <w:t>603866</w:t>
            </w:r>
          </w:p>
        </w:tc>
        <w:tc>
          <w:tcPr>
            <w:vAlign w:val="center"/>
          </w:tcPr>
          <w:p>
            <w:pPr>
              <w:jc w:val="center"/>
            </w:pPr>
            <w:r>
              <w:rPr>
                <w:color w:val="000000"/>
                <w:sz w:val="24"/>
              </w:rPr>
              <w:t>桃李面包</w:t>
            </w:r>
          </w:p>
        </w:tc>
        <w:tc>
          <w:tcPr>
            <w:vAlign w:val="center"/>
          </w:tcPr>
          <w:p>
            <w:pPr>
              <w:jc w:val="right"/>
            </w:pPr>
            <w:r>
              <w:rPr>
                <w:color w:val="000000"/>
                <w:sz w:val="24"/>
              </w:rPr>
              <w:t>13,660</w:t>
            </w:r>
          </w:p>
        </w:tc>
        <w:tc>
          <w:tcPr>
            <w:vAlign w:val="center"/>
          </w:tcPr>
          <w:p>
            <w:pPr>
              <w:jc w:val="right"/>
            </w:pPr>
            <w:r>
              <w:rPr>
                <w:color w:val="000000"/>
                <w:sz w:val="24"/>
              </w:rPr>
              <w:t>813,999.40</w:t>
            </w:r>
          </w:p>
        </w:tc>
        <w:tc>
          <w:tcPr>
            <w:vAlign w:val="center"/>
          </w:tcPr>
          <w:p>
            <w:pPr>
              <w:jc w:val="right"/>
            </w:pPr>
            <w:r>
              <w:rPr>
                <w:color w:val="000000"/>
                <w:sz w:val="24"/>
              </w:rPr>
              <w:t>2.00</w:t>
            </w:r>
          </w:p>
        </w:tc>
      </w:tr>
      <w:tr>
        <w:tc>
          <w:tcPr>
            <w:vAlign w:val="center"/>
          </w:tcPr>
          <w:p>
            <w:pPr>
              <w:jc w:val="center"/>
            </w:pPr>
            <w:r>
              <w:rPr>
                <w:color w:val="000000"/>
                <w:sz w:val="24"/>
              </w:rPr>
              <w:t>3</w:t>
            </w:r>
          </w:p>
        </w:tc>
        <w:tc>
          <w:tcPr>
            <w:vAlign w:val="center"/>
          </w:tcPr>
          <w:p>
            <w:pPr>
              <w:jc w:val="center"/>
            </w:pPr>
            <w:r>
              <w:rPr>
                <w:color w:val="000000"/>
                <w:sz w:val="24"/>
              </w:rPr>
              <w:t>002841</w:t>
            </w:r>
          </w:p>
        </w:tc>
        <w:tc>
          <w:tcPr>
            <w:vAlign w:val="center"/>
          </w:tcPr>
          <w:p>
            <w:pPr>
              <w:jc w:val="center"/>
            </w:pPr>
            <w:r>
              <w:rPr>
                <w:color w:val="000000"/>
                <w:sz w:val="24"/>
              </w:rPr>
              <w:t>视源股份</w:t>
            </w:r>
          </w:p>
        </w:tc>
        <w:tc>
          <w:tcPr>
            <w:vAlign w:val="center"/>
          </w:tcPr>
          <w:p>
            <w:pPr>
              <w:jc w:val="right"/>
            </w:pPr>
            <w:r>
              <w:rPr>
                <w:color w:val="000000"/>
                <w:sz w:val="24"/>
              </w:rPr>
              <w:t>7,811</w:t>
            </w:r>
          </w:p>
        </w:tc>
        <w:tc>
          <w:tcPr>
            <w:vAlign w:val="center"/>
          </w:tcPr>
          <w:p>
            <w:pPr>
              <w:jc w:val="right"/>
            </w:pPr>
            <w:r>
              <w:rPr>
                <w:color w:val="000000"/>
                <w:sz w:val="24"/>
              </w:rPr>
              <w:t>760,869.51</w:t>
            </w:r>
          </w:p>
        </w:tc>
        <w:tc>
          <w:tcPr>
            <w:vAlign w:val="center"/>
          </w:tcPr>
          <w:p>
            <w:pPr>
              <w:jc w:val="right"/>
            </w:pPr>
            <w:r>
              <w:rPr>
                <w:color w:val="000000"/>
                <w:sz w:val="24"/>
              </w:rPr>
              <w:t>1.87</w:t>
            </w:r>
          </w:p>
        </w:tc>
      </w:tr>
      <w:tr>
        <w:tc>
          <w:tcPr>
            <w:vAlign w:val="center"/>
          </w:tcPr>
          <w:p>
            <w:pPr>
              <w:jc w:val="center"/>
            </w:pPr>
            <w:r>
              <w:rPr>
                <w:color w:val="000000"/>
                <w:sz w:val="24"/>
              </w:rPr>
              <w:t>4</w:t>
            </w:r>
          </w:p>
        </w:tc>
        <w:tc>
          <w:tcPr>
            <w:vAlign w:val="center"/>
          </w:tcPr>
          <w:p>
            <w:pPr>
              <w:jc w:val="center"/>
            </w:pPr>
            <w:r>
              <w:rPr>
                <w:color w:val="000000"/>
                <w:sz w:val="24"/>
              </w:rPr>
              <w:t>002352</w:t>
            </w:r>
          </w:p>
        </w:tc>
        <w:tc>
          <w:tcPr>
            <w:vAlign w:val="center"/>
          </w:tcPr>
          <w:p>
            <w:pPr>
              <w:jc w:val="center"/>
            </w:pPr>
            <w:r>
              <w:rPr>
                <w:color w:val="000000"/>
                <w:sz w:val="24"/>
              </w:rPr>
              <w:t>顺丰控股</w:t>
            </w:r>
          </w:p>
        </w:tc>
        <w:tc>
          <w:tcPr>
            <w:vAlign w:val="center"/>
          </w:tcPr>
          <w:p>
            <w:pPr>
              <w:jc w:val="right"/>
            </w:pPr>
            <w:r>
              <w:rPr>
                <w:color w:val="000000"/>
                <w:sz w:val="24"/>
              </w:rPr>
              <w:t>8,593</w:t>
            </w:r>
          </w:p>
        </w:tc>
        <w:tc>
          <w:tcPr>
            <w:vAlign w:val="center"/>
          </w:tcPr>
          <w:p>
            <w:pPr>
              <w:jc w:val="right"/>
            </w:pPr>
            <w:r>
              <w:rPr>
                <w:color w:val="000000"/>
                <w:sz w:val="24"/>
              </w:rPr>
              <w:t>697,751.60</w:t>
            </w:r>
          </w:p>
        </w:tc>
        <w:tc>
          <w:tcPr>
            <w:vAlign w:val="center"/>
          </w:tcPr>
          <w:p>
            <w:pPr>
              <w:jc w:val="right"/>
            </w:pPr>
            <w:r>
              <w:rPr>
                <w:color w:val="000000"/>
                <w:sz w:val="24"/>
              </w:rPr>
              <w:t>1.72</w:t>
            </w:r>
          </w:p>
        </w:tc>
      </w:tr>
      <w:tr>
        <w:tc>
          <w:tcPr>
            <w:vAlign w:val="center"/>
          </w:tcPr>
          <w:p>
            <w:pPr>
              <w:jc w:val="center"/>
            </w:pPr>
            <w:r>
              <w:rPr>
                <w:color w:val="000000"/>
                <w:sz w:val="24"/>
              </w:rPr>
              <w:t>5</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10,792</w:t>
            </w:r>
          </w:p>
        </w:tc>
        <w:tc>
          <w:tcPr>
            <w:vAlign w:val="center"/>
          </w:tcPr>
          <w:p>
            <w:pPr>
              <w:jc w:val="right"/>
            </w:pPr>
            <w:r>
              <w:rPr>
                <w:color w:val="000000"/>
                <w:sz w:val="24"/>
              </w:rPr>
              <w:t>581,688.80</w:t>
            </w:r>
          </w:p>
        </w:tc>
        <w:tc>
          <w:tcPr>
            <w:vAlign w:val="center"/>
          </w:tcPr>
          <w:p>
            <w:pPr>
              <w:jc w:val="right"/>
            </w:pPr>
            <w:r>
              <w:rPr>
                <w:color w:val="000000"/>
                <w:sz w:val="24"/>
              </w:rPr>
              <w:t>1.43</w:t>
            </w:r>
          </w:p>
        </w:tc>
      </w:tr>
      <w:tr>
        <w:tc>
          <w:tcPr>
            <w:vAlign w:val="center"/>
          </w:tcPr>
          <w:p>
            <w:pPr>
              <w:jc w:val="center"/>
            </w:pPr>
            <w:r>
              <w:rPr>
                <w:color w:val="000000"/>
                <w:sz w:val="24"/>
              </w:rPr>
              <w:t>6</w:t>
            </w:r>
          </w:p>
        </w:tc>
        <w:tc>
          <w:tcPr>
            <w:vAlign w:val="center"/>
          </w:tcPr>
          <w:p>
            <w:pPr>
              <w:jc w:val="center"/>
            </w:pPr>
            <w:r>
              <w:rPr>
                <w:color w:val="000000"/>
                <w:sz w:val="24"/>
              </w:rPr>
              <w:t>603517</w:t>
            </w:r>
          </w:p>
        </w:tc>
        <w:tc>
          <w:tcPr>
            <w:vAlign w:val="center"/>
          </w:tcPr>
          <w:p>
            <w:pPr>
              <w:jc w:val="center"/>
            </w:pPr>
            <w:r>
              <w:rPr>
                <w:color w:val="000000"/>
                <w:sz w:val="24"/>
              </w:rPr>
              <w:t>绝味食品</w:t>
            </w:r>
          </w:p>
        </w:tc>
        <w:tc>
          <w:tcPr>
            <w:vAlign w:val="center"/>
          </w:tcPr>
          <w:p>
            <w:pPr>
              <w:jc w:val="right"/>
            </w:pPr>
            <w:r>
              <w:rPr>
                <w:color w:val="000000"/>
                <w:sz w:val="24"/>
              </w:rPr>
              <w:t>6,200</w:t>
            </w:r>
          </w:p>
        </w:tc>
        <w:tc>
          <w:tcPr>
            <w:vAlign w:val="center"/>
          </w:tcPr>
          <w:p>
            <w:pPr>
              <w:jc w:val="right"/>
            </w:pPr>
            <w:r>
              <w:rPr>
                <w:color w:val="000000"/>
                <w:sz w:val="24"/>
              </w:rPr>
              <w:t>508,524.00</w:t>
            </w:r>
          </w:p>
        </w:tc>
        <w:tc>
          <w:tcPr>
            <w:vAlign w:val="center"/>
          </w:tcPr>
          <w:p>
            <w:pPr>
              <w:jc w:val="right"/>
            </w:pPr>
            <w:r>
              <w:rPr>
                <w:color w:val="000000"/>
                <w:sz w:val="24"/>
              </w:rPr>
              <w:t>1.25</w:t>
            </w:r>
          </w:p>
        </w:tc>
      </w:tr>
      <w:tr>
        <w:tc>
          <w:tcPr>
            <w:vAlign w:val="center"/>
          </w:tcPr>
          <w:p>
            <w:pPr>
              <w:jc w:val="center"/>
            </w:pPr>
            <w:r>
              <w:rPr>
                <w:color w:val="000000"/>
                <w:sz w:val="24"/>
              </w:rPr>
              <w:t>7</w:t>
            </w:r>
          </w:p>
        </w:tc>
        <w:tc>
          <w:tcPr>
            <w:vAlign w:val="center"/>
          </w:tcPr>
          <w:p>
            <w:pPr>
              <w:jc w:val="center"/>
            </w:pPr>
            <w:r>
              <w:rPr>
                <w:color w:val="000000"/>
                <w:sz w:val="24"/>
              </w:rPr>
              <w:t>000789</w:t>
            </w:r>
          </w:p>
        </w:tc>
        <w:tc>
          <w:tcPr>
            <w:vAlign w:val="center"/>
          </w:tcPr>
          <w:p>
            <w:pPr>
              <w:jc w:val="center"/>
            </w:pPr>
            <w:r>
              <w:rPr>
                <w:color w:val="000000"/>
                <w:sz w:val="24"/>
              </w:rPr>
              <w:t>万年青</w:t>
            </w:r>
          </w:p>
        </w:tc>
        <w:tc>
          <w:tcPr>
            <w:vAlign w:val="center"/>
          </w:tcPr>
          <w:p>
            <w:pPr>
              <w:jc w:val="right"/>
            </w:pPr>
            <w:r>
              <w:rPr>
                <w:color w:val="000000"/>
                <w:sz w:val="24"/>
              </w:rPr>
              <w:t>14,200</w:t>
            </w:r>
          </w:p>
        </w:tc>
        <w:tc>
          <w:tcPr>
            <w:vAlign w:val="center"/>
          </w:tcPr>
          <w:p>
            <w:pPr>
              <w:jc w:val="right"/>
            </w:pPr>
            <w:r>
              <w:rPr>
                <w:color w:val="000000"/>
                <w:sz w:val="24"/>
              </w:rPr>
              <w:t>216,124.00</w:t>
            </w:r>
          </w:p>
        </w:tc>
        <w:tc>
          <w:tcPr>
            <w:vAlign w:val="center"/>
          </w:tcPr>
          <w:p>
            <w:pPr>
              <w:jc w:val="right"/>
            </w:pPr>
            <w:r>
              <w:rPr>
                <w:color w:val="000000"/>
                <w:sz w:val="24"/>
              </w:rPr>
              <w:t>0.53</w:t>
            </w:r>
          </w:p>
        </w:tc>
      </w:tr>
      <w:tr>
        <w:tc>
          <w:tcPr>
            <w:vAlign w:val="center"/>
          </w:tcPr>
          <w:p>
            <w:pPr>
              <w:jc w:val="center"/>
            </w:pPr>
            <w:r>
              <w:rPr>
                <w:color w:val="000000"/>
                <w:sz w:val="24"/>
              </w:rPr>
              <w:t>8</w:t>
            </w:r>
          </w:p>
        </w:tc>
        <w:tc>
          <w:tcPr>
            <w:vAlign w:val="center"/>
          </w:tcPr>
          <w:p>
            <w:pPr>
              <w:jc w:val="center"/>
            </w:pPr>
            <w:r>
              <w:rPr>
                <w:color w:val="000000"/>
                <w:sz w:val="24"/>
              </w:rPr>
              <w:t>002851</w:t>
            </w:r>
          </w:p>
        </w:tc>
        <w:tc>
          <w:tcPr>
            <w:vAlign w:val="center"/>
          </w:tcPr>
          <w:p>
            <w:pPr>
              <w:jc w:val="center"/>
            </w:pPr>
            <w:r>
              <w:rPr>
                <w:color w:val="000000"/>
                <w:sz w:val="24"/>
              </w:rPr>
              <w:t>麦格米特</w:t>
            </w:r>
          </w:p>
        </w:tc>
        <w:tc>
          <w:tcPr>
            <w:vAlign w:val="center"/>
          </w:tcPr>
          <w:p>
            <w:pPr>
              <w:jc w:val="right"/>
            </w:pPr>
            <w:r>
              <w:rPr>
                <w:color w:val="000000"/>
                <w:sz w:val="24"/>
              </w:rPr>
              <w:t>6,305</w:t>
            </w:r>
          </w:p>
        </w:tc>
        <w:tc>
          <w:tcPr>
            <w:vAlign w:val="center"/>
          </w:tcPr>
          <w:p>
            <w:pPr>
              <w:jc w:val="right"/>
            </w:pPr>
            <w:r>
              <w:rPr>
                <w:color w:val="000000"/>
                <w:sz w:val="24"/>
              </w:rPr>
              <w:t>213,991.70</w:t>
            </w:r>
          </w:p>
        </w:tc>
        <w:tc>
          <w:tcPr>
            <w:vAlign w:val="center"/>
          </w:tcPr>
          <w:p>
            <w:pPr>
              <w:jc w:val="right"/>
            </w:pPr>
            <w:r>
              <w:rPr>
                <w:color w:val="000000"/>
                <w:sz w:val="24"/>
              </w:rPr>
              <w:t>0.53</w:t>
            </w:r>
          </w:p>
        </w:tc>
      </w:tr>
      <w:tr>
        <w:tc>
          <w:tcPr>
            <w:vAlign w:val="center"/>
          </w:tcPr>
          <w:p>
            <w:pPr>
              <w:jc w:val="center"/>
            </w:pPr>
            <w:r>
              <w:rPr>
                <w:color w:val="000000"/>
                <w:sz w:val="24"/>
              </w:rPr>
              <w:t>9</w:t>
            </w:r>
          </w:p>
        </w:tc>
        <w:tc>
          <w:tcPr>
            <w:vAlign w:val="center"/>
          </w:tcPr>
          <w:p>
            <w:pPr>
              <w:jc w:val="center"/>
            </w:pPr>
            <w:r>
              <w:rPr>
                <w:color w:val="000000"/>
                <w:sz w:val="24"/>
              </w:rPr>
              <w:t>300059</w:t>
            </w:r>
          </w:p>
        </w:tc>
        <w:tc>
          <w:tcPr>
            <w:vAlign w:val="center"/>
          </w:tcPr>
          <w:p>
            <w:pPr>
              <w:jc w:val="center"/>
            </w:pPr>
            <w:r>
              <w:rPr>
                <w:color w:val="000000"/>
                <w:sz w:val="24"/>
              </w:rPr>
              <w:t>东方财富</w:t>
            </w:r>
          </w:p>
        </w:tc>
        <w:tc>
          <w:tcPr>
            <w:vAlign w:val="center"/>
          </w:tcPr>
          <w:p>
            <w:pPr>
              <w:jc w:val="right"/>
            </w:pPr>
            <w:r>
              <w:rPr>
                <w:color w:val="000000"/>
                <w:sz w:val="24"/>
              </w:rPr>
              <w:t>8,073</w:t>
            </w:r>
          </w:p>
        </w:tc>
        <w:tc>
          <w:tcPr>
            <w:vAlign w:val="center"/>
          </w:tcPr>
          <w:p>
            <w:pPr>
              <w:jc w:val="right"/>
            </w:pPr>
            <w:r>
              <w:rPr>
                <w:color w:val="000000"/>
                <w:sz w:val="24"/>
              </w:rPr>
              <w:t>193,671.27</w:t>
            </w:r>
          </w:p>
        </w:tc>
        <w:tc>
          <w:tcPr>
            <w:vAlign w:val="center"/>
          </w:tcPr>
          <w:p>
            <w:pPr>
              <w:jc w:val="right"/>
            </w:pPr>
            <w:r>
              <w:rPr>
                <w:color w:val="000000"/>
                <w:sz w:val="24"/>
              </w:rPr>
              <w:t>0.48</w:t>
            </w:r>
          </w:p>
        </w:tc>
      </w:tr>
      <w:tr>
        <w:tc>
          <w:tcPr>
            <w:vAlign w:val="center"/>
          </w:tcPr>
          <w:p>
            <w:pPr>
              <w:jc w:val="center"/>
            </w:pPr>
            <w:r>
              <w:rPr>
                <w:color w:val="000000"/>
                <w:sz w:val="24"/>
              </w:rPr>
              <w:t>10</w:t>
            </w:r>
          </w:p>
        </w:tc>
        <w:tc>
          <w:tcPr>
            <w:vAlign w:val="center"/>
          </w:tcPr>
          <w:p>
            <w:pPr>
              <w:jc w:val="center"/>
            </w:pPr>
            <w:r>
              <w:rPr>
                <w:color w:val="000000"/>
                <w:sz w:val="24"/>
              </w:rPr>
              <w:t>600323</w:t>
            </w:r>
          </w:p>
        </w:tc>
        <w:tc>
          <w:tcPr>
            <w:vAlign w:val="center"/>
          </w:tcPr>
          <w:p>
            <w:pPr>
              <w:jc w:val="center"/>
            </w:pPr>
            <w:r>
              <w:rPr>
                <w:color w:val="000000"/>
                <w:sz w:val="24"/>
              </w:rPr>
              <w:t>瀚蓝环境</w:t>
            </w:r>
          </w:p>
        </w:tc>
        <w:tc>
          <w:tcPr>
            <w:vAlign w:val="center"/>
          </w:tcPr>
          <w:p>
            <w:pPr>
              <w:jc w:val="right"/>
            </w:pPr>
            <w:r>
              <w:rPr>
                <w:color w:val="000000"/>
                <w:sz w:val="24"/>
              </w:rPr>
              <w:t>6,600</w:t>
            </w:r>
          </w:p>
        </w:tc>
        <w:tc>
          <w:tcPr>
            <w:vAlign w:val="center"/>
          </w:tcPr>
          <w:p>
            <w:pPr>
              <w:jc w:val="right"/>
            </w:pPr>
            <w:r>
              <w:rPr>
                <w:color w:val="000000"/>
                <w:sz w:val="24"/>
              </w:rPr>
              <w:t>184,800.00</w:t>
            </w:r>
          </w:p>
        </w:tc>
        <w:tc>
          <w:tcPr>
            <w:vAlign w:val="center"/>
          </w:tcPr>
          <w:p>
            <w:pPr>
              <w:jc w:val="right"/>
            </w:pPr>
            <w:r>
              <w:rPr>
                <w:color w:val="000000"/>
                <w:sz w:val="24"/>
              </w:rPr>
              <w:t>0.45</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6,179,864.70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15.21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26,875,419.49</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66.15</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33,055,284.19</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81.37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019627</w:t>
            </w:r>
          </w:p>
        </w:tc>
        <w:tc>
          <w:tcPr>
            <w:vAlign w:val="center"/>
          </w:tcPr>
          <w:p>
            <w:pPr>
              <w:jc w:val="center"/>
            </w:pPr>
            <w:r>
              <w:rPr>
                <w:color w:val="000000"/>
                <w:sz w:val="24"/>
              </w:rPr>
              <w:t>20国债01</w:t>
            </w:r>
          </w:p>
        </w:tc>
        <w:tc>
          <w:tcPr>
            <w:vAlign w:val="center"/>
          </w:tcPr>
          <w:p>
            <w:pPr>
              <w:jc w:val="right"/>
            </w:pPr>
            <w:r>
              <w:rPr>
                <w:color w:val="000000"/>
                <w:sz w:val="24"/>
              </w:rPr>
              <w:t>60,000</w:t>
            </w:r>
          </w:p>
        </w:tc>
        <w:tc>
          <w:tcPr>
            <w:vAlign w:val="center"/>
          </w:tcPr>
          <w:p>
            <w:pPr>
              <w:jc w:val="right"/>
            </w:pPr>
            <w:r>
              <w:rPr>
                <w:color w:val="000000"/>
                <w:sz w:val="24"/>
              </w:rPr>
              <w:t>5,994,000.00</w:t>
            </w:r>
          </w:p>
        </w:tc>
        <w:tc>
          <w:tcPr>
            <w:vAlign w:val="center"/>
          </w:tcPr>
          <w:p>
            <w:pPr>
              <w:jc w:val="right"/>
            </w:pPr>
            <w:r>
              <w:rPr>
                <w:color w:val="000000"/>
                <w:sz w:val="24"/>
              </w:rPr>
              <w:t>14.75</w:t>
            </w:r>
          </w:p>
        </w:tc>
      </w:tr>
      <w:tr>
        <w:tc>
          <w:tcPr>
            <w:vAlign w:val="center"/>
          </w:tcPr>
          <w:p>
            <w:pPr>
              <w:jc w:val="center"/>
            </w:pPr>
            <w:r>
              <w:rPr>
                <w:color w:val="000000"/>
                <w:sz w:val="24"/>
              </w:rPr>
              <w:t>2</w:t>
            </w:r>
          </w:p>
        </w:tc>
        <w:tc>
          <w:tcPr>
            <w:vAlign w:val="center"/>
          </w:tcPr>
          <w:p>
            <w:pPr>
              <w:jc w:val="center"/>
            </w:pPr>
            <w:r>
              <w:rPr>
                <w:color w:val="000000"/>
                <w:sz w:val="24"/>
              </w:rPr>
              <w:t>132013</w:t>
            </w:r>
          </w:p>
        </w:tc>
        <w:tc>
          <w:tcPr>
            <w:vAlign w:val="center"/>
          </w:tcPr>
          <w:p>
            <w:pPr>
              <w:jc w:val="center"/>
            </w:pPr>
            <w:r>
              <w:rPr>
                <w:color w:val="000000"/>
                <w:sz w:val="24"/>
              </w:rPr>
              <w:t>17宝武EB</w:t>
            </w:r>
          </w:p>
        </w:tc>
        <w:tc>
          <w:tcPr>
            <w:vAlign w:val="center"/>
          </w:tcPr>
          <w:p>
            <w:pPr>
              <w:jc w:val="right"/>
            </w:pPr>
            <w:r>
              <w:rPr>
                <w:color w:val="000000"/>
                <w:sz w:val="24"/>
              </w:rPr>
              <w:t>30,000</w:t>
            </w:r>
          </w:p>
        </w:tc>
        <w:tc>
          <w:tcPr>
            <w:vAlign w:val="center"/>
          </w:tcPr>
          <w:p>
            <w:pPr>
              <w:jc w:val="right"/>
            </w:pPr>
            <w:r>
              <w:rPr>
                <w:color w:val="000000"/>
                <w:sz w:val="24"/>
              </w:rPr>
              <w:t>3,079,500.00</w:t>
            </w:r>
          </w:p>
        </w:tc>
        <w:tc>
          <w:tcPr>
            <w:vAlign w:val="center"/>
          </w:tcPr>
          <w:p>
            <w:pPr>
              <w:jc w:val="right"/>
            </w:pPr>
            <w:r>
              <w:rPr>
                <w:color w:val="000000"/>
                <w:sz w:val="24"/>
              </w:rPr>
              <w:t>7.58</w:t>
            </w:r>
          </w:p>
        </w:tc>
      </w:tr>
      <w:tr>
        <w:tc>
          <w:tcPr>
            <w:vAlign w:val="center"/>
          </w:tcPr>
          <w:p>
            <w:pPr>
              <w:jc w:val="center"/>
            </w:pPr>
            <w:r>
              <w:rPr>
                <w:color w:val="000000"/>
                <w:sz w:val="24"/>
              </w:rPr>
              <w:t>3</w:t>
            </w:r>
          </w:p>
        </w:tc>
        <w:tc>
          <w:tcPr>
            <w:vAlign w:val="center"/>
          </w:tcPr>
          <w:p>
            <w:pPr>
              <w:jc w:val="center"/>
            </w:pPr>
            <w:r>
              <w:rPr>
                <w:color w:val="000000"/>
                <w:sz w:val="24"/>
              </w:rPr>
              <w:t>132015</w:t>
            </w:r>
          </w:p>
        </w:tc>
        <w:tc>
          <w:tcPr>
            <w:vAlign w:val="center"/>
          </w:tcPr>
          <w:p>
            <w:pPr>
              <w:jc w:val="center"/>
            </w:pPr>
            <w:r>
              <w:rPr>
                <w:color w:val="000000"/>
                <w:sz w:val="24"/>
              </w:rPr>
              <w:t>18中油EB</w:t>
            </w:r>
          </w:p>
        </w:tc>
        <w:tc>
          <w:tcPr>
            <w:vAlign w:val="center"/>
          </w:tcPr>
          <w:p>
            <w:pPr>
              <w:jc w:val="right"/>
            </w:pPr>
            <w:r>
              <w:rPr>
                <w:color w:val="000000"/>
                <w:sz w:val="24"/>
              </w:rPr>
              <w:t>23,790</w:t>
            </w:r>
          </w:p>
        </w:tc>
        <w:tc>
          <w:tcPr>
            <w:vAlign w:val="center"/>
          </w:tcPr>
          <w:p>
            <w:pPr>
              <w:jc w:val="right"/>
            </w:pPr>
            <w:r>
              <w:rPr>
                <w:color w:val="000000"/>
                <w:sz w:val="24"/>
              </w:rPr>
              <w:t>2,369,721.90</w:t>
            </w:r>
          </w:p>
        </w:tc>
        <w:tc>
          <w:tcPr>
            <w:vAlign w:val="center"/>
          </w:tcPr>
          <w:p>
            <w:pPr>
              <w:jc w:val="right"/>
            </w:pPr>
            <w:r>
              <w:rPr>
                <w:color w:val="000000"/>
                <w:sz w:val="24"/>
              </w:rPr>
              <w:t>5.83</w:t>
            </w:r>
          </w:p>
        </w:tc>
      </w:tr>
      <w:tr>
        <w:tc>
          <w:tcPr>
            <w:vAlign w:val="center"/>
          </w:tcPr>
          <w:p>
            <w:pPr>
              <w:jc w:val="center"/>
            </w:pPr>
            <w:r>
              <w:rPr>
                <w:color w:val="000000"/>
                <w:sz w:val="24"/>
              </w:rPr>
              <w:t>4</w:t>
            </w:r>
          </w:p>
        </w:tc>
        <w:tc>
          <w:tcPr>
            <w:vAlign w:val="center"/>
          </w:tcPr>
          <w:p>
            <w:pPr>
              <w:jc w:val="center"/>
            </w:pPr>
            <w:r>
              <w:rPr>
                <w:color w:val="000000"/>
                <w:sz w:val="24"/>
              </w:rPr>
              <w:t>132005</w:t>
            </w:r>
          </w:p>
        </w:tc>
        <w:tc>
          <w:tcPr>
            <w:vAlign w:val="center"/>
          </w:tcPr>
          <w:p>
            <w:pPr>
              <w:jc w:val="center"/>
            </w:pPr>
            <w:r>
              <w:rPr>
                <w:color w:val="000000"/>
                <w:sz w:val="24"/>
              </w:rPr>
              <w:t>15国资EB</w:t>
            </w:r>
          </w:p>
        </w:tc>
        <w:tc>
          <w:tcPr>
            <w:vAlign w:val="center"/>
          </w:tcPr>
          <w:p>
            <w:pPr>
              <w:jc w:val="right"/>
            </w:pPr>
            <w:r>
              <w:rPr>
                <w:color w:val="000000"/>
                <w:sz w:val="24"/>
              </w:rPr>
              <w:t>13,970</w:t>
            </w:r>
          </w:p>
        </w:tc>
        <w:tc>
          <w:tcPr>
            <w:vAlign w:val="center"/>
          </w:tcPr>
          <w:p>
            <w:pPr>
              <w:jc w:val="right"/>
            </w:pPr>
            <w:r>
              <w:rPr>
                <w:color w:val="000000"/>
                <w:sz w:val="24"/>
              </w:rPr>
              <w:t>1,517,840.50</w:t>
            </w:r>
          </w:p>
        </w:tc>
        <w:tc>
          <w:tcPr>
            <w:vAlign w:val="center"/>
          </w:tcPr>
          <w:p>
            <w:pPr>
              <w:jc w:val="right"/>
            </w:pPr>
            <w:r>
              <w:rPr>
                <w:color w:val="000000"/>
                <w:sz w:val="24"/>
              </w:rPr>
              <w:t>3.74</w:t>
            </w:r>
          </w:p>
        </w:tc>
      </w:tr>
      <w:tr>
        <w:tc>
          <w:tcPr>
            <w:vAlign w:val="center"/>
          </w:tcPr>
          <w:p>
            <w:pPr>
              <w:jc w:val="center"/>
            </w:pPr>
            <w:r>
              <w:rPr>
                <w:color w:val="000000"/>
                <w:sz w:val="24"/>
              </w:rPr>
              <w:t>5</w:t>
            </w:r>
          </w:p>
        </w:tc>
        <w:tc>
          <w:tcPr>
            <w:vAlign w:val="center"/>
          </w:tcPr>
          <w:p>
            <w:pPr>
              <w:jc w:val="center"/>
            </w:pPr>
            <w:r>
              <w:rPr>
                <w:color w:val="000000"/>
                <w:sz w:val="24"/>
              </w:rPr>
              <w:t>110045</w:t>
            </w:r>
          </w:p>
        </w:tc>
        <w:tc>
          <w:tcPr>
            <w:vAlign w:val="center"/>
          </w:tcPr>
          <w:p>
            <w:pPr>
              <w:jc w:val="center"/>
            </w:pPr>
            <w:r>
              <w:rPr>
                <w:color w:val="000000"/>
                <w:sz w:val="24"/>
              </w:rPr>
              <w:t>海澜转债</w:t>
            </w:r>
          </w:p>
        </w:tc>
        <w:tc>
          <w:tcPr>
            <w:vAlign w:val="center"/>
          </w:tcPr>
          <w:p>
            <w:pPr>
              <w:jc w:val="right"/>
            </w:pPr>
            <w:r>
              <w:rPr>
                <w:color w:val="000000"/>
                <w:sz w:val="24"/>
              </w:rPr>
              <w:t>15,000</w:t>
            </w:r>
          </w:p>
        </w:tc>
        <w:tc>
          <w:tcPr>
            <w:vAlign w:val="center"/>
          </w:tcPr>
          <w:p>
            <w:pPr>
              <w:jc w:val="right"/>
            </w:pPr>
            <w:r>
              <w:rPr>
                <w:color w:val="000000"/>
                <w:sz w:val="24"/>
              </w:rPr>
              <w:t>1,458,900.00</w:t>
            </w:r>
          </w:p>
        </w:tc>
        <w:tc>
          <w:tcPr>
            <w:vAlign w:val="center"/>
          </w:tcPr>
          <w:p>
            <w:pPr>
              <w:jc w:val="right"/>
            </w:pPr>
            <w:r>
              <w:rPr>
                <w:color w:val="000000"/>
                <w:sz w:val="24"/>
              </w:rPr>
              <w:t>3.59</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3,670.77</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194,827.39</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162,509.51</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361,007.67</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9765C1" w:rsidR="009765C1" w:rsidRDefault="009765C1" w:rsidRPr="007F52FA">
      <w:pPr>
        <w:autoSpaceDE w:val="0"/>
        <w:autoSpaceDN w:val="0"/>
        <w:adjustRightInd w:val="0"/>
        <w:spacing w:before="29" w:line="288" w:lineRule="auto"/>
        <w:jc w:val="right"/>
        <w:rPr>
          <w:kern w:val="0"/>
          <w:sz w:val="24"/>
        </w:rPr>
      </w:pPr>
      <w:r w:rsidRPr="009765C1">
        <w:rPr>
          <w:rFonts w:hint="eastAsia"/>
          <w:kern w:val="0"/>
          <w:sz w:val="24"/>
        </w:rPr>
        <w:t/>
      </w:r>
      <w:r w:rsidRPr="009765C1">
        <w:rPr>
          <w:rFonts w:hint="eastAsia"/>
          <w:kern w:val="0"/>
          <w:sz w:val="24"/>
        </w:rPr>
        <w:t>金额单位：人民币元</w:t>
      </w:r>
    </w:p>
    <w:tbl>
      <w:tblPr>
        <w:tblStyle w:val="af2"/>
        <w:tblW w:type="dxa" w:w="8868"/>
        <w:jc w:val="center"/>
        <w:tblCellMar>
          <w:top w:type="dxa" w:w="57"/>
          <w:bottom w:type="dxa" w:w="57"/>
        </w:tblCellMar>
        <w:tblLook w:firstColumn="1" w:firstRow="1" w:lastColumn="0" w:lastRow="0" w:noHBand="0" w:noVBand="1" w:val="04A0"/>
      </w:tblPr>
      <w:tblGrid>
        <w:gridCol w:w="1162"/>
        <w:gridCol w:w="2639"/>
        <w:gridCol w:w="1813"/>
        <w:gridCol w:w="1783"/>
        <w:gridCol w:w="1845"/>
      </w:tblGrid>
      <w:tr w:rsidR="001D5CD0" w:rsidRPr="007F52FA" w:rsidTr="00837861">
        <w:trPr>
          <w:jc w:val="center"/>
        </w:trPr>
        <w:tc>
          <w:tcPr>
            <w:tcW w:type="dxa" w:w="944"/>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type="dxa" w:w="2568"/>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type="dxa" w:w="1665"/>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type="dxa" w:w="1727"/>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type="dxa" w:w="1609"/>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tc>
          <w:tcPr>
            <w:vAlign w:val="center"/>
          </w:tcPr>
          <w:p>
            <w:pPr>
              <w:jc w:val="center"/>
            </w:pPr>
            <w:r>
              <w:rPr>
                <w:rFonts w:eastAsiaTheme="minorEastAsia"/>
                <w:color w:val="000000"/>
                <w:sz w:val="24"/>
              </w:rPr>
              <w:t>1</w:t>
            </w:r>
          </w:p>
        </w:tc>
        <w:tc>
          <w:tcPr>
            <w:vAlign w:val="center"/>
          </w:tcPr>
          <w:p>
            <w:pPr>
              <w:jc w:val="center"/>
            </w:pPr>
            <w:r>
              <w:rPr>
                <w:rFonts w:eastAsiaTheme="minorEastAsia"/>
                <w:color w:val="000000"/>
                <w:sz w:val="24"/>
              </w:rPr>
              <w:t>132013</w:t>
            </w:r>
          </w:p>
        </w:tc>
        <w:tc>
          <w:tcPr>
            <w:vAlign w:val="center"/>
          </w:tcPr>
          <w:p>
            <w:pPr>
              <w:jc w:val="center"/>
            </w:pPr>
            <w:r>
              <w:rPr>
                <w:rFonts w:eastAsiaTheme="minorEastAsia"/>
                <w:color w:val="000000"/>
                <w:sz w:val="24"/>
              </w:rPr>
              <w:t>17宝武EB</w:t>
            </w:r>
          </w:p>
        </w:tc>
        <w:tc>
          <w:tcPr>
            <w:vAlign w:val="center"/>
          </w:tcPr>
          <w:p>
            <w:pPr>
              <w:jc w:val="right"/>
            </w:pPr>
            <w:r>
              <w:rPr>
                <w:rFonts w:eastAsiaTheme="minorEastAsia"/>
                <w:color w:val="000000"/>
                <w:sz w:val="24"/>
              </w:rPr>
              <w:t>3,079,500.00</w:t>
            </w:r>
          </w:p>
        </w:tc>
        <w:tc>
          <w:tcPr>
            <w:vAlign w:val="center"/>
          </w:tcPr>
          <w:p>
            <w:pPr>
              <w:jc w:val="right"/>
            </w:pPr>
            <w:r>
              <w:rPr>
                <w:rFonts w:eastAsiaTheme="minorEastAsia"/>
                <w:color w:val="000000"/>
                <w:sz w:val="24"/>
              </w:rPr>
              <w:t>7.58</w:t>
            </w:r>
          </w:p>
        </w:tc>
      </w:tr>
      <w:tr>
        <w:tc>
          <w:tcPr>
            <w:vAlign w:val="center"/>
          </w:tcPr>
          <w:p>
            <w:pPr>
              <w:jc w:val="center"/>
            </w:pPr>
            <w:r>
              <w:rPr>
                <w:rFonts w:eastAsiaTheme="minorEastAsia"/>
                <w:color w:val="000000"/>
                <w:sz w:val="24"/>
              </w:rPr>
              <w:t>2</w:t>
            </w:r>
          </w:p>
        </w:tc>
        <w:tc>
          <w:tcPr>
            <w:vAlign w:val="center"/>
          </w:tcPr>
          <w:p>
            <w:pPr>
              <w:jc w:val="center"/>
            </w:pPr>
            <w:r>
              <w:rPr>
                <w:rFonts w:eastAsiaTheme="minorEastAsia"/>
                <w:color w:val="000000"/>
                <w:sz w:val="24"/>
              </w:rPr>
              <w:t>132015</w:t>
            </w:r>
          </w:p>
        </w:tc>
        <w:tc>
          <w:tcPr>
            <w:vAlign w:val="center"/>
          </w:tcPr>
          <w:p>
            <w:pPr>
              <w:jc w:val="center"/>
            </w:pPr>
            <w:r>
              <w:rPr>
                <w:rFonts w:eastAsiaTheme="minorEastAsia"/>
                <w:color w:val="000000"/>
                <w:sz w:val="24"/>
              </w:rPr>
              <w:t>18中油EB</w:t>
            </w:r>
          </w:p>
        </w:tc>
        <w:tc>
          <w:tcPr>
            <w:vAlign w:val="center"/>
          </w:tcPr>
          <w:p>
            <w:pPr>
              <w:jc w:val="right"/>
            </w:pPr>
            <w:r>
              <w:rPr>
                <w:rFonts w:eastAsiaTheme="minorEastAsia"/>
                <w:color w:val="000000"/>
                <w:sz w:val="24"/>
              </w:rPr>
              <w:t>2,369,721.90</w:t>
            </w:r>
          </w:p>
        </w:tc>
        <w:tc>
          <w:tcPr>
            <w:vAlign w:val="center"/>
          </w:tcPr>
          <w:p>
            <w:pPr>
              <w:jc w:val="right"/>
            </w:pPr>
            <w:r>
              <w:rPr>
                <w:rFonts w:eastAsiaTheme="minorEastAsia"/>
                <w:color w:val="000000"/>
                <w:sz w:val="24"/>
              </w:rPr>
              <w:t>5.83</w:t>
            </w:r>
          </w:p>
        </w:tc>
      </w:tr>
      <w:tr>
        <w:tc>
          <w:tcPr>
            <w:vAlign w:val="center"/>
          </w:tcPr>
          <w:p>
            <w:pPr>
              <w:jc w:val="center"/>
            </w:pPr>
            <w:r>
              <w:rPr>
                <w:rFonts w:eastAsiaTheme="minorEastAsia"/>
                <w:color w:val="000000"/>
                <w:sz w:val="24"/>
              </w:rPr>
              <w:t>3</w:t>
            </w:r>
          </w:p>
        </w:tc>
        <w:tc>
          <w:tcPr>
            <w:vAlign w:val="center"/>
          </w:tcPr>
          <w:p>
            <w:pPr>
              <w:jc w:val="center"/>
            </w:pPr>
            <w:r>
              <w:rPr>
                <w:rFonts w:eastAsiaTheme="minorEastAsia"/>
                <w:color w:val="000000"/>
                <w:sz w:val="24"/>
              </w:rPr>
              <w:t>132005</w:t>
            </w:r>
          </w:p>
        </w:tc>
        <w:tc>
          <w:tcPr>
            <w:vAlign w:val="center"/>
          </w:tcPr>
          <w:p>
            <w:pPr>
              <w:jc w:val="center"/>
            </w:pPr>
            <w:r>
              <w:rPr>
                <w:rFonts w:eastAsiaTheme="minorEastAsia"/>
                <w:color w:val="000000"/>
                <w:sz w:val="24"/>
              </w:rPr>
              <w:t>15国资EB</w:t>
            </w:r>
          </w:p>
        </w:tc>
        <w:tc>
          <w:tcPr>
            <w:vAlign w:val="center"/>
          </w:tcPr>
          <w:p>
            <w:pPr>
              <w:jc w:val="right"/>
            </w:pPr>
            <w:r>
              <w:rPr>
                <w:rFonts w:eastAsiaTheme="minorEastAsia"/>
                <w:color w:val="000000"/>
                <w:sz w:val="24"/>
              </w:rPr>
              <w:t>1,517,840.50</w:t>
            </w:r>
          </w:p>
        </w:tc>
        <w:tc>
          <w:tcPr>
            <w:vAlign w:val="center"/>
          </w:tcPr>
          <w:p>
            <w:pPr>
              <w:jc w:val="right"/>
            </w:pPr>
            <w:r>
              <w:rPr>
                <w:rFonts w:eastAsiaTheme="minorEastAsia"/>
                <w:color w:val="000000"/>
                <w:sz w:val="24"/>
              </w:rPr>
              <w:t>3.74</w:t>
            </w:r>
          </w:p>
        </w:tc>
      </w:tr>
      <w:tr>
        <w:tc>
          <w:tcPr>
            <w:vAlign w:val="center"/>
          </w:tcPr>
          <w:p>
            <w:pPr>
              <w:jc w:val="center"/>
            </w:pPr>
            <w:r>
              <w:rPr>
                <w:rFonts w:eastAsiaTheme="minorEastAsia"/>
                <w:color w:val="000000"/>
                <w:sz w:val="24"/>
              </w:rPr>
              <w:t>4</w:t>
            </w:r>
          </w:p>
        </w:tc>
        <w:tc>
          <w:tcPr>
            <w:vAlign w:val="center"/>
          </w:tcPr>
          <w:p>
            <w:pPr>
              <w:jc w:val="center"/>
            </w:pPr>
            <w:r>
              <w:rPr>
                <w:rFonts w:eastAsiaTheme="minorEastAsia"/>
                <w:color w:val="000000"/>
                <w:sz w:val="24"/>
              </w:rPr>
              <w:t>110045</w:t>
            </w:r>
          </w:p>
        </w:tc>
        <w:tc>
          <w:tcPr>
            <w:vAlign w:val="center"/>
          </w:tcPr>
          <w:p>
            <w:pPr>
              <w:jc w:val="center"/>
            </w:pPr>
            <w:r>
              <w:rPr>
                <w:rFonts w:eastAsiaTheme="minorEastAsia"/>
                <w:color w:val="000000"/>
                <w:sz w:val="24"/>
              </w:rPr>
              <w:t>海澜转债</w:t>
            </w:r>
          </w:p>
        </w:tc>
        <w:tc>
          <w:tcPr>
            <w:vAlign w:val="center"/>
          </w:tcPr>
          <w:p>
            <w:pPr>
              <w:jc w:val="right"/>
            </w:pPr>
            <w:r>
              <w:rPr>
                <w:rFonts w:eastAsiaTheme="minorEastAsia"/>
                <w:color w:val="000000"/>
                <w:sz w:val="24"/>
              </w:rPr>
              <w:t>1,458,900.00</w:t>
            </w:r>
          </w:p>
        </w:tc>
        <w:tc>
          <w:tcPr>
            <w:vAlign w:val="center"/>
          </w:tcPr>
          <w:p>
            <w:pPr>
              <w:jc w:val="right"/>
            </w:pPr>
            <w:r>
              <w:rPr>
                <w:rFonts w:eastAsiaTheme="minorEastAsia"/>
                <w:color w:val="000000"/>
                <w:sz w:val="24"/>
              </w:rPr>
              <w:t>3.59</w:t>
            </w:r>
          </w:p>
        </w:tc>
      </w:tr>
      <w:tr>
        <w:tc>
          <w:tcPr>
            <w:vAlign w:val="center"/>
          </w:tcPr>
          <w:p>
            <w:pPr>
              <w:jc w:val="center"/>
            </w:pPr>
            <w:r>
              <w:rPr>
                <w:rFonts w:eastAsiaTheme="minorEastAsia"/>
                <w:color w:val="000000"/>
                <w:sz w:val="24"/>
              </w:rPr>
              <w:t>5</w:t>
            </w:r>
          </w:p>
        </w:tc>
        <w:tc>
          <w:tcPr>
            <w:vAlign w:val="center"/>
          </w:tcPr>
          <w:p>
            <w:pPr>
              <w:jc w:val="center"/>
            </w:pPr>
            <w:r>
              <w:rPr>
                <w:rFonts w:eastAsiaTheme="minorEastAsia"/>
                <w:color w:val="000000"/>
                <w:sz w:val="24"/>
              </w:rPr>
              <w:t>110059</w:t>
            </w:r>
          </w:p>
        </w:tc>
        <w:tc>
          <w:tcPr>
            <w:vAlign w:val="center"/>
          </w:tcPr>
          <w:p>
            <w:pPr>
              <w:jc w:val="center"/>
            </w:pPr>
            <w:r>
              <w:rPr>
                <w:rFonts w:eastAsiaTheme="minorEastAsia"/>
                <w:color w:val="000000"/>
                <w:sz w:val="24"/>
              </w:rPr>
              <w:t>浦发转债</w:t>
            </w:r>
          </w:p>
        </w:tc>
        <w:tc>
          <w:tcPr>
            <w:vAlign w:val="center"/>
          </w:tcPr>
          <w:p>
            <w:pPr>
              <w:jc w:val="right"/>
            </w:pPr>
            <w:r>
              <w:rPr>
                <w:rFonts w:eastAsiaTheme="minorEastAsia"/>
                <w:color w:val="000000"/>
                <w:sz w:val="24"/>
              </w:rPr>
              <w:t>1,392,439.10</w:t>
            </w:r>
          </w:p>
        </w:tc>
        <w:tc>
          <w:tcPr>
            <w:vAlign w:val="center"/>
          </w:tcPr>
          <w:p>
            <w:pPr>
              <w:jc w:val="right"/>
            </w:pPr>
            <w:r>
              <w:rPr>
                <w:rFonts w:eastAsiaTheme="minorEastAsia"/>
                <w:color w:val="000000"/>
                <w:sz w:val="24"/>
              </w:rPr>
              <w:t>3.43</w:t>
            </w:r>
          </w:p>
        </w:tc>
      </w:tr>
      <w:tr>
        <w:tc>
          <w:tcPr>
            <w:vAlign w:val="center"/>
          </w:tcPr>
          <w:p>
            <w:pPr>
              <w:jc w:val="center"/>
            </w:pPr>
            <w:r>
              <w:rPr>
                <w:rFonts w:eastAsiaTheme="minorEastAsia"/>
                <w:color w:val="000000"/>
                <w:sz w:val="24"/>
              </w:rPr>
              <w:t>6</w:t>
            </w:r>
          </w:p>
        </w:tc>
        <w:tc>
          <w:tcPr>
            <w:vAlign w:val="center"/>
          </w:tcPr>
          <w:p>
            <w:pPr>
              <w:jc w:val="center"/>
            </w:pPr>
            <w:r>
              <w:rPr>
                <w:rFonts w:eastAsiaTheme="minorEastAsia"/>
                <w:color w:val="000000"/>
                <w:sz w:val="24"/>
              </w:rPr>
              <w:t>132009</w:t>
            </w:r>
          </w:p>
        </w:tc>
        <w:tc>
          <w:tcPr>
            <w:vAlign w:val="center"/>
          </w:tcPr>
          <w:p>
            <w:pPr>
              <w:jc w:val="center"/>
            </w:pPr>
            <w:r>
              <w:rPr>
                <w:rFonts w:eastAsiaTheme="minorEastAsia"/>
                <w:color w:val="000000"/>
                <w:sz w:val="24"/>
              </w:rPr>
              <w:t>17中油EB</w:t>
            </w:r>
          </w:p>
        </w:tc>
        <w:tc>
          <w:tcPr>
            <w:vAlign w:val="center"/>
          </w:tcPr>
          <w:p>
            <w:pPr>
              <w:jc w:val="right"/>
            </w:pPr>
            <w:r>
              <w:rPr>
                <w:rFonts w:eastAsiaTheme="minorEastAsia"/>
                <w:color w:val="000000"/>
                <w:sz w:val="24"/>
              </w:rPr>
              <w:t>1,004,400.00</w:t>
            </w:r>
          </w:p>
        </w:tc>
        <w:tc>
          <w:tcPr>
            <w:vAlign w:val="center"/>
          </w:tcPr>
          <w:p>
            <w:pPr>
              <w:jc w:val="right"/>
            </w:pPr>
            <w:r>
              <w:rPr>
                <w:rFonts w:eastAsiaTheme="minorEastAsia"/>
                <w:color w:val="000000"/>
                <w:sz w:val="24"/>
              </w:rPr>
              <w:t>2.47</w:t>
            </w:r>
          </w:p>
        </w:tc>
      </w:tr>
      <w:tr>
        <w:tc>
          <w:tcPr>
            <w:vAlign w:val="center"/>
          </w:tcPr>
          <w:p>
            <w:pPr>
              <w:jc w:val="center"/>
            </w:pPr>
            <w:r>
              <w:rPr>
                <w:rFonts w:eastAsiaTheme="minorEastAsia"/>
                <w:color w:val="000000"/>
                <w:sz w:val="24"/>
              </w:rPr>
              <w:t>7</w:t>
            </w:r>
          </w:p>
        </w:tc>
        <w:tc>
          <w:tcPr>
            <w:vAlign w:val="center"/>
          </w:tcPr>
          <w:p>
            <w:pPr>
              <w:jc w:val="center"/>
            </w:pPr>
            <w:r>
              <w:rPr>
                <w:rFonts w:eastAsiaTheme="minorEastAsia"/>
                <w:color w:val="000000"/>
                <w:sz w:val="24"/>
              </w:rPr>
              <w:t>128029</w:t>
            </w:r>
          </w:p>
        </w:tc>
        <w:tc>
          <w:tcPr>
            <w:vAlign w:val="center"/>
          </w:tcPr>
          <w:p>
            <w:pPr>
              <w:jc w:val="center"/>
            </w:pPr>
            <w:r>
              <w:rPr>
                <w:rFonts w:eastAsiaTheme="minorEastAsia"/>
                <w:color w:val="000000"/>
                <w:sz w:val="24"/>
              </w:rPr>
              <w:t>太阳转债</w:t>
            </w:r>
          </w:p>
        </w:tc>
        <w:tc>
          <w:tcPr>
            <w:vAlign w:val="center"/>
          </w:tcPr>
          <w:p>
            <w:pPr>
              <w:jc w:val="right"/>
            </w:pPr>
            <w:r>
              <w:rPr>
                <w:rFonts w:eastAsiaTheme="minorEastAsia"/>
                <w:color w:val="000000"/>
                <w:sz w:val="24"/>
              </w:rPr>
              <w:t>967,629.00</w:t>
            </w:r>
          </w:p>
        </w:tc>
        <w:tc>
          <w:tcPr>
            <w:vAlign w:val="center"/>
          </w:tcPr>
          <w:p>
            <w:pPr>
              <w:jc w:val="right"/>
            </w:pPr>
            <w:r>
              <w:rPr>
                <w:rFonts w:eastAsiaTheme="minorEastAsia"/>
                <w:color w:val="000000"/>
                <w:sz w:val="24"/>
              </w:rPr>
              <w:t>2.38</w:t>
            </w:r>
          </w:p>
        </w:tc>
      </w:tr>
      <w:tr>
        <w:tc>
          <w:tcPr>
            <w:vAlign w:val="center"/>
          </w:tcPr>
          <w:p>
            <w:pPr>
              <w:jc w:val="center"/>
            </w:pPr>
            <w:r>
              <w:rPr>
                <w:rFonts w:eastAsiaTheme="minorEastAsia"/>
                <w:color w:val="000000"/>
                <w:sz w:val="24"/>
              </w:rPr>
              <w:t>8</w:t>
            </w:r>
          </w:p>
        </w:tc>
        <w:tc>
          <w:tcPr>
            <w:vAlign w:val="center"/>
          </w:tcPr>
          <w:p>
            <w:pPr>
              <w:jc w:val="center"/>
            </w:pPr>
            <w:r>
              <w:rPr>
                <w:rFonts w:eastAsiaTheme="minorEastAsia"/>
                <w:color w:val="000000"/>
                <w:sz w:val="24"/>
              </w:rPr>
              <w:t>113020</w:t>
            </w:r>
          </w:p>
        </w:tc>
        <w:tc>
          <w:tcPr>
            <w:vAlign w:val="center"/>
          </w:tcPr>
          <w:p>
            <w:pPr>
              <w:jc w:val="center"/>
            </w:pPr>
            <w:r>
              <w:rPr>
                <w:rFonts w:eastAsiaTheme="minorEastAsia"/>
                <w:color w:val="000000"/>
                <w:sz w:val="24"/>
              </w:rPr>
              <w:t>桐昆转债</w:t>
            </w:r>
          </w:p>
        </w:tc>
        <w:tc>
          <w:tcPr>
            <w:vAlign w:val="center"/>
          </w:tcPr>
          <w:p>
            <w:pPr>
              <w:jc w:val="right"/>
            </w:pPr>
            <w:r>
              <w:rPr>
                <w:rFonts w:eastAsiaTheme="minorEastAsia"/>
                <w:color w:val="000000"/>
                <w:sz w:val="24"/>
              </w:rPr>
              <w:t>892,430.00</w:t>
            </w:r>
          </w:p>
        </w:tc>
        <w:tc>
          <w:tcPr>
            <w:vAlign w:val="center"/>
          </w:tcPr>
          <w:p>
            <w:pPr>
              <w:jc w:val="right"/>
            </w:pPr>
            <w:r>
              <w:rPr>
                <w:rFonts w:eastAsiaTheme="minorEastAsia"/>
                <w:color w:val="000000"/>
                <w:sz w:val="24"/>
              </w:rPr>
              <w:t>2.20</w:t>
            </w:r>
          </w:p>
        </w:tc>
      </w:tr>
      <w:tr>
        <w:tc>
          <w:tcPr>
            <w:vAlign w:val="center"/>
          </w:tcPr>
          <w:p>
            <w:pPr>
              <w:jc w:val="center"/>
            </w:pPr>
            <w:r>
              <w:rPr>
                <w:rFonts w:eastAsiaTheme="minorEastAsia"/>
                <w:color w:val="000000"/>
                <w:sz w:val="24"/>
              </w:rPr>
              <w:t>9</w:t>
            </w:r>
          </w:p>
        </w:tc>
        <w:tc>
          <w:tcPr>
            <w:vAlign w:val="center"/>
          </w:tcPr>
          <w:p>
            <w:pPr>
              <w:jc w:val="center"/>
            </w:pPr>
            <w:r>
              <w:rPr>
                <w:rFonts w:eastAsiaTheme="minorEastAsia"/>
                <w:color w:val="000000"/>
                <w:sz w:val="24"/>
              </w:rPr>
              <w:t>113011</w:t>
            </w:r>
          </w:p>
        </w:tc>
        <w:tc>
          <w:tcPr>
            <w:vAlign w:val="center"/>
          </w:tcPr>
          <w:p>
            <w:pPr>
              <w:jc w:val="center"/>
            </w:pPr>
            <w:r>
              <w:rPr>
                <w:rFonts w:eastAsiaTheme="minorEastAsia"/>
                <w:color w:val="000000"/>
                <w:sz w:val="24"/>
              </w:rPr>
              <w:t>光大转债</w:t>
            </w:r>
          </w:p>
        </w:tc>
        <w:tc>
          <w:tcPr>
            <w:vAlign w:val="center"/>
          </w:tcPr>
          <w:p>
            <w:pPr>
              <w:jc w:val="right"/>
            </w:pPr>
            <w:r>
              <w:rPr>
                <w:rFonts w:eastAsiaTheme="minorEastAsia"/>
                <w:color w:val="000000"/>
                <w:sz w:val="24"/>
              </w:rPr>
              <w:t>834,165.60</w:t>
            </w:r>
          </w:p>
        </w:tc>
        <w:tc>
          <w:tcPr>
            <w:vAlign w:val="center"/>
          </w:tcPr>
          <w:p>
            <w:pPr>
              <w:jc w:val="right"/>
            </w:pPr>
            <w:r>
              <w:rPr>
                <w:rFonts w:eastAsiaTheme="minorEastAsia"/>
                <w:color w:val="000000"/>
                <w:sz w:val="24"/>
              </w:rPr>
              <w:t>2.05</w:t>
            </w:r>
          </w:p>
        </w:tc>
      </w:tr>
      <w:tr>
        <w:tc>
          <w:tcPr>
            <w:vAlign w:val="center"/>
          </w:tcPr>
          <w:p>
            <w:pPr>
              <w:jc w:val="center"/>
            </w:pPr>
            <w:r>
              <w:rPr>
                <w:rFonts w:eastAsiaTheme="minorEastAsia"/>
                <w:color w:val="000000"/>
                <w:sz w:val="24"/>
              </w:rPr>
              <w:t>10</w:t>
            </w:r>
          </w:p>
        </w:tc>
        <w:tc>
          <w:tcPr>
            <w:vAlign w:val="center"/>
          </w:tcPr>
          <w:p>
            <w:pPr>
              <w:jc w:val="center"/>
            </w:pPr>
            <w:r>
              <w:rPr>
                <w:rFonts w:eastAsiaTheme="minorEastAsia"/>
                <w:color w:val="000000"/>
                <w:sz w:val="24"/>
              </w:rPr>
              <w:t>113021</w:t>
            </w:r>
          </w:p>
        </w:tc>
        <w:tc>
          <w:tcPr>
            <w:vAlign w:val="center"/>
          </w:tcPr>
          <w:p>
            <w:pPr>
              <w:jc w:val="center"/>
            </w:pPr>
            <w:r>
              <w:rPr>
                <w:rFonts w:eastAsiaTheme="minorEastAsia"/>
                <w:color w:val="000000"/>
                <w:sz w:val="24"/>
              </w:rPr>
              <w:t>中信转债</w:t>
            </w:r>
          </w:p>
        </w:tc>
        <w:tc>
          <w:tcPr>
            <w:vAlign w:val="center"/>
          </w:tcPr>
          <w:p>
            <w:pPr>
              <w:jc w:val="right"/>
            </w:pPr>
            <w:r>
              <w:rPr>
                <w:rFonts w:eastAsiaTheme="minorEastAsia"/>
                <w:color w:val="000000"/>
                <w:sz w:val="24"/>
              </w:rPr>
              <w:t>765,377.10</w:t>
            </w:r>
          </w:p>
        </w:tc>
        <w:tc>
          <w:tcPr>
            <w:vAlign w:val="center"/>
          </w:tcPr>
          <w:p>
            <w:pPr>
              <w:jc w:val="right"/>
            </w:pPr>
            <w:r>
              <w:rPr>
                <w:rFonts w:eastAsiaTheme="minorEastAsia"/>
                <w:color w:val="000000"/>
                <w:sz w:val="24"/>
              </w:rPr>
              <w:t>1.88</w:t>
            </w:r>
          </w:p>
        </w:tc>
      </w:tr>
      <w:tr>
        <w:tc>
          <w:tcPr>
            <w:vAlign w:val="center"/>
          </w:tcPr>
          <w:p>
            <w:pPr>
              <w:jc w:val="center"/>
            </w:pPr>
            <w:r>
              <w:rPr>
                <w:rFonts w:eastAsiaTheme="minorEastAsia"/>
                <w:color w:val="000000"/>
                <w:sz w:val="24"/>
              </w:rPr>
              <w:t>11</w:t>
            </w:r>
          </w:p>
        </w:tc>
        <w:tc>
          <w:tcPr>
            <w:vAlign w:val="center"/>
          </w:tcPr>
          <w:p>
            <w:pPr>
              <w:jc w:val="center"/>
            </w:pPr>
            <w:r>
              <w:rPr>
                <w:rFonts w:eastAsiaTheme="minorEastAsia"/>
                <w:color w:val="000000"/>
                <w:sz w:val="24"/>
              </w:rPr>
              <w:t>120002</w:t>
            </w:r>
          </w:p>
        </w:tc>
        <w:tc>
          <w:tcPr>
            <w:vAlign w:val="center"/>
          </w:tcPr>
          <w:p>
            <w:pPr>
              <w:jc w:val="center"/>
            </w:pPr>
            <w:r>
              <w:rPr>
                <w:rFonts w:eastAsiaTheme="minorEastAsia"/>
                <w:color w:val="000000"/>
                <w:sz w:val="24"/>
              </w:rPr>
              <w:t>18中原EB</w:t>
            </w:r>
          </w:p>
        </w:tc>
        <w:tc>
          <w:tcPr>
            <w:vAlign w:val="center"/>
          </w:tcPr>
          <w:p>
            <w:pPr>
              <w:jc w:val="right"/>
            </w:pPr>
            <w:r>
              <w:rPr>
                <w:rFonts w:eastAsiaTheme="minorEastAsia"/>
                <w:color w:val="000000"/>
                <w:sz w:val="24"/>
              </w:rPr>
              <w:t>760,852.00</w:t>
            </w:r>
          </w:p>
        </w:tc>
        <w:tc>
          <w:tcPr>
            <w:vAlign w:val="center"/>
          </w:tcPr>
          <w:p>
            <w:pPr>
              <w:jc w:val="right"/>
            </w:pPr>
            <w:r>
              <w:rPr>
                <w:rFonts w:eastAsiaTheme="minorEastAsia"/>
                <w:color w:val="000000"/>
                <w:sz w:val="24"/>
              </w:rPr>
              <w:t>1.87</w:t>
            </w:r>
          </w:p>
        </w:tc>
      </w:tr>
      <w:tr>
        <w:tc>
          <w:tcPr>
            <w:vAlign w:val="center"/>
          </w:tcPr>
          <w:p>
            <w:pPr>
              <w:jc w:val="center"/>
            </w:pPr>
            <w:r>
              <w:rPr>
                <w:rFonts w:eastAsiaTheme="minorEastAsia"/>
                <w:color w:val="000000"/>
                <w:sz w:val="24"/>
              </w:rPr>
              <w:t>12</w:t>
            </w:r>
          </w:p>
        </w:tc>
        <w:tc>
          <w:tcPr>
            <w:vAlign w:val="center"/>
          </w:tcPr>
          <w:p>
            <w:pPr>
              <w:jc w:val="center"/>
            </w:pPr>
            <w:r>
              <w:rPr>
                <w:rFonts w:eastAsiaTheme="minorEastAsia"/>
                <w:color w:val="000000"/>
                <w:sz w:val="24"/>
              </w:rPr>
              <w:t>123046</w:t>
            </w:r>
          </w:p>
        </w:tc>
        <w:tc>
          <w:tcPr>
            <w:vAlign w:val="center"/>
          </w:tcPr>
          <w:p>
            <w:pPr>
              <w:jc w:val="center"/>
            </w:pPr>
            <w:r>
              <w:rPr>
                <w:rFonts w:eastAsiaTheme="minorEastAsia"/>
                <w:color w:val="000000"/>
                <w:sz w:val="24"/>
              </w:rPr>
              <w:t>天铁转债</w:t>
            </w:r>
          </w:p>
        </w:tc>
        <w:tc>
          <w:tcPr>
            <w:vAlign w:val="center"/>
          </w:tcPr>
          <w:p>
            <w:pPr>
              <w:jc w:val="right"/>
            </w:pPr>
            <w:r>
              <w:rPr>
                <w:rFonts w:eastAsiaTheme="minorEastAsia"/>
                <w:color w:val="000000"/>
                <w:sz w:val="24"/>
              </w:rPr>
              <w:t>732,040.40</w:t>
            </w:r>
          </w:p>
        </w:tc>
        <w:tc>
          <w:tcPr>
            <w:vAlign w:val="center"/>
          </w:tcPr>
          <w:p>
            <w:pPr>
              <w:jc w:val="right"/>
            </w:pPr>
            <w:r>
              <w:rPr>
                <w:rFonts w:eastAsiaTheme="minorEastAsia"/>
                <w:color w:val="000000"/>
                <w:sz w:val="24"/>
              </w:rPr>
              <w:t>1.80</w:t>
            </w:r>
          </w:p>
        </w:tc>
      </w:tr>
      <w:tr>
        <w:tc>
          <w:tcPr>
            <w:vAlign w:val="center"/>
          </w:tcPr>
          <w:p>
            <w:pPr>
              <w:jc w:val="center"/>
            </w:pPr>
            <w:r>
              <w:rPr>
                <w:rFonts w:eastAsiaTheme="minorEastAsia"/>
                <w:color w:val="000000"/>
                <w:sz w:val="24"/>
              </w:rPr>
              <w:t>13</w:t>
            </w:r>
          </w:p>
        </w:tc>
        <w:tc>
          <w:tcPr>
            <w:vAlign w:val="center"/>
          </w:tcPr>
          <w:p>
            <w:pPr>
              <w:jc w:val="center"/>
            </w:pPr>
            <w:r>
              <w:rPr>
                <w:rFonts w:eastAsiaTheme="minorEastAsia"/>
                <w:color w:val="000000"/>
                <w:sz w:val="24"/>
              </w:rPr>
              <w:t>113504</w:t>
            </w:r>
          </w:p>
        </w:tc>
        <w:tc>
          <w:tcPr>
            <w:vAlign w:val="center"/>
          </w:tcPr>
          <w:p>
            <w:pPr>
              <w:jc w:val="center"/>
            </w:pPr>
            <w:r>
              <w:rPr>
                <w:rFonts w:eastAsiaTheme="minorEastAsia"/>
                <w:color w:val="000000"/>
                <w:sz w:val="24"/>
              </w:rPr>
              <w:t>艾华转债</w:t>
            </w:r>
          </w:p>
        </w:tc>
        <w:tc>
          <w:tcPr>
            <w:vAlign w:val="center"/>
          </w:tcPr>
          <w:p>
            <w:pPr>
              <w:jc w:val="right"/>
            </w:pPr>
            <w:r>
              <w:rPr>
                <w:rFonts w:eastAsiaTheme="minorEastAsia"/>
                <w:color w:val="000000"/>
                <w:sz w:val="24"/>
              </w:rPr>
              <w:t>660,937.20</w:t>
            </w:r>
          </w:p>
        </w:tc>
        <w:tc>
          <w:tcPr>
            <w:vAlign w:val="center"/>
          </w:tcPr>
          <w:p>
            <w:pPr>
              <w:jc w:val="right"/>
            </w:pPr>
            <w:r>
              <w:rPr>
                <w:rFonts w:eastAsiaTheme="minorEastAsia"/>
                <w:color w:val="000000"/>
                <w:sz w:val="24"/>
              </w:rPr>
              <w:t>1.63</w:t>
            </w:r>
          </w:p>
        </w:tc>
      </w:tr>
      <w:tr>
        <w:tc>
          <w:tcPr>
            <w:vAlign w:val="center"/>
          </w:tcPr>
          <w:p>
            <w:pPr>
              <w:jc w:val="center"/>
            </w:pPr>
            <w:r>
              <w:rPr>
                <w:rFonts w:eastAsiaTheme="minorEastAsia"/>
                <w:color w:val="000000"/>
                <w:sz w:val="24"/>
              </w:rPr>
              <w:t>14</w:t>
            </w:r>
          </w:p>
        </w:tc>
        <w:tc>
          <w:tcPr>
            <w:vAlign w:val="center"/>
          </w:tcPr>
          <w:p>
            <w:pPr>
              <w:jc w:val="center"/>
            </w:pPr>
            <w:r>
              <w:rPr>
                <w:rFonts w:eastAsiaTheme="minorEastAsia"/>
                <w:color w:val="000000"/>
                <w:sz w:val="24"/>
              </w:rPr>
              <w:t>113542</w:t>
            </w:r>
          </w:p>
        </w:tc>
        <w:tc>
          <w:tcPr>
            <w:vAlign w:val="center"/>
          </w:tcPr>
          <w:p>
            <w:pPr>
              <w:jc w:val="center"/>
            </w:pPr>
            <w:r>
              <w:rPr>
                <w:rFonts w:eastAsiaTheme="minorEastAsia"/>
                <w:color w:val="000000"/>
                <w:sz w:val="24"/>
              </w:rPr>
              <w:t>好客转债</w:t>
            </w:r>
          </w:p>
        </w:tc>
        <w:tc>
          <w:tcPr>
            <w:vAlign w:val="center"/>
          </w:tcPr>
          <w:p>
            <w:pPr>
              <w:jc w:val="right"/>
            </w:pPr>
            <w:r>
              <w:rPr>
                <w:rFonts w:eastAsiaTheme="minorEastAsia"/>
                <w:color w:val="000000"/>
                <w:sz w:val="24"/>
              </w:rPr>
              <w:t>567,546.90</w:t>
            </w:r>
          </w:p>
        </w:tc>
        <w:tc>
          <w:tcPr>
            <w:vAlign w:val="center"/>
          </w:tcPr>
          <w:p>
            <w:pPr>
              <w:jc w:val="right"/>
            </w:pPr>
            <w:r>
              <w:rPr>
                <w:rFonts w:eastAsiaTheme="minorEastAsia"/>
                <w:color w:val="000000"/>
                <w:sz w:val="24"/>
              </w:rPr>
              <w:t>1.40</w:t>
            </w:r>
          </w:p>
        </w:tc>
      </w:tr>
      <w:tr>
        <w:tc>
          <w:tcPr>
            <w:vAlign w:val="center"/>
          </w:tcPr>
          <w:p>
            <w:pPr>
              <w:jc w:val="center"/>
            </w:pPr>
            <w:r>
              <w:rPr>
                <w:rFonts w:eastAsiaTheme="minorEastAsia"/>
                <w:color w:val="000000"/>
                <w:sz w:val="24"/>
              </w:rPr>
              <w:t>15</w:t>
            </w:r>
          </w:p>
        </w:tc>
        <w:tc>
          <w:tcPr>
            <w:vAlign w:val="center"/>
          </w:tcPr>
          <w:p>
            <w:pPr>
              <w:jc w:val="center"/>
            </w:pPr>
            <w:r>
              <w:rPr>
                <w:rFonts w:eastAsiaTheme="minorEastAsia"/>
                <w:color w:val="000000"/>
                <w:sz w:val="24"/>
              </w:rPr>
              <w:t>128067</w:t>
            </w:r>
          </w:p>
        </w:tc>
        <w:tc>
          <w:tcPr>
            <w:vAlign w:val="center"/>
          </w:tcPr>
          <w:p>
            <w:pPr>
              <w:jc w:val="center"/>
            </w:pPr>
            <w:r>
              <w:rPr>
                <w:rFonts w:eastAsiaTheme="minorEastAsia"/>
                <w:color w:val="000000"/>
                <w:sz w:val="24"/>
              </w:rPr>
              <w:t>一心转债</w:t>
            </w:r>
          </w:p>
        </w:tc>
        <w:tc>
          <w:tcPr>
            <w:vAlign w:val="center"/>
          </w:tcPr>
          <w:p>
            <w:pPr>
              <w:jc w:val="right"/>
            </w:pPr>
            <w:r>
              <w:rPr>
                <w:rFonts w:eastAsiaTheme="minorEastAsia"/>
                <w:color w:val="000000"/>
                <w:sz w:val="24"/>
              </w:rPr>
              <w:t>559,171.60</w:t>
            </w:r>
          </w:p>
        </w:tc>
        <w:tc>
          <w:tcPr>
            <w:vAlign w:val="center"/>
          </w:tcPr>
          <w:p>
            <w:pPr>
              <w:jc w:val="right"/>
            </w:pPr>
            <w:r>
              <w:rPr>
                <w:rFonts w:eastAsiaTheme="minorEastAsia"/>
                <w:color w:val="000000"/>
                <w:sz w:val="24"/>
              </w:rPr>
              <w:t>1.38</w:t>
            </w:r>
          </w:p>
        </w:tc>
      </w:tr>
      <w:tr>
        <w:tc>
          <w:tcPr>
            <w:vAlign w:val="center"/>
          </w:tcPr>
          <w:p>
            <w:pPr>
              <w:jc w:val="center"/>
            </w:pPr>
            <w:r>
              <w:rPr>
                <w:rFonts w:eastAsiaTheme="minorEastAsia"/>
                <w:color w:val="000000"/>
                <w:sz w:val="24"/>
              </w:rPr>
              <w:t>16</w:t>
            </w:r>
          </w:p>
        </w:tc>
        <w:tc>
          <w:tcPr>
            <w:vAlign w:val="center"/>
          </w:tcPr>
          <w:p>
            <w:pPr>
              <w:jc w:val="center"/>
            </w:pPr>
            <w:r>
              <w:rPr>
                <w:rFonts w:eastAsiaTheme="minorEastAsia"/>
                <w:color w:val="000000"/>
                <w:sz w:val="24"/>
              </w:rPr>
              <w:t>128075</w:t>
            </w:r>
          </w:p>
        </w:tc>
        <w:tc>
          <w:tcPr>
            <w:vAlign w:val="center"/>
          </w:tcPr>
          <w:p>
            <w:pPr>
              <w:jc w:val="center"/>
            </w:pPr>
            <w:r>
              <w:rPr>
                <w:rFonts w:eastAsiaTheme="minorEastAsia"/>
                <w:color w:val="000000"/>
                <w:sz w:val="24"/>
              </w:rPr>
              <w:t>远东转债</w:t>
            </w:r>
          </w:p>
        </w:tc>
        <w:tc>
          <w:tcPr>
            <w:vAlign w:val="center"/>
          </w:tcPr>
          <w:p>
            <w:pPr>
              <w:jc w:val="right"/>
            </w:pPr>
            <w:r>
              <w:rPr>
                <w:rFonts w:eastAsiaTheme="minorEastAsia"/>
                <w:color w:val="000000"/>
                <w:sz w:val="24"/>
              </w:rPr>
              <w:t>352,212.80</w:t>
            </w:r>
          </w:p>
        </w:tc>
        <w:tc>
          <w:tcPr>
            <w:vAlign w:val="center"/>
          </w:tcPr>
          <w:p>
            <w:pPr>
              <w:jc w:val="right"/>
            </w:pPr>
            <w:r>
              <w:rPr>
                <w:rFonts w:eastAsiaTheme="minorEastAsia"/>
                <w:color w:val="000000"/>
                <w:sz w:val="24"/>
              </w:rPr>
              <w:t>0.87</w:t>
            </w:r>
          </w:p>
        </w:tc>
      </w:tr>
      <w:tr>
        <w:tc>
          <w:tcPr>
            <w:vAlign w:val="center"/>
          </w:tcPr>
          <w:p>
            <w:pPr>
              <w:jc w:val="center"/>
            </w:pPr>
            <w:r>
              <w:rPr>
                <w:rFonts w:eastAsiaTheme="minorEastAsia"/>
                <w:color w:val="000000"/>
                <w:sz w:val="24"/>
              </w:rPr>
              <w:t>17</w:t>
            </w:r>
          </w:p>
        </w:tc>
        <w:tc>
          <w:tcPr>
            <w:vAlign w:val="center"/>
          </w:tcPr>
          <w:p>
            <w:pPr>
              <w:jc w:val="center"/>
            </w:pPr>
            <w:r>
              <w:rPr>
                <w:rFonts w:eastAsiaTheme="minorEastAsia"/>
                <w:color w:val="000000"/>
                <w:sz w:val="24"/>
              </w:rPr>
              <w:t>113519</w:t>
            </w:r>
          </w:p>
        </w:tc>
        <w:tc>
          <w:tcPr>
            <w:vAlign w:val="center"/>
          </w:tcPr>
          <w:p>
            <w:pPr>
              <w:jc w:val="center"/>
            </w:pPr>
            <w:r>
              <w:rPr>
                <w:rFonts w:eastAsiaTheme="minorEastAsia"/>
                <w:color w:val="000000"/>
                <w:sz w:val="24"/>
              </w:rPr>
              <w:t>长久转债</w:t>
            </w:r>
          </w:p>
        </w:tc>
        <w:tc>
          <w:tcPr>
            <w:vAlign w:val="center"/>
          </w:tcPr>
          <w:p>
            <w:pPr>
              <w:jc w:val="right"/>
            </w:pPr>
            <w:r>
              <w:rPr>
                <w:rFonts w:eastAsiaTheme="minorEastAsia"/>
                <w:color w:val="000000"/>
                <w:sz w:val="24"/>
              </w:rPr>
              <w:t>320,094.40</w:t>
            </w:r>
          </w:p>
        </w:tc>
        <w:tc>
          <w:tcPr>
            <w:vAlign w:val="center"/>
          </w:tcPr>
          <w:p>
            <w:pPr>
              <w:jc w:val="right"/>
            </w:pPr>
            <w:r>
              <w:rPr>
                <w:rFonts w:eastAsiaTheme="minorEastAsia"/>
                <w:color w:val="000000"/>
                <w:sz w:val="24"/>
              </w:rPr>
              <w:t>0.79</w:t>
            </w:r>
          </w:p>
        </w:tc>
      </w:tr>
      <w:tr>
        <w:tc>
          <w:tcPr>
            <w:vAlign w:val="center"/>
          </w:tcPr>
          <w:p>
            <w:pPr>
              <w:jc w:val="center"/>
            </w:pPr>
            <w:r>
              <w:rPr>
                <w:rFonts w:eastAsiaTheme="minorEastAsia"/>
                <w:color w:val="000000"/>
                <w:sz w:val="24"/>
              </w:rPr>
              <w:t>18</w:t>
            </w:r>
          </w:p>
        </w:tc>
        <w:tc>
          <w:tcPr>
            <w:vAlign w:val="center"/>
          </w:tcPr>
          <w:p>
            <w:pPr>
              <w:jc w:val="center"/>
            </w:pPr>
            <w:r>
              <w:rPr>
                <w:rFonts w:eastAsiaTheme="minorEastAsia"/>
                <w:color w:val="000000"/>
                <w:sz w:val="24"/>
              </w:rPr>
              <w:t>113562</w:t>
            </w:r>
          </w:p>
        </w:tc>
        <w:tc>
          <w:tcPr>
            <w:vAlign w:val="center"/>
          </w:tcPr>
          <w:p>
            <w:pPr>
              <w:jc w:val="center"/>
            </w:pPr>
            <w:r>
              <w:rPr>
                <w:rFonts w:eastAsiaTheme="minorEastAsia"/>
                <w:color w:val="000000"/>
                <w:sz w:val="24"/>
              </w:rPr>
              <w:t>璞泰转债</w:t>
            </w:r>
          </w:p>
        </w:tc>
        <w:tc>
          <w:tcPr>
            <w:vAlign w:val="center"/>
          </w:tcPr>
          <w:p>
            <w:pPr>
              <w:jc w:val="right"/>
            </w:pPr>
            <w:r>
              <w:rPr>
                <w:rFonts w:eastAsiaTheme="minorEastAsia"/>
                <w:color w:val="000000"/>
                <w:sz w:val="24"/>
              </w:rPr>
              <w:t>283,950.40</w:t>
            </w:r>
          </w:p>
        </w:tc>
        <w:tc>
          <w:tcPr>
            <w:vAlign w:val="center"/>
          </w:tcPr>
          <w:p>
            <w:pPr>
              <w:jc w:val="right"/>
            </w:pPr>
            <w:r>
              <w:rPr>
                <w:rFonts w:eastAsiaTheme="minorEastAsia"/>
                <w:color w:val="000000"/>
                <w:sz w:val="24"/>
              </w:rPr>
              <w:t>0.70</w:t>
            </w:r>
          </w:p>
        </w:tc>
      </w:tr>
      <w:tr>
        <w:tc>
          <w:tcPr>
            <w:vAlign w:val="center"/>
          </w:tcPr>
          <w:p>
            <w:pPr>
              <w:jc w:val="center"/>
            </w:pPr>
            <w:r>
              <w:rPr>
                <w:rFonts w:eastAsiaTheme="minorEastAsia"/>
                <w:color w:val="000000"/>
                <w:sz w:val="24"/>
              </w:rPr>
              <w:t>19</w:t>
            </w:r>
          </w:p>
        </w:tc>
        <w:tc>
          <w:tcPr>
            <w:vAlign w:val="center"/>
          </w:tcPr>
          <w:p>
            <w:pPr>
              <w:jc w:val="center"/>
            </w:pPr>
            <w:r>
              <w:rPr>
                <w:rFonts w:eastAsiaTheme="minorEastAsia"/>
                <w:color w:val="000000"/>
                <w:sz w:val="24"/>
              </w:rPr>
              <w:t>110034</w:t>
            </w:r>
          </w:p>
        </w:tc>
        <w:tc>
          <w:tcPr>
            <w:vAlign w:val="center"/>
          </w:tcPr>
          <w:p>
            <w:pPr>
              <w:jc w:val="center"/>
            </w:pPr>
            <w:r>
              <w:rPr>
                <w:rFonts w:eastAsiaTheme="minorEastAsia"/>
                <w:color w:val="000000"/>
                <w:sz w:val="24"/>
              </w:rPr>
              <w:t>九州转债</w:t>
            </w:r>
          </w:p>
        </w:tc>
        <w:tc>
          <w:tcPr>
            <w:vAlign w:val="center"/>
          </w:tcPr>
          <w:p>
            <w:pPr>
              <w:jc w:val="right"/>
            </w:pPr>
            <w:r>
              <w:rPr>
                <w:rFonts w:eastAsiaTheme="minorEastAsia"/>
                <w:color w:val="000000"/>
                <w:sz w:val="24"/>
              </w:rPr>
              <w:t>234,868.50</w:t>
            </w:r>
          </w:p>
        </w:tc>
        <w:tc>
          <w:tcPr>
            <w:vAlign w:val="center"/>
          </w:tcPr>
          <w:p>
            <w:pPr>
              <w:jc w:val="right"/>
            </w:pPr>
            <w:r>
              <w:rPr>
                <w:rFonts w:eastAsiaTheme="minorEastAsia"/>
                <w:color w:val="000000"/>
                <w:sz w:val="24"/>
              </w:rPr>
              <w:t>0.58</w:t>
            </w:r>
          </w:p>
        </w:tc>
      </w:tr>
      <w:tr>
        <w:tc>
          <w:tcPr>
            <w:vAlign w:val="center"/>
          </w:tcPr>
          <w:p>
            <w:pPr>
              <w:jc w:val="center"/>
            </w:pPr>
            <w:r>
              <w:rPr>
                <w:rFonts w:eastAsiaTheme="minorEastAsia"/>
                <w:color w:val="000000"/>
                <w:sz w:val="24"/>
              </w:rPr>
              <w:t>20</w:t>
            </w:r>
          </w:p>
        </w:tc>
        <w:tc>
          <w:tcPr>
            <w:vAlign w:val="center"/>
          </w:tcPr>
          <w:p>
            <w:pPr>
              <w:jc w:val="center"/>
            </w:pPr>
            <w:r>
              <w:rPr>
                <w:rFonts w:eastAsiaTheme="minorEastAsia"/>
                <w:color w:val="000000"/>
                <w:sz w:val="24"/>
              </w:rPr>
              <w:t>128095</w:t>
            </w:r>
          </w:p>
        </w:tc>
        <w:tc>
          <w:tcPr>
            <w:vAlign w:val="center"/>
          </w:tcPr>
          <w:p>
            <w:pPr>
              <w:jc w:val="center"/>
            </w:pPr>
            <w:r>
              <w:rPr>
                <w:rFonts w:eastAsiaTheme="minorEastAsia"/>
                <w:color w:val="000000"/>
                <w:sz w:val="24"/>
              </w:rPr>
              <w:t>恩捷转债</w:t>
            </w:r>
          </w:p>
        </w:tc>
        <w:tc>
          <w:tcPr>
            <w:vAlign w:val="center"/>
          </w:tcPr>
          <w:p>
            <w:pPr>
              <w:jc w:val="right"/>
            </w:pPr>
            <w:r>
              <w:rPr>
                <w:rFonts w:eastAsiaTheme="minorEastAsia"/>
                <w:color w:val="000000"/>
                <w:sz w:val="24"/>
              </w:rPr>
              <w:t>209,434.80</w:t>
            </w:r>
          </w:p>
        </w:tc>
        <w:tc>
          <w:tcPr>
            <w:vAlign w:val="center"/>
          </w:tcPr>
          <w:p>
            <w:pPr>
              <w:jc w:val="right"/>
            </w:pPr>
            <w:r>
              <w:rPr>
                <w:rFonts w:eastAsiaTheme="minorEastAsia"/>
                <w:color w:val="000000"/>
                <w:sz w:val="24"/>
              </w:rPr>
              <w:t>0.52</w:t>
            </w:r>
          </w:p>
        </w:tc>
      </w:tr>
      <w:tr>
        <w:tc>
          <w:tcPr>
            <w:vAlign w:val="center"/>
          </w:tcPr>
          <w:p>
            <w:pPr>
              <w:jc w:val="center"/>
            </w:pPr>
            <w:r>
              <w:rPr>
                <w:rFonts w:eastAsiaTheme="minorEastAsia"/>
                <w:color w:val="000000"/>
                <w:sz w:val="24"/>
              </w:rPr>
              <w:t>21</w:t>
            </w:r>
          </w:p>
        </w:tc>
        <w:tc>
          <w:tcPr>
            <w:vAlign w:val="center"/>
          </w:tcPr>
          <w:p>
            <w:pPr>
              <w:jc w:val="center"/>
            </w:pPr>
            <w:r>
              <w:rPr>
                <w:rFonts w:eastAsiaTheme="minorEastAsia"/>
                <w:color w:val="000000"/>
                <w:sz w:val="24"/>
              </w:rPr>
              <w:t>128028</w:t>
            </w:r>
          </w:p>
        </w:tc>
        <w:tc>
          <w:tcPr>
            <w:vAlign w:val="center"/>
          </w:tcPr>
          <w:p>
            <w:pPr>
              <w:jc w:val="center"/>
            </w:pPr>
            <w:r>
              <w:rPr>
                <w:rFonts w:eastAsiaTheme="minorEastAsia"/>
                <w:color w:val="000000"/>
                <w:sz w:val="24"/>
              </w:rPr>
              <w:t>赣锋转债</w:t>
            </w:r>
          </w:p>
        </w:tc>
        <w:tc>
          <w:tcPr>
            <w:vAlign w:val="center"/>
          </w:tcPr>
          <w:p>
            <w:pPr>
              <w:jc w:val="right"/>
            </w:pPr>
            <w:r>
              <w:rPr>
                <w:rFonts w:eastAsiaTheme="minorEastAsia"/>
                <w:color w:val="000000"/>
                <w:sz w:val="24"/>
              </w:rPr>
              <w:t>208,798.40</w:t>
            </w:r>
          </w:p>
        </w:tc>
        <w:tc>
          <w:tcPr>
            <w:vAlign w:val="center"/>
          </w:tcPr>
          <w:p>
            <w:pPr>
              <w:jc w:val="right"/>
            </w:pPr>
            <w:r>
              <w:rPr>
                <w:rFonts w:eastAsiaTheme="minorEastAsia"/>
                <w:color w:val="000000"/>
                <w:sz w:val="24"/>
              </w:rPr>
              <w:t>0.51</w:t>
            </w:r>
          </w:p>
        </w:tc>
      </w:tr>
      <w:tr>
        <w:tc>
          <w:tcPr>
            <w:vAlign w:val="center"/>
          </w:tcPr>
          <w:p>
            <w:pPr>
              <w:jc w:val="center"/>
            </w:pPr>
            <w:r>
              <w:rPr>
                <w:rFonts w:eastAsiaTheme="minorEastAsia"/>
                <w:color w:val="000000"/>
                <w:sz w:val="24"/>
              </w:rPr>
              <w:t>22</w:t>
            </w:r>
          </w:p>
        </w:tc>
        <w:tc>
          <w:tcPr>
            <w:vAlign w:val="center"/>
          </w:tcPr>
          <w:p>
            <w:pPr>
              <w:jc w:val="center"/>
            </w:pPr>
            <w:r>
              <w:rPr>
                <w:rFonts w:eastAsiaTheme="minorEastAsia"/>
                <w:color w:val="000000"/>
                <w:sz w:val="24"/>
              </w:rPr>
              <w:t>128102</w:t>
            </w:r>
          </w:p>
        </w:tc>
        <w:tc>
          <w:tcPr>
            <w:vAlign w:val="center"/>
          </w:tcPr>
          <w:p>
            <w:pPr>
              <w:jc w:val="center"/>
            </w:pPr>
            <w:r>
              <w:rPr>
                <w:rFonts w:eastAsiaTheme="minorEastAsia"/>
                <w:color w:val="000000"/>
                <w:sz w:val="24"/>
              </w:rPr>
              <w:t>海大转债</w:t>
            </w:r>
          </w:p>
        </w:tc>
        <w:tc>
          <w:tcPr>
            <w:vAlign w:val="center"/>
          </w:tcPr>
          <w:p>
            <w:pPr>
              <w:jc w:val="right"/>
            </w:pPr>
            <w:r>
              <w:rPr>
                <w:rFonts w:eastAsiaTheme="minorEastAsia"/>
                <w:color w:val="000000"/>
                <w:sz w:val="24"/>
              </w:rPr>
              <w:t>189,614.70</w:t>
            </w:r>
          </w:p>
        </w:tc>
        <w:tc>
          <w:tcPr>
            <w:vAlign w:val="center"/>
          </w:tcPr>
          <w:p>
            <w:pPr>
              <w:jc w:val="right"/>
            </w:pPr>
            <w:r>
              <w:rPr>
                <w:rFonts w:eastAsiaTheme="minorEastAsia"/>
                <w:color w:val="000000"/>
                <w:sz w:val="24"/>
              </w:rPr>
              <w:t>0.47</w:t>
            </w:r>
          </w:p>
        </w:tc>
      </w:tr>
      <w:tr>
        <w:tc>
          <w:tcPr>
            <w:vAlign w:val="center"/>
          </w:tcPr>
          <w:p>
            <w:pPr>
              <w:jc w:val="center"/>
            </w:pPr>
            <w:r>
              <w:rPr>
                <w:rFonts w:eastAsiaTheme="minorEastAsia"/>
                <w:color w:val="000000"/>
                <w:sz w:val="24"/>
              </w:rPr>
              <w:t>23</w:t>
            </w:r>
          </w:p>
        </w:tc>
        <w:tc>
          <w:tcPr>
            <w:vAlign w:val="center"/>
          </w:tcPr>
          <w:p>
            <w:pPr>
              <w:jc w:val="center"/>
            </w:pPr>
            <w:r>
              <w:rPr>
                <w:rFonts w:eastAsiaTheme="minorEastAsia"/>
                <w:color w:val="000000"/>
                <w:sz w:val="24"/>
              </w:rPr>
              <w:t>128056</w:t>
            </w:r>
          </w:p>
        </w:tc>
        <w:tc>
          <w:tcPr>
            <w:vAlign w:val="center"/>
          </w:tcPr>
          <w:p>
            <w:pPr>
              <w:jc w:val="center"/>
            </w:pPr>
            <w:r>
              <w:rPr>
                <w:rFonts w:eastAsiaTheme="minorEastAsia"/>
                <w:color w:val="000000"/>
                <w:sz w:val="24"/>
              </w:rPr>
              <w:t>今飞转债</w:t>
            </w:r>
          </w:p>
        </w:tc>
        <w:tc>
          <w:tcPr>
            <w:vAlign w:val="center"/>
          </w:tcPr>
          <w:p>
            <w:pPr>
              <w:jc w:val="right"/>
            </w:pPr>
            <w:r>
              <w:rPr>
                <w:rFonts w:eastAsiaTheme="minorEastAsia"/>
                <w:color w:val="000000"/>
                <w:sz w:val="24"/>
              </w:rPr>
              <w:t>129,932.00</w:t>
            </w:r>
          </w:p>
        </w:tc>
        <w:tc>
          <w:tcPr>
            <w:vAlign w:val="center"/>
          </w:tcPr>
          <w:p>
            <w:pPr>
              <w:jc w:val="right"/>
            </w:pPr>
            <w:r>
              <w:rPr>
                <w:rFonts w:eastAsiaTheme="minorEastAsia"/>
                <w:color w:val="000000"/>
                <w:sz w:val="24"/>
              </w:rPr>
              <w:t>0.32</w:t>
            </w:r>
          </w:p>
        </w:tc>
      </w:tr>
      <w:tr>
        <w:tc>
          <w:tcPr>
            <w:vAlign w:val="center"/>
          </w:tcPr>
          <w:p>
            <w:pPr>
              <w:jc w:val="center"/>
            </w:pPr>
            <w:r>
              <w:rPr>
                <w:rFonts w:eastAsiaTheme="minorEastAsia"/>
                <w:color w:val="000000"/>
                <w:sz w:val="24"/>
              </w:rPr>
              <w:t>24</w:t>
            </w:r>
          </w:p>
        </w:tc>
        <w:tc>
          <w:tcPr>
            <w:vAlign w:val="center"/>
          </w:tcPr>
          <w:p>
            <w:pPr>
              <w:jc w:val="center"/>
            </w:pPr>
            <w:r>
              <w:rPr>
                <w:rFonts w:eastAsiaTheme="minorEastAsia"/>
                <w:color w:val="000000"/>
                <w:sz w:val="24"/>
              </w:rPr>
              <w:t>123028</w:t>
            </w:r>
          </w:p>
        </w:tc>
        <w:tc>
          <w:tcPr>
            <w:vAlign w:val="center"/>
          </w:tcPr>
          <w:p>
            <w:pPr>
              <w:jc w:val="center"/>
            </w:pPr>
            <w:r>
              <w:rPr>
                <w:rFonts w:eastAsiaTheme="minorEastAsia"/>
                <w:color w:val="000000"/>
                <w:sz w:val="24"/>
              </w:rPr>
              <w:t>清水转债</w:t>
            </w:r>
          </w:p>
        </w:tc>
        <w:tc>
          <w:tcPr>
            <w:vAlign w:val="center"/>
          </w:tcPr>
          <w:p>
            <w:pPr>
              <w:jc w:val="right"/>
            </w:pPr>
            <w:r>
              <w:rPr>
                <w:rFonts w:eastAsiaTheme="minorEastAsia"/>
                <w:color w:val="000000"/>
                <w:sz w:val="24"/>
              </w:rPr>
              <w:t>123,332.00</w:t>
            </w:r>
          </w:p>
        </w:tc>
        <w:tc>
          <w:tcPr>
            <w:vAlign w:val="center"/>
          </w:tcPr>
          <w:p>
            <w:pPr>
              <w:jc w:val="right"/>
            </w:pPr>
            <w:r>
              <w:rPr>
                <w:rFonts w:eastAsiaTheme="minorEastAsia"/>
                <w:color w:val="000000"/>
                <w:sz w:val="24"/>
              </w:rPr>
              <w:t>0.30</w:t>
            </w:r>
          </w:p>
        </w:tc>
      </w:tr>
      <w:tr>
        <w:tc>
          <w:tcPr>
            <w:vAlign w:val="center"/>
          </w:tcPr>
          <w:p>
            <w:pPr>
              <w:jc w:val="center"/>
            </w:pPr>
            <w:r>
              <w:rPr>
                <w:rFonts w:eastAsiaTheme="minorEastAsia"/>
                <w:color w:val="000000"/>
                <w:sz w:val="24"/>
              </w:rPr>
              <w:t>25</w:t>
            </w:r>
          </w:p>
        </w:tc>
        <w:tc>
          <w:tcPr>
            <w:vAlign w:val="center"/>
          </w:tcPr>
          <w:p>
            <w:pPr>
              <w:jc w:val="center"/>
            </w:pPr>
            <w:r>
              <w:rPr>
                <w:rFonts w:eastAsiaTheme="minorEastAsia"/>
                <w:color w:val="000000"/>
                <w:sz w:val="24"/>
              </w:rPr>
              <w:t>113567</w:t>
            </w:r>
          </w:p>
        </w:tc>
        <w:tc>
          <w:tcPr>
            <w:vAlign w:val="center"/>
          </w:tcPr>
          <w:p>
            <w:pPr>
              <w:jc w:val="center"/>
            </w:pPr>
            <w:r>
              <w:rPr>
                <w:rFonts w:eastAsiaTheme="minorEastAsia"/>
                <w:color w:val="000000"/>
                <w:sz w:val="24"/>
              </w:rPr>
              <w:t>君禾转债</w:t>
            </w:r>
          </w:p>
        </w:tc>
        <w:tc>
          <w:tcPr>
            <w:vAlign w:val="center"/>
          </w:tcPr>
          <w:p>
            <w:pPr>
              <w:jc w:val="right"/>
            </w:pPr>
            <w:r>
              <w:rPr>
                <w:rFonts w:eastAsiaTheme="minorEastAsia"/>
                <w:color w:val="000000"/>
                <w:sz w:val="24"/>
              </w:rPr>
              <w:t>120,182.40</w:t>
            </w:r>
          </w:p>
        </w:tc>
        <w:tc>
          <w:tcPr>
            <w:vAlign w:val="center"/>
          </w:tcPr>
          <w:p>
            <w:pPr>
              <w:jc w:val="right"/>
            </w:pPr>
            <w:r>
              <w:rPr>
                <w:rFonts w:eastAsiaTheme="minorEastAsia"/>
                <w:color w:val="000000"/>
                <w:sz w:val="24"/>
              </w:rPr>
              <w:t>0.30</w:t>
            </w:r>
          </w:p>
        </w:tc>
      </w:tr>
      <w:tr>
        <w:tc>
          <w:tcPr>
            <w:vAlign w:val="center"/>
          </w:tcPr>
          <w:p>
            <w:pPr>
              <w:jc w:val="center"/>
            </w:pPr>
            <w:r>
              <w:rPr>
                <w:rFonts w:eastAsiaTheme="minorEastAsia"/>
                <w:color w:val="000000"/>
                <w:sz w:val="24"/>
              </w:rPr>
              <w:t>26</w:t>
            </w:r>
          </w:p>
        </w:tc>
        <w:tc>
          <w:tcPr>
            <w:vAlign w:val="center"/>
          </w:tcPr>
          <w:p>
            <w:pPr>
              <w:jc w:val="center"/>
            </w:pPr>
            <w:r>
              <w:rPr>
                <w:rFonts w:eastAsiaTheme="minorEastAsia"/>
                <w:color w:val="000000"/>
                <w:sz w:val="24"/>
              </w:rPr>
              <w:t>123045</w:t>
            </w:r>
          </w:p>
        </w:tc>
        <w:tc>
          <w:tcPr>
            <w:vAlign w:val="center"/>
          </w:tcPr>
          <w:p>
            <w:pPr>
              <w:jc w:val="center"/>
            </w:pPr>
            <w:r>
              <w:rPr>
                <w:rFonts w:eastAsiaTheme="minorEastAsia"/>
                <w:color w:val="000000"/>
                <w:sz w:val="24"/>
              </w:rPr>
              <w:t>雷迪转债</w:t>
            </w:r>
          </w:p>
        </w:tc>
        <w:tc>
          <w:tcPr>
            <w:vAlign w:val="center"/>
          </w:tcPr>
          <w:p>
            <w:pPr>
              <w:jc w:val="right"/>
            </w:pPr>
            <w:r>
              <w:rPr>
                <w:rFonts w:eastAsiaTheme="minorEastAsia"/>
                <w:color w:val="000000"/>
                <w:sz w:val="24"/>
              </w:rPr>
              <w:t>118,336.70</w:t>
            </w:r>
          </w:p>
        </w:tc>
        <w:tc>
          <w:tcPr>
            <w:vAlign w:val="center"/>
          </w:tcPr>
          <w:p>
            <w:pPr>
              <w:jc w:val="right"/>
            </w:pPr>
            <w:r>
              <w:rPr>
                <w:rFonts w:eastAsiaTheme="minorEastAsia"/>
                <w:color w:val="000000"/>
                <w:sz w:val="24"/>
              </w:rPr>
              <w:t>0.29</w:t>
            </w:r>
          </w:p>
        </w:tc>
      </w:tr>
      <w:tr>
        <w:tc>
          <w:tcPr>
            <w:vAlign w:val="center"/>
          </w:tcPr>
          <w:p>
            <w:pPr>
              <w:jc w:val="center"/>
            </w:pPr>
            <w:r>
              <w:rPr>
                <w:rFonts w:eastAsiaTheme="minorEastAsia"/>
                <w:color w:val="000000"/>
                <w:sz w:val="24"/>
              </w:rPr>
              <w:t>27</w:t>
            </w:r>
          </w:p>
        </w:tc>
        <w:tc>
          <w:tcPr>
            <w:vAlign w:val="center"/>
          </w:tcPr>
          <w:p>
            <w:pPr>
              <w:jc w:val="center"/>
            </w:pPr>
            <w:r>
              <w:rPr>
                <w:rFonts w:eastAsiaTheme="minorEastAsia"/>
                <w:color w:val="000000"/>
                <w:sz w:val="24"/>
              </w:rPr>
              <w:t>113570</w:t>
            </w:r>
          </w:p>
        </w:tc>
        <w:tc>
          <w:tcPr>
            <w:vAlign w:val="center"/>
          </w:tcPr>
          <w:p>
            <w:pPr>
              <w:jc w:val="center"/>
            </w:pPr>
            <w:r>
              <w:rPr>
                <w:rFonts w:eastAsiaTheme="minorEastAsia"/>
                <w:color w:val="000000"/>
                <w:sz w:val="24"/>
              </w:rPr>
              <w:t>百达转债</w:t>
            </w:r>
          </w:p>
        </w:tc>
        <w:tc>
          <w:tcPr>
            <w:vAlign w:val="center"/>
          </w:tcPr>
          <w:p>
            <w:pPr>
              <w:jc w:val="right"/>
            </w:pPr>
            <w:r>
              <w:rPr>
                <w:rFonts w:eastAsiaTheme="minorEastAsia"/>
                <w:color w:val="000000"/>
                <w:sz w:val="24"/>
              </w:rPr>
              <w:t>116,488.30</w:t>
            </w:r>
          </w:p>
        </w:tc>
        <w:tc>
          <w:tcPr>
            <w:vAlign w:val="center"/>
          </w:tcPr>
          <w:p>
            <w:pPr>
              <w:jc w:val="right"/>
            </w:pPr>
            <w:r>
              <w:rPr>
                <w:rFonts w:eastAsiaTheme="minorEastAsia"/>
                <w:color w:val="000000"/>
                <w:sz w:val="24"/>
              </w:rPr>
              <w:t>0.29</w:t>
            </w:r>
          </w:p>
        </w:tc>
      </w:tr>
      <w:tr>
        <w:tc>
          <w:tcPr>
            <w:vAlign w:val="center"/>
          </w:tcPr>
          <w:p>
            <w:pPr>
              <w:jc w:val="center"/>
            </w:pPr>
            <w:r>
              <w:rPr>
                <w:rFonts w:eastAsiaTheme="minorEastAsia"/>
                <w:color w:val="000000"/>
                <w:sz w:val="24"/>
              </w:rPr>
              <w:t>28</w:t>
            </w:r>
          </w:p>
        </w:tc>
        <w:tc>
          <w:tcPr>
            <w:vAlign w:val="center"/>
          </w:tcPr>
          <w:p>
            <w:pPr>
              <w:jc w:val="center"/>
            </w:pPr>
            <w:r>
              <w:rPr>
                <w:rFonts w:eastAsiaTheme="minorEastAsia"/>
                <w:color w:val="000000"/>
                <w:sz w:val="24"/>
              </w:rPr>
              <w:t>110058</w:t>
            </w:r>
          </w:p>
        </w:tc>
        <w:tc>
          <w:tcPr>
            <w:vAlign w:val="center"/>
          </w:tcPr>
          <w:p>
            <w:pPr>
              <w:jc w:val="center"/>
            </w:pPr>
            <w:r>
              <w:rPr>
                <w:rFonts w:eastAsiaTheme="minorEastAsia"/>
                <w:color w:val="000000"/>
                <w:sz w:val="24"/>
              </w:rPr>
              <w:t>永鼎转债</w:t>
            </w:r>
          </w:p>
        </w:tc>
        <w:tc>
          <w:tcPr>
            <w:vAlign w:val="center"/>
          </w:tcPr>
          <w:p>
            <w:pPr>
              <w:jc w:val="right"/>
            </w:pPr>
            <w:r>
              <w:rPr>
                <w:rFonts w:eastAsiaTheme="minorEastAsia"/>
                <w:color w:val="000000"/>
                <w:sz w:val="24"/>
              </w:rPr>
              <w:t>116,370.00</w:t>
            </w:r>
          </w:p>
        </w:tc>
        <w:tc>
          <w:tcPr>
            <w:vAlign w:val="center"/>
          </w:tcPr>
          <w:p>
            <w:pPr>
              <w:jc w:val="right"/>
            </w:pPr>
            <w:r>
              <w:rPr>
                <w:rFonts w:eastAsiaTheme="minorEastAsia"/>
                <w:color w:val="000000"/>
                <w:sz w:val="24"/>
              </w:rPr>
              <w:t>0.29</w:t>
            </w:r>
          </w:p>
        </w:tc>
      </w:tr>
      <w:tr>
        <w:tc>
          <w:tcPr>
            <w:vAlign w:val="center"/>
          </w:tcPr>
          <w:p>
            <w:pPr>
              <w:jc w:val="center"/>
            </w:pPr>
            <w:r>
              <w:rPr>
                <w:rFonts w:eastAsiaTheme="minorEastAsia"/>
                <w:color w:val="000000"/>
                <w:sz w:val="24"/>
              </w:rPr>
              <w:t>29</w:t>
            </w:r>
          </w:p>
        </w:tc>
        <w:tc>
          <w:tcPr>
            <w:vAlign w:val="center"/>
          </w:tcPr>
          <w:p>
            <w:pPr>
              <w:jc w:val="center"/>
            </w:pPr>
            <w:r>
              <w:rPr>
                <w:rFonts w:eastAsiaTheme="minorEastAsia"/>
                <w:color w:val="000000"/>
                <w:sz w:val="24"/>
              </w:rPr>
              <w:t>113568</w:t>
            </w:r>
          </w:p>
        </w:tc>
        <w:tc>
          <w:tcPr>
            <w:vAlign w:val="center"/>
          </w:tcPr>
          <w:p>
            <w:pPr>
              <w:jc w:val="center"/>
            </w:pPr>
            <w:r>
              <w:rPr>
                <w:rFonts w:eastAsiaTheme="minorEastAsia"/>
                <w:color w:val="000000"/>
                <w:sz w:val="24"/>
              </w:rPr>
              <w:t>新春转债</w:t>
            </w:r>
          </w:p>
        </w:tc>
        <w:tc>
          <w:tcPr>
            <w:vAlign w:val="center"/>
          </w:tcPr>
          <w:p>
            <w:pPr>
              <w:jc w:val="right"/>
            </w:pPr>
            <w:r>
              <w:rPr>
                <w:rFonts w:eastAsiaTheme="minorEastAsia"/>
                <w:color w:val="000000"/>
                <w:sz w:val="24"/>
              </w:rPr>
              <w:t>116,182.00</w:t>
            </w:r>
          </w:p>
        </w:tc>
        <w:tc>
          <w:tcPr>
            <w:vAlign w:val="center"/>
          </w:tcPr>
          <w:p>
            <w:pPr>
              <w:jc w:val="right"/>
            </w:pPr>
            <w:r>
              <w:rPr>
                <w:rFonts w:eastAsiaTheme="minorEastAsia"/>
                <w:color w:val="000000"/>
                <w:sz w:val="24"/>
              </w:rPr>
              <w:t>0.29</w:t>
            </w:r>
          </w:p>
        </w:tc>
      </w:tr>
      <w:tr>
        <w:tc>
          <w:tcPr>
            <w:vAlign w:val="center"/>
          </w:tcPr>
          <w:p>
            <w:pPr>
              <w:jc w:val="center"/>
            </w:pPr>
            <w:r>
              <w:rPr>
                <w:rFonts w:eastAsiaTheme="minorEastAsia"/>
                <w:color w:val="000000"/>
                <w:sz w:val="24"/>
              </w:rPr>
              <w:t>30</w:t>
            </w:r>
          </w:p>
        </w:tc>
        <w:tc>
          <w:tcPr>
            <w:vAlign w:val="center"/>
          </w:tcPr>
          <w:p>
            <w:pPr>
              <w:jc w:val="center"/>
            </w:pPr>
            <w:r>
              <w:rPr>
                <w:rFonts w:eastAsiaTheme="minorEastAsia"/>
                <w:color w:val="000000"/>
                <w:sz w:val="24"/>
              </w:rPr>
              <w:t>110064</w:t>
            </w:r>
          </w:p>
        </w:tc>
        <w:tc>
          <w:tcPr>
            <w:vAlign w:val="center"/>
          </w:tcPr>
          <w:p>
            <w:pPr>
              <w:jc w:val="center"/>
            </w:pPr>
            <w:r>
              <w:rPr>
                <w:rFonts w:eastAsiaTheme="minorEastAsia"/>
                <w:color w:val="000000"/>
                <w:sz w:val="24"/>
              </w:rPr>
              <w:t>建工转债</w:t>
            </w:r>
          </w:p>
        </w:tc>
        <w:tc>
          <w:tcPr>
            <w:vAlign w:val="center"/>
          </w:tcPr>
          <w:p>
            <w:pPr>
              <w:jc w:val="right"/>
            </w:pPr>
            <w:r>
              <w:rPr>
                <w:rFonts w:eastAsiaTheme="minorEastAsia"/>
                <w:color w:val="000000"/>
                <w:sz w:val="24"/>
              </w:rPr>
              <w:t>108,763.20</w:t>
            </w:r>
          </w:p>
        </w:tc>
        <w:tc>
          <w:tcPr>
            <w:vAlign w:val="center"/>
          </w:tcPr>
          <w:p>
            <w:pPr>
              <w:jc w:val="right"/>
            </w:pPr>
            <w:r>
              <w:rPr>
                <w:rFonts w:eastAsiaTheme="minorEastAsia"/>
                <w:color w:val="000000"/>
                <w:sz w:val="24"/>
              </w:rPr>
              <w:t>0.27</w:t>
            </w:r>
          </w:p>
        </w:tc>
      </w:tr>
    </w:tbl>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交银增利增强债券A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交银增利增强债券C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15,201,423.53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3,792,719.09</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10,193,427.92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13,001,858.65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3,971,522.49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8,680,534.81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21,423,328.96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8,114,042.93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个人</w:t>
            </w:r>
          </w:p>
        </w:tc>
        <w:tc>
          <w:tcPr>
            <w:vAlign w:val="center"/>
          </w:tcPr>
          <w:p>
            <w:pPr>
              <w:jc w:val="center"/>
            </w:pPr>
            <w:r>
              <w:rPr>
                <w:rFonts w:ascii="宋体" w:hAnsi="宋体" w:hint="eastAsia"/>
                <w:kern w:val="0"/>
                <w:szCs w:val="21"/>
              </w:rPr>
              <w:t>1</w:t>
            </w:r>
          </w:p>
        </w:tc>
        <w:tc>
          <w:tcPr>
            <w:vAlign w:val="center"/>
          </w:tcPr>
          <w:p>
            <w:pPr>
              <w:jc w:val="center"/>
            </w:pPr>
            <w:r>
              <w:rPr>
                <w:rFonts w:ascii="宋体" w:hAnsi="宋体" w:hint="eastAsia"/>
                <w:kern w:val="0"/>
                <w:szCs w:val="21"/>
              </w:rPr>
              <w:t>2020/7/1-2020/9/30</w:t>
            </w:r>
          </w:p>
        </w:tc>
        <w:tc>
          <w:tcPr>
            <w:vAlign w:val="center"/>
          </w:tcPr>
          <w:p>
            <w:pPr>
              <w:jc w:val="center"/>
            </w:pPr>
            <w:r>
              <w:rPr>
                <w:rFonts w:ascii="宋体" w:hAnsi="宋体" w:hint="eastAsia"/>
                <w:kern w:val="0"/>
                <w:szCs w:val="21"/>
              </w:rPr>
              <w:t>4,064,227.64</w:t>
            </w:r>
          </w:p>
        </w:tc>
        <w:tc>
          <w:tcPr>
            <w:vAlign w:val="center"/>
          </w:tcPr>
          <w:p>
            <w:pPr>
              <w:jc w:val="center"/>
            </w:pPr>
            <w:r>
              <w:rPr>
                <w:rFonts w:ascii="宋体" w:hAnsi="宋体" w:hint="eastAsia"/>
                <w:kern w:val="0"/>
                <w:szCs w:val="21"/>
              </w:rPr>
              <w:t>-</w:t>
            </w:r>
          </w:p>
        </w:tc>
        <w:tc>
          <w:tcPr>
            <w:vAlign w:val="center"/>
          </w:tcPr>
          <w:p>
            <w:pPr>
              <w:jc w:val="center"/>
            </w:pPr>
            <w:r>
              <w:rPr>
                <w:rFonts w:ascii="宋体" w:hAnsi="宋体" w:hint="eastAsia"/>
                <w:kern w:val="0"/>
                <w:szCs w:val="21"/>
              </w:rPr>
              <w:t>-</w:t>
            </w:r>
          </w:p>
        </w:tc>
        <w:tc>
          <w:tcPr>
            <w:vAlign w:val="center"/>
          </w:tcPr>
          <w:p>
            <w:pPr>
              <w:jc w:val="center"/>
            </w:pPr>
            <w:r>
              <w:rPr>
                <w:rFonts w:ascii="宋体" w:hAnsi="宋体" w:hint="eastAsia"/>
                <w:kern w:val="0"/>
                <w:szCs w:val="21"/>
              </w:rPr>
              <w:t>4,064,227.64</w:t>
            </w:r>
          </w:p>
        </w:tc>
        <w:tc>
          <w:tcPr>
            <w:vAlign w:val="center"/>
          </w:tcPr>
          <w:p>
            <w:pPr>
              <w:jc w:val="center"/>
            </w:pPr>
            <w:r>
              <w:rPr>
                <w:rFonts w:ascii="宋体" w:hAnsi="宋体" w:hint="eastAsia"/>
                <w:kern w:val="0"/>
                <w:szCs w:val="21"/>
              </w:rPr>
              <w:t>13.76%</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8.2 影响投资者决策的其他重要信息</w:t>
      </w:r>
    </w:p>
    <w:p>
      <w:pPr>
        <w:spacing w:line="360" w:lineRule="auto"/>
        <w:ind w:firstLine="420" w:firstLineChars="200"/>
        <w:rPr>
          <w:rFonts w:ascii="宋体" w:hAnsi="宋体"/>
          <w:color w:val="000000"/>
          <w:szCs w:val="21"/>
        </w:rPr>
      </w:pPr>
      <w:r>
        <w:rPr>
          <w:rFonts w:ascii="宋体" w:hAnsi="宋体" w:hint="eastAsia"/>
          <w:color w:val="000000"/>
          <w:szCs w:val="21"/>
        </w:rPr>
        <w:t>1、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2020年7月20日发布的《交银施罗德基金管理有限公司关于交银施罗德增利增强债券型证券投资基金可投资科创板股票的公告》。</w:t>
      </w:r>
    </w:p>
    <w:p w:rsidP="00ED0E09" w:rsidR="00ED0E09" w:rsidRDefault="00ED0E09">
      <w:pPr>
        <w:spacing w:line="360" w:lineRule="auto"/>
        <w:ind w:firstLine="420" w:firstLineChars="200"/>
        <w:rPr>
          <w:rFonts w:ascii="宋体" w:hAnsi="宋体"/>
          <w:color w:val="000000"/>
          <w:szCs w:val="21"/>
        </w:rPr>
      </w:pPr>
      <w:r>
        <w:rPr>
          <w:rFonts w:ascii="宋体" w:hAnsi="宋体" w:hint="eastAsia"/>
          <w:color w:val="000000"/>
          <w:szCs w:val="21"/>
        </w:rPr>
        <w:t>2、为更好地维护基金份额持有人的利益，提高本基金基金份额净值的精确度，本基金管理人经与基金托管人协商一致，并报中国证券监督管理委员会备案，自2020年7月27日起调整本基金的基金份额净值计算小数点后保留位数，由保留到小数点后3位调整为小数点后4位，小数点后第5位四舍五入，并对本基金的基金合同、托管协议作相应修改。详情请查阅本基金管理人于2020年7月24日发布的《交银施罗德基金管理有限公司关于调整旗下11只公募基金的基金份额净值计算小数点后保留位数并修改基金合同、托管协议的公告》。</w:t>
      </w:r>
    </w:p>
    <w:p w:rsidP="007C14DF" w:rsidR="00BB1033" w:rsidRDefault="00BB1033" w:rsidRPr="007F52FA">
      <w:pPr>
        <w:spacing w:before="29" w:line="288" w:lineRule="auto"/>
        <w:ind w:firstLine="480" w:firstLineChars="200"/>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1、中国证监会准予交银施罗德增利增强债券型证券投资基金募集注册的文件；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2、《交银施罗德增利增强债券型证券投资基金基金合同》；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3、《交银施罗德增利增强债券型证券投资基金招募说明书》；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4、《交银施罗德增利增强债券型证券投资基金托管协议》；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5、关于申请募集注册交银施罗德增利增强债券型证券投资基金的法律意见书；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8、报告期内交银施罗德增利增强债券型证券投资基金在指定报刊上各项公告的原稿。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交银施罗德增利增强债券型证券投资基金2020年第3季度报告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