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交银施罗德现金宝货币市场基金</w:t>
      </w:r>
    </w:p>
    <w:p w:rsidR="00B60E27" w:rsidRPr="001E1B20" w:rsidRDefault="00B60E27" w:rsidP="00281564">
      <w:pPr>
        <w:spacing w:before="29" w:line="288" w:lineRule="auto"/>
        <w:jc w:val="center"/>
        <w:rPr>
          <w:b/>
          <w:sz w:val="36"/>
          <w:szCs w:val="36"/>
        </w:rPr>
      </w:pPr>
      <w:r w:rsidRPr="001E1B20">
        <w:rPr>
          <w:b/>
          <w:sz w:val="36"/>
          <w:szCs w:val="36"/>
        </w:rPr>
        <w:t>2020</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2020</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二〇二〇年十月二十八日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DE5046" w:rsidRDefault="000A73EA">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DE5046" w:rsidRDefault="000A73EA">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10</w:t>
      </w:r>
      <w:r>
        <w:rPr>
          <w:color w:val="000000"/>
          <w:sz w:val="24"/>
        </w:rPr>
        <w:t>月</w:t>
      </w:r>
      <w:r>
        <w:rPr>
          <w:color w:val="000000"/>
          <w:sz w:val="24"/>
        </w:rPr>
        <w:t>27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DE5046" w:rsidRDefault="000A73EA">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E5046" w:rsidRDefault="000A73EA">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DE5046" w:rsidRDefault="000A73EA">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2020</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交银现金宝货币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000710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2014</w:t>
            </w:r>
            <w:r w:rsidRPr="000E4C40">
              <w:rPr>
                <w:color w:val="000000"/>
                <w:kern w:val="0"/>
                <w:sz w:val="24"/>
              </w:rPr>
              <w:t>年</w:t>
            </w:r>
            <w:r w:rsidRPr="000E4C40">
              <w:rPr>
                <w:color w:val="000000"/>
                <w:kern w:val="0"/>
                <w:sz w:val="24"/>
              </w:rPr>
              <w:t>9</w:t>
            </w:r>
            <w:r w:rsidRPr="000E4C40">
              <w:rPr>
                <w:color w:val="000000"/>
                <w:kern w:val="0"/>
                <w:sz w:val="24"/>
              </w:rPr>
              <w:t>月</w:t>
            </w:r>
            <w:r w:rsidRPr="000E4C40">
              <w:rPr>
                <w:color w:val="000000"/>
                <w:kern w:val="0"/>
                <w:sz w:val="24"/>
              </w:rPr>
              <w:t>12</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20,238,139,064.34</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000710</w:t>
            </w:r>
          </w:p>
        </w:tc>
        <w:tc>
          <w:tcPr>
            <w:tcW w:w="2923" w:type="dxa"/>
            <w:vAlign w:val="center"/>
          </w:tcPr>
          <w:p w:rsidR="00A805BC" w:rsidRPr="000E4C40" w:rsidRDefault="00A805BC" w:rsidP="00281564">
            <w:pPr>
              <w:spacing w:before="29" w:line="288" w:lineRule="auto"/>
              <w:jc w:val="left"/>
              <w:rPr>
                <w:sz w:val="24"/>
              </w:rPr>
            </w:pPr>
            <w:r w:rsidRPr="000E4C40">
              <w:rPr>
                <w:sz w:val="24"/>
              </w:rPr>
              <w:t>002918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18,052,542,182.04</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2,185,596,882.30</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-2020</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85,937,597.21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5,100,584.27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85,937,597.21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5,100,584.27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18,052,542,182.04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2,185,596,882.30</w:t>
            </w:r>
          </w:p>
        </w:tc>
      </w:tr>
    </w:tbl>
    <w:p w:rsidR="00DE5046" w:rsidRDefault="000A73E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E</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交银现金宝货币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lastRenderedPageBreak/>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DE5046">
        <w:trPr>
          <w:jc w:val="center"/>
        </w:trPr>
        <w:tc>
          <w:tcPr>
            <w:tcW w:w="1266" w:type="dxa"/>
            <w:vAlign w:val="center"/>
          </w:tcPr>
          <w:p w:rsidR="00DE5046" w:rsidRDefault="000A73EA">
            <w:pPr>
              <w:jc w:val="left"/>
            </w:pPr>
            <w:r>
              <w:rPr>
                <w:color w:val="000000"/>
              </w:rPr>
              <w:t>过去三个月</w:t>
            </w:r>
          </w:p>
        </w:tc>
        <w:tc>
          <w:tcPr>
            <w:tcW w:w="1267" w:type="dxa"/>
            <w:vAlign w:val="center"/>
          </w:tcPr>
          <w:p w:rsidR="00DE5046" w:rsidRDefault="000A73EA">
            <w:pPr>
              <w:jc w:val="center"/>
            </w:pPr>
            <w:r>
              <w:rPr>
                <w:color w:val="000000"/>
              </w:rPr>
              <w:t>0.4062%</w:t>
            </w:r>
          </w:p>
        </w:tc>
        <w:tc>
          <w:tcPr>
            <w:tcW w:w="1267" w:type="dxa"/>
            <w:vAlign w:val="center"/>
          </w:tcPr>
          <w:p w:rsidR="00DE5046" w:rsidRDefault="000A73EA">
            <w:pPr>
              <w:jc w:val="center"/>
            </w:pPr>
            <w:r>
              <w:rPr>
                <w:color w:val="000000"/>
              </w:rPr>
              <w:t>0.0005%</w:t>
            </w:r>
          </w:p>
        </w:tc>
        <w:tc>
          <w:tcPr>
            <w:tcW w:w="1267" w:type="dxa"/>
            <w:vAlign w:val="center"/>
          </w:tcPr>
          <w:p w:rsidR="00DE5046" w:rsidRDefault="000A73EA">
            <w:pPr>
              <w:jc w:val="center"/>
            </w:pPr>
            <w:r>
              <w:rPr>
                <w:color w:val="000000"/>
              </w:rPr>
              <w:t>0.0882%</w:t>
            </w:r>
          </w:p>
        </w:tc>
        <w:tc>
          <w:tcPr>
            <w:tcW w:w="1267" w:type="dxa"/>
            <w:vAlign w:val="center"/>
          </w:tcPr>
          <w:p w:rsidR="00DE5046" w:rsidRDefault="000A73EA">
            <w:pPr>
              <w:jc w:val="center"/>
            </w:pPr>
            <w:r>
              <w:rPr>
                <w:color w:val="000000"/>
              </w:rPr>
              <w:t>0.0000%</w:t>
            </w:r>
          </w:p>
        </w:tc>
        <w:tc>
          <w:tcPr>
            <w:tcW w:w="1267" w:type="dxa"/>
            <w:vAlign w:val="center"/>
          </w:tcPr>
          <w:p w:rsidR="00DE5046" w:rsidRDefault="000A73EA">
            <w:pPr>
              <w:jc w:val="center"/>
            </w:pPr>
            <w:r>
              <w:rPr>
                <w:color w:val="000000"/>
              </w:rPr>
              <w:t>0.3180%</w:t>
            </w:r>
          </w:p>
        </w:tc>
        <w:tc>
          <w:tcPr>
            <w:tcW w:w="1267" w:type="dxa"/>
            <w:vAlign w:val="center"/>
          </w:tcPr>
          <w:p w:rsidR="00DE5046" w:rsidRDefault="000A73EA">
            <w:pPr>
              <w:jc w:val="center"/>
            </w:pPr>
            <w:r>
              <w:rPr>
                <w:color w:val="000000"/>
              </w:rPr>
              <w:t>0.0005%</w:t>
            </w:r>
          </w:p>
        </w:tc>
      </w:tr>
      <w:tr w:rsidR="00DE5046">
        <w:trPr>
          <w:jc w:val="center"/>
        </w:trPr>
        <w:tc>
          <w:tcPr>
            <w:tcW w:w="1266" w:type="dxa"/>
            <w:vAlign w:val="center"/>
          </w:tcPr>
          <w:p w:rsidR="00DE5046" w:rsidRDefault="000A73EA">
            <w:pPr>
              <w:jc w:val="left"/>
            </w:pPr>
            <w:r>
              <w:rPr>
                <w:color w:val="000000"/>
              </w:rPr>
              <w:t>过去六个月</w:t>
            </w:r>
          </w:p>
        </w:tc>
        <w:tc>
          <w:tcPr>
            <w:tcW w:w="1267" w:type="dxa"/>
            <w:vAlign w:val="center"/>
          </w:tcPr>
          <w:p w:rsidR="00DE5046" w:rsidRDefault="000A73EA">
            <w:pPr>
              <w:jc w:val="center"/>
            </w:pPr>
            <w:r>
              <w:rPr>
                <w:color w:val="000000"/>
              </w:rPr>
              <w:t>0.8758%</w:t>
            </w:r>
          </w:p>
        </w:tc>
        <w:tc>
          <w:tcPr>
            <w:tcW w:w="1267" w:type="dxa"/>
            <w:vAlign w:val="center"/>
          </w:tcPr>
          <w:p w:rsidR="00DE5046" w:rsidRDefault="000A73EA">
            <w:pPr>
              <w:jc w:val="center"/>
            </w:pPr>
            <w:r>
              <w:rPr>
                <w:color w:val="000000"/>
              </w:rPr>
              <w:t>0.0010%</w:t>
            </w:r>
          </w:p>
        </w:tc>
        <w:tc>
          <w:tcPr>
            <w:tcW w:w="1267" w:type="dxa"/>
            <w:vAlign w:val="center"/>
          </w:tcPr>
          <w:p w:rsidR="00DE5046" w:rsidRDefault="000A73EA">
            <w:pPr>
              <w:jc w:val="center"/>
            </w:pPr>
            <w:r>
              <w:rPr>
                <w:color w:val="000000"/>
              </w:rPr>
              <w:t>0.1755%</w:t>
            </w:r>
          </w:p>
        </w:tc>
        <w:tc>
          <w:tcPr>
            <w:tcW w:w="1267" w:type="dxa"/>
            <w:vAlign w:val="center"/>
          </w:tcPr>
          <w:p w:rsidR="00DE5046" w:rsidRDefault="000A73EA">
            <w:pPr>
              <w:jc w:val="center"/>
            </w:pPr>
            <w:r>
              <w:rPr>
                <w:color w:val="000000"/>
              </w:rPr>
              <w:t>0.0000%</w:t>
            </w:r>
          </w:p>
        </w:tc>
        <w:tc>
          <w:tcPr>
            <w:tcW w:w="1267" w:type="dxa"/>
            <w:vAlign w:val="center"/>
          </w:tcPr>
          <w:p w:rsidR="00DE5046" w:rsidRDefault="000A73EA">
            <w:pPr>
              <w:jc w:val="center"/>
            </w:pPr>
            <w:r>
              <w:rPr>
                <w:color w:val="000000"/>
              </w:rPr>
              <w:t>0.7003%</w:t>
            </w:r>
          </w:p>
        </w:tc>
        <w:tc>
          <w:tcPr>
            <w:tcW w:w="1267" w:type="dxa"/>
            <w:vAlign w:val="center"/>
          </w:tcPr>
          <w:p w:rsidR="00DE5046" w:rsidRDefault="000A73EA">
            <w:pPr>
              <w:jc w:val="center"/>
            </w:pPr>
            <w:r>
              <w:rPr>
                <w:color w:val="000000"/>
              </w:rPr>
              <w:t>0.0010%</w:t>
            </w:r>
          </w:p>
        </w:tc>
      </w:tr>
      <w:tr w:rsidR="00DE5046">
        <w:trPr>
          <w:jc w:val="center"/>
        </w:trPr>
        <w:tc>
          <w:tcPr>
            <w:tcW w:w="1266" w:type="dxa"/>
            <w:vAlign w:val="center"/>
          </w:tcPr>
          <w:p w:rsidR="00DE5046" w:rsidRDefault="000A73EA">
            <w:pPr>
              <w:jc w:val="left"/>
            </w:pPr>
            <w:r>
              <w:rPr>
                <w:color w:val="000000"/>
              </w:rPr>
              <w:t>过去一年</w:t>
            </w:r>
          </w:p>
        </w:tc>
        <w:tc>
          <w:tcPr>
            <w:tcW w:w="1267" w:type="dxa"/>
            <w:vAlign w:val="center"/>
          </w:tcPr>
          <w:p w:rsidR="00DE5046" w:rsidRDefault="000A73EA">
            <w:pPr>
              <w:jc w:val="center"/>
            </w:pPr>
            <w:r>
              <w:rPr>
                <w:color w:val="000000"/>
              </w:rPr>
              <w:t>2.1301%</w:t>
            </w:r>
          </w:p>
        </w:tc>
        <w:tc>
          <w:tcPr>
            <w:tcW w:w="1267" w:type="dxa"/>
            <w:vAlign w:val="center"/>
          </w:tcPr>
          <w:p w:rsidR="00DE5046" w:rsidRDefault="000A73EA">
            <w:pPr>
              <w:jc w:val="center"/>
            </w:pPr>
            <w:r>
              <w:rPr>
                <w:color w:val="000000"/>
              </w:rPr>
              <w:t>0.0016%</w:t>
            </w:r>
          </w:p>
        </w:tc>
        <w:tc>
          <w:tcPr>
            <w:tcW w:w="1267" w:type="dxa"/>
            <w:vAlign w:val="center"/>
          </w:tcPr>
          <w:p w:rsidR="00DE5046" w:rsidRDefault="000A73EA">
            <w:pPr>
              <w:jc w:val="center"/>
            </w:pPr>
            <w:r>
              <w:rPr>
                <w:color w:val="000000"/>
              </w:rPr>
              <w:t>0.3510%</w:t>
            </w:r>
          </w:p>
        </w:tc>
        <w:tc>
          <w:tcPr>
            <w:tcW w:w="1267" w:type="dxa"/>
            <w:vAlign w:val="center"/>
          </w:tcPr>
          <w:p w:rsidR="00DE5046" w:rsidRDefault="000A73EA">
            <w:pPr>
              <w:jc w:val="center"/>
            </w:pPr>
            <w:r>
              <w:rPr>
                <w:color w:val="000000"/>
              </w:rPr>
              <w:t>0.0000%</w:t>
            </w:r>
          </w:p>
        </w:tc>
        <w:tc>
          <w:tcPr>
            <w:tcW w:w="1267" w:type="dxa"/>
            <w:vAlign w:val="center"/>
          </w:tcPr>
          <w:p w:rsidR="00DE5046" w:rsidRDefault="000A73EA">
            <w:pPr>
              <w:jc w:val="center"/>
            </w:pPr>
            <w:r>
              <w:rPr>
                <w:color w:val="000000"/>
              </w:rPr>
              <w:t>1.7791%</w:t>
            </w:r>
          </w:p>
        </w:tc>
        <w:tc>
          <w:tcPr>
            <w:tcW w:w="1267" w:type="dxa"/>
            <w:vAlign w:val="center"/>
          </w:tcPr>
          <w:p w:rsidR="00DE5046" w:rsidRDefault="000A73EA">
            <w:pPr>
              <w:jc w:val="center"/>
            </w:pPr>
            <w:r>
              <w:rPr>
                <w:color w:val="000000"/>
              </w:rPr>
              <w:t>0.0016%</w:t>
            </w:r>
          </w:p>
        </w:tc>
      </w:tr>
      <w:tr w:rsidR="00DE5046">
        <w:trPr>
          <w:jc w:val="center"/>
        </w:trPr>
        <w:tc>
          <w:tcPr>
            <w:tcW w:w="1266" w:type="dxa"/>
            <w:vAlign w:val="center"/>
          </w:tcPr>
          <w:p w:rsidR="00DE5046" w:rsidRDefault="000A73EA">
            <w:pPr>
              <w:jc w:val="left"/>
            </w:pPr>
            <w:r>
              <w:rPr>
                <w:color w:val="000000"/>
              </w:rPr>
              <w:t>过去三年</w:t>
            </w:r>
          </w:p>
        </w:tc>
        <w:tc>
          <w:tcPr>
            <w:tcW w:w="1267" w:type="dxa"/>
            <w:vAlign w:val="center"/>
          </w:tcPr>
          <w:p w:rsidR="00DE5046" w:rsidRDefault="000A73EA">
            <w:pPr>
              <w:jc w:val="center"/>
            </w:pPr>
            <w:r>
              <w:rPr>
                <w:color w:val="000000"/>
              </w:rPr>
              <w:t>8.4405%</w:t>
            </w:r>
          </w:p>
        </w:tc>
        <w:tc>
          <w:tcPr>
            <w:tcW w:w="1267" w:type="dxa"/>
            <w:vAlign w:val="center"/>
          </w:tcPr>
          <w:p w:rsidR="00DE5046" w:rsidRDefault="000A73EA">
            <w:pPr>
              <w:jc w:val="center"/>
            </w:pPr>
            <w:r>
              <w:rPr>
                <w:color w:val="000000"/>
              </w:rPr>
              <w:t>0.0024%</w:t>
            </w:r>
          </w:p>
        </w:tc>
        <w:tc>
          <w:tcPr>
            <w:tcW w:w="1267" w:type="dxa"/>
            <w:vAlign w:val="center"/>
          </w:tcPr>
          <w:p w:rsidR="00DE5046" w:rsidRDefault="000A73EA">
            <w:pPr>
              <w:jc w:val="center"/>
            </w:pPr>
            <w:r>
              <w:rPr>
                <w:color w:val="000000"/>
              </w:rPr>
              <w:t>1.0510%</w:t>
            </w:r>
          </w:p>
        </w:tc>
        <w:tc>
          <w:tcPr>
            <w:tcW w:w="1267" w:type="dxa"/>
            <w:vAlign w:val="center"/>
          </w:tcPr>
          <w:p w:rsidR="00DE5046" w:rsidRDefault="000A73EA">
            <w:pPr>
              <w:jc w:val="center"/>
            </w:pPr>
            <w:r>
              <w:rPr>
                <w:color w:val="000000"/>
              </w:rPr>
              <w:t>0.0000%</w:t>
            </w:r>
          </w:p>
        </w:tc>
        <w:tc>
          <w:tcPr>
            <w:tcW w:w="1267" w:type="dxa"/>
            <w:vAlign w:val="center"/>
          </w:tcPr>
          <w:p w:rsidR="00DE5046" w:rsidRDefault="000A73EA">
            <w:pPr>
              <w:jc w:val="center"/>
            </w:pPr>
            <w:r>
              <w:rPr>
                <w:color w:val="000000"/>
              </w:rPr>
              <w:t>7.3895%</w:t>
            </w:r>
          </w:p>
        </w:tc>
        <w:tc>
          <w:tcPr>
            <w:tcW w:w="1267" w:type="dxa"/>
            <w:vAlign w:val="center"/>
          </w:tcPr>
          <w:p w:rsidR="00DE5046" w:rsidRDefault="000A73EA">
            <w:pPr>
              <w:jc w:val="center"/>
            </w:pPr>
            <w:r>
              <w:rPr>
                <w:color w:val="000000"/>
              </w:rPr>
              <w:t>0.0024%</w:t>
            </w:r>
          </w:p>
        </w:tc>
      </w:tr>
      <w:tr w:rsidR="00DE5046">
        <w:trPr>
          <w:jc w:val="center"/>
        </w:trPr>
        <w:tc>
          <w:tcPr>
            <w:tcW w:w="1266" w:type="dxa"/>
            <w:vAlign w:val="center"/>
          </w:tcPr>
          <w:p w:rsidR="00DE5046" w:rsidRDefault="000A73EA">
            <w:pPr>
              <w:jc w:val="left"/>
            </w:pPr>
            <w:r>
              <w:rPr>
                <w:color w:val="000000"/>
              </w:rPr>
              <w:t>过去五年</w:t>
            </w:r>
          </w:p>
        </w:tc>
        <w:tc>
          <w:tcPr>
            <w:tcW w:w="1267" w:type="dxa"/>
            <w:vAlign w:val="center"/>
          </w:tcPr>
          <w:p w:rsidR="00DE5046" w:rsidRDefault="000A73EA">
            <w:pPr>
              <w:jc w:val="center"/>
            </w:pPr>
            <w:r>
              <w:rPr>
                <w:color w:val="000000"/>
              </w:rPr>
              <w:t>14.1941%</w:t>
            </w:r>
          </w:p>
        </w:tc>
        <w:tc>
          <w:tcPr>
            <w:tcW w:w="1267" w:type="dxa"/>
            <w:vAlign w:val="center"/>
          </w:tcPr>
          <w:p w:rsidR="00DE5046" w:rsidRDefault="000A73EA">
            <w:pPr>
              <w:jc w:val="center"/>
            </w:pPr>
            <w:r>
              <w:rPr>
                <w:color w:val="000000"/>
              </w:rPr>
              <w:t>0.0022%</w:t>
            </w:r>
          </w:p>
        </w:tc>
        <w:tc>
          <w:tcPr>
            <w:tcW w:w="1267" w:type="dxa"/>
            <w:vAlign w:val="center"/>
          </w:tcPr>
          <w:p w:rsidR="00DE5046" w:rsidRDefault="000A73EA">
            <w:pPr>
              <w:jc w:val="center"/>
            </w:pPr>
            <w:r>
              <w:rPr>
                <w:color w:val="000000"/>
              </w:rPr>
              <w:t>1.7519%</w:t>
            </w:r>
          </w:p>
        </w:tc>
        <w:tc>
          <w:tcPr>
            <w:tcW w:w="1267" w:type="dxa"/>
            <w:vAlign w:val="center"/>
          </w:tcPr>
          <w:p w:rsidR="00DE5046" w:rsidRDefault="000A73EA">
            <w:pPr>
              <w:jc w:val="center"/>
            </w:pPr>
            <w:r>
              <w:rPr>
                <w:color w:val="000000"/>
              </w:rPr>
              <w:t>0.0000%</w:t>
            </w:r>
          </w:p>
        </w:tc>
        <w:tc>
          <w:tcPr>
            <w:tcW w:w="1267" w:type="dxa"/>
            <w:vAlign w:val="center"/>
          </w:tcPr>
          <w:p w:rsidR="00DE5046" w:rsidRDefault="000A73EA">
            <w:pPr>
              <w:jc w:val="center"/>
            </w:pPr>
            <w:r>
              <w:rPr>
                <w:color w:val="000000"/>
              </w:rPr>
              <w:t>12.4422%</w:t>
            </w:r>
          </w:p>
        </w:tc>
        <w:tc>
          <w:tcPr>
            <w:tcW w:w="1267" w:type="dxa"/>
            <w:vAlign w:val="center"/>
          </w:tcPr>
          <w:p w:rsidR="00DE5046" w:rsidRDefault="000A73EA">
            <w:pPr>
              <w:jc w:val="center"/>
            </w:pPr>
            <w:r>
              <w:rPr>
                <w:color w:val="000000"/>
              </w:rPr>
              <w:t>0.0022%</w:t>
            </w:r>
          </w:p>
        </w:tc>
      </w:tr>
      <w:tr w:rsidR="00DE5046">
        <w:trPr>
          <w:jc w:val="center"/>
        </w:trPr>
        <w:tc>
          <w:tcPr>
            <w:tcW w:w="1266" w:type="dxa"/>
            <w:vAlign w:val="center"/>
          </w:tcPr>
          <w:p w:rsidR="00DE5046" w:rsidRDefault="000A73EA">
            <w:pPr>
              <w:jc w:val="left"/>
            </w:pPr>
            <w:r>
              <w:rPr>
                <w:color w:val="000000"/>
              </w:rPr>
              <w:t>自基金合同生效至今</w:t>
            </w:r>
          </w:p>
        </w:tc>
        <w:tc>
          <w:tcPr>
            <w:tcW w:w="1267" w:type="dxa"/>
            <w:vAlign w:val="center"/>
          </w:tcPr>
          <w:p w:rsidR="00DE5046" w:rsidRDefault="000A73EA">
            <w:pPr>
              <w:jc w:val="center"/>
            </w:pPr>
            <w:r>
              <w:rPr>
                <w:color w:val="000000"/>
              </w:rPr>
              <w:t>18.8781%</w:t>
            </w:r>
          </w:p>
        </w:tc>
        <w:tc>
          <w:tcPr>
            <w:tcW w:w="1267" w:type="dxa"/>
            <w:vAlign w:val="center"/>
          </w:tcPr>
          <w:p w:rsidR="00DE5046" w:rsidRDefault="000A73EA">
            <w:pPr>
              <w:jc w:val="center"/>
            </w:pPr>
            <w:r>
              <w:rPr>
                <w:color w:val="000000"/>
              </w:rPr>
              <w:t>0.0041%</w:t>
            </w:r>
          </w:p>
        </w:tc>
        <w:tc>
          <w:tcPr>
            <w:tcW w:w="1267" w:type="dxa"/>
            <w:vAlign w:val="center"/>
          </w:tcPr>
          <w:p w:rsidR="00DE5046" w:rsidRDefault="000A73EA">
            <w:pPr>
              <w:jc w:val="center"/>
            </w:pPr>
            <w:r>
              <w:rPr>
                <w:color w:val="000000"/>
              </w:rPr>
              <w:t>2.1201%</w:t>
            </w:r>
          </w:p>
        </w:tc>
        <w:tc>
          <w:tcPr>
            <w:tcW w:w="1267" w:type="dxa"/>
            <w:vAlign w:val="center"/>
          </w:tcPr>
          <w:p w:rsidR="00DE5046" w:rsidRDefault="000A73EA">
            <w:pPr>
              <w:jc w:val="center"/>
            </w:pPr>
            <w:r>
              <w:rPr>
                <w:color w:val="000000"/>
              </w:rPr>
              <w:t>0.0000%</w:t>
            </w:r>
          </w:p>
        </w:tc>
        <w:tc>
          <w:tcPr>
            <w:tcW w:w="1267" w:type="dxa"/>
            <w:vAlign w:val="center"/>
          </w:tcPr>
          <w:p w:rsidR="00DE5046" w:rsidRDefault="000A73EA">
            <w:pPr>
              <w:jc w:val="center"/>
            </w:pPr>
            <w:r>
              <w:rPr>
                <w:color w:val="000000"/>
              </w:rPr>
              <w:t>16.7580%</w:t>
            </w:r>
          </w:p>
        </w:tc>
        <w:tc>
          <w:tcPr>
            <w:tcW w:w="1267" w:type="dxa"/>
            <w:vAlign w:val="center"/>
          </w:tcPr>
          <w:p w:rsidR="00DE5046" w:rsidRDefault="000A73EA">
            <w:pPr>
              <w:jc w:val="center"/>
            </w:pPr>
            <w:r>
              <w:rPr>
                <w:color w:val="000000"/>
              </w:rPr>
              <w:t>0.0041%</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交银现金宝货币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DE5046">
        <w:trPr>
          <w:jc w:val="center"/>
        </w:trPr>
        <w:tc>
          <w:tcPr>
            <w:tcW w:w="1266" w:type="dxa"/>
            <w:vAlign w:val="center"/>
          </w:tcPr>
          <w:p w:rsidR="00DE5046" w:rsidRDefault="000A73EA">
            <w:pPr>
              <w:jc w:val="left"/>
            </w:pPr>
            <w:r>
              <w:rPr>
                <w:color w:val="000000"/>
              </w:rPr>
              <w:t>过去三个月</w:t>
            </w:r>
          </w:p>
        </w:tc>
        <w:tc>
          <w:tcPr>
            <w:tcW w:w="1267" w:type="dxa"/>
            <w:vAlign w:val="center"/>
          </w:tcPr>
          <w:p w:rsidR="00DE5046" w:rsidRDefault="000A73EA">
            <w:pPr>
              <w:jc w:val="center"/>
            </w:pPr>
            <w:r>
              <w:rPr>
                <w:color w:val="000000"/>
              </w:rPr>
              <w:t>0.4670%</w:t>
            </w:r>
          </w:p>
        </w:tc>
        <w:tc>
          <w:tcPr>
            <w:tcW w:w="1267" w:type="dxa"/>
            <w:vAlign w:val="center"/>
          </w:tcPr>
          <w:p w:rsidR="00DE5046" w:rsidRDefault="000A73EA">
            <w:pPr>
              <w:jc w:val="center"/>
            </w:pPr>
            <w:r>
              <w:rPr>
                <w:color w:val="000000"/>
              </w:rPr>
              <w:t>0.0005%</w:t>
            </w:r>
          </w:p>
        </w:tc>
        <w:tc>
          <w:tcPr>
            <w:tcW w:w="1267" w:type="dxa"/>
            <w:vAlign w:val="center"/>
          </w:tcPr>
          <w:p w:rsidR="00DE5046" w:rsidRDefault="000A73EA">
            <w:pPr>
              <w:jc w:val="center"/>
            </w:pPr>
            <w:r>
              <w:rPr>
                <w:color w:val="000000"/>
              </w:rPr>
              <w:t>0.0882%</w:t>
            </w:r>
          </w:p>
        </w:tc>
        <w:tc>
          <w:tcPr>
            <w:tcW w:w="1267" w:type="dxa"/>
            <w:vAlign w:val="center"/>
          </w:tcPr>
          <w:p w:rsidR="00DE5046" w:rsidRDefault="000A73EA">
            <w:pPr>
              <w:jc w:val="center"/>
            </w:pPr>
            <w:r>
              <w:rPr>
                <w:color w:val="000000"/>
              </w:rPr>
              <w:t>0.0000%</w:t>
            </w:r>
          </w:p>
        </w:tc>
        <w:tc>
          <w:tcPr>
            <w:tcW w:w="1267" w:type="dxa"/>
            <w:vAlign w:val="center"/>
          </w:tcPr>
          <w:p w:rsidR="00DE5046" w:rsidRDefault="000A73EA">
            <w:pPr>
              <w:jc w:val="center"/>
            </w:pPr>
            <w:r>
              <w:rPr>
                <w:color w:val="000000"/>
              </w:rPr>
              <w:t>0.3788%</w:t>
            </w:r>
          </w:p>
        </w:tc>
        <w:tc>
          <w:tcPr>
            <w:tcW w:w="1267" w:type="dxa"/>
            <w:vAlign w:val="center"/>
          </w:tcPr>
          <w:p w:rsidR="00DE5046" w:rsidRDefault="000A73EA">
            <w:pPr>
              <w:jc w:val="center"/>
            </w:pPr>
            <w:r>
              <w:rPr>
                <w:color w:val="000000"/>
              </w:rPr>
              <w:t>0.0005%</w:t>
            </w:r>
          </w:p>
        </w:tc>
      </w:tr>
      <w:tr w:rsidR="00DE5046">
        <w:trPr>
          <w:jc w:val="center"/>
        </w:trPr>
        <w:tc>
          <w:tcPr>
            <w:tcW w:w="1266" w:type="dxa"/>
            <w:vAlign w:val="center"/>
          </w:tcPr>
          <w:p w:rsidR="00DE5046" w:rsidRDefault="000A73EA">
            <w:pPr>
              <w:jc w:val="left"/>
            </w:pPr>
            <w:r>
              <w:rPr>
                <w:color w:val="000000"/>
              </w:rPr>
              <w:t>过去六个月</w:t>
            </w:r>
          </w:p>
        </w:tc>
        <w:tc>
          <w:tcPr>
            <w:tcW w:w="1267" w:type="dxa"/>
            <w:vAlign w:val="center"/>
          </w:tcPr>
          <w:p w:rsidR="00DE5046" w:rsidRDefault="000A73EA">
            <w:pPr>
              <w:jc w:val="center"/>
            </w:pPr>
            <w:r>
              <w:rPr>
                <w:color w:val="000000"/>
              </w:rPr>
              <w:t>0.9970%</w:t>
            </w:r>
          </w:p>
        </w:tc>
        <w:tc>
          <w:tcPr>
            <w:tcW w:w="1267" w:type="dxa"/>
            <w:vAlign w:val="center"/>
          </w:tcPr>
          <w:p w:rsidR="00DE5046" w:rsidRDefault="000A73EA">
            <w:pPr>
              <w:jc w:val="center"/>
            </w:pPr>
            <w:r>
              <w:rPr>
                <w:color w:val="000000"/>
              </w:rPr>
              <w:t>0.0010%</w:t>
            </w:r>
          </w:p>
        </w:tc>
        <w:tc>
          <w:tcPr>
            <w:tcW w:w="1267" w:type="dxa"/>
            <w:vAlign w:val="center"/>
          </w:tcPr>
          <w:p w:rsidR="00DE5046" w:rsidRDefault="000A73EA">
            <w:pPr>
              <w:jc w:val="center"/>
            </w:pPr>
            <w:r>
              <w:rPr>
                <w:color w:val="000000"/>
              </w:rPr>
              <w:t>0.1755%</w:t>
            </w:r>
          </w:p>
        </w:tc>
        <w:tc>
          <w:tcPr>
            <w:tcW w:w="1267" w:type="dxa"/>
            <w:vAlign w:val="center"/>
          </w:tcPr>
          <w:p w:rsidR="00DE5046" w:rsidRDefault="000A73EA">
            <w:pPr>
              <w:jc w:val="center"/>
            </w:pPr>
            <w:r>
              <w:rPr>
                <w:color w:val="000000"/>
              </w:rPr>
              <w:t>0.0000%</w:t>
            </w:r>
          </w:p>
        </w:tc>
        <w:tc>
          <w:tcPr>
            <w:tcW w:w="1267" w:type="dxa"/>
            <w:vAlign w:val="center"/>
          </w:tcPr>
          <w:p w:rsidR="00DE5046" w:rsidRDefault="000A73EA">
            <w:pPr>
              <w:jc w:val="center"/>
            </w:pPr>
            <w:r>
              <w:rPr>
                <w:color w:val="000000"/>
              </w:rPr>
              <w:t>0.8215%</w:t>
            </w:r>
          </w:p>
        </w:tc>
        <w:tc>
          <w:tcPr>
            <w:tcW w:w="1267" w:type="dxa"/>
            <w:vAlign w:val="center"/>
          </w:tcPr>
          <w:p w:rsidR="00DE5046" w:rsidRDefault="000A73EA">
            <w:pPr>
              <w:jc w:val="center"/>
            </w:pPr>
            <w:r>
              <w:rPr>
                <w:color w:val="000000"/>
              </w:rPr>
              <w:t>0.0010%</w:t>
            </w:r>
          </w:p>
        </w:tc>
      </w:tr>
      <w:tr w:rsidR="00DE5046">
        <w:trPr>
          <w:jc w:val="center"/>
        </w:trPr>
        <w:tc>
          <w:tcPr>
            <w:tcW w:w="1266" w:type="dxa"/>
            <w:vAlign w:val="center"/>
          </w:tcPr>
          <w:p w:rsidR="00DE5046" w:rsidRDefault="000A73EA">
            <w:pPr>
              <w:jc w:val="left"/>
            </w:pPr>
            <w:r>
              <w:rPr>
                <w:color w:val="000000"/>
              </w:rPr>
              <w:t>过去一年</w:t>
            </w:r>
          </w:p>
        </w:tc>
        <w:tc>
          <w:tcPr>
            <w:tcW w:w="1267" w:type="dxa"/>
            <w:vAlign w:val="center"/>
          </w:tcPr>
          <w:p w:rsidR="00DE5046" w:rsidRDefault="000A73EA">
            <w:pPr>
              <w:jc w:val="center"/>
            </w:pPr>
            <w:r>
              <w:rPr>
                <w:color w:val="000000"/>
              </w:rPr>
              <w:t>2.3752%</w:t>
            </w:r>
          </w:p>
        </w:tc>
        <w:tc>
          <w:tcPr>
            <w:tcW w:w="1267" w:type="dxa"/>
            <w:vAlign w:val="center"/>
          </w:tcPr>
          <w:p w:rsidR="00DE5046" w:rsidRDefault="000A73EA">
            <w:pPr>
              <w:jc w:val="center"/>
            </w:pPr>
            <w:r>
              <w:rPr>
                <w:color w:val="000000"/>
              </w:rPr>
              <w:t>0.0016%</w:t>
            </w:r>
          </w:p>
        </w:tc>
        <w:tc>
          <w:tcPr>
            <w:tcW w:w="1267" w:type="dxa"/>
            <w:vAlign w:val="center"/>
          </w:tcPr>
          <w:p w:rsidR="00DE5046" w:rsidRDefault="000A73EA">
            <w:pPr>
              <w:jc w:val="center"/>
            </w:pPr>
            <w:r>
              <w:rPr>
                <w:color w:val="000000"/>
              </w:rPr>
              <w:t>0.3510%</w:t>
            </w:r>
          </w:p>
        </w:tc>
        <w:tc>
          <w:tcPr>
            <w:tcW w:w="1267" w:type="dxa"/>
            <w:vAlign w:val="center"/>
          </w:tcPr>
          <w:p w:rsidR="00DE5046" w:rsidRDefault="000A73EA">
            <w:pPr>
              <w:jc w:val="center"/>
            </w:pPr>
            <w:r>
              <w:rPr>
                <w:color w:val="000000"/>
              </w:rPr>
              <w:t>0.0000%</w:t>
            </w:r>
          </w:p>
        </w:tc>
        <w:tc>
          <w:tcPr>
            <w:tcW w:w="1267" w:type="dxa"/>
            <w:vAlign w:val="center"/>
          </w:tcPr>
          <w:p w:rsidR="00DE5046" w:rsidRDefault="000A73EA">
            <w:pPr>
              <w:jc w:val="center"/>
            </w:pPr>
            <w:r>
              <w:rPr>
                <w:color w:val="000000"/>
              </w:rPr>
              <w:t>2.0242%</w:t>
            </w:r>
          </w:p>
        </w:tc>
        <w:tc>
          <w:tcPr>
            <w:tcW w:w="1267" w:type="dxa"/>
            <w:vAlign w:val="center"/>
          </w:tcPr>
          <w:p w:rsidR="00DE5046" w:rsidRDefault="000A73EA">
            <w:pPr>
              <w:jc w:val="center"/>
            </w:pPr>
            <w:r>
              <w:rPr>
                <w:color w:val="000000"/>
              </w:rPr>
              <w:t>0.0016%</w:t>
            </w:r>
          </w:p>
        </w:tc>
      </w:tr>
      <w:tr w:rsidR="00DE5046">
        <w:trPr>
          <w:jc w:val="center"/>
        </w:trPr>
        <w:tc>
          <w:tcPr>
            <w:tcW w:w="1266" w:type="dxa"/>
            <w:vAlign w:val="center"/>
          </w:tcPr>
          <w:p w:rsidR="00DE5046" w:rsidRDefault="000A73EA">
            <w:pPr>
              <w:jc w:val="left"/>
            </w:pPr>
            <w:r>
              <w:rPr>
                <w:color w:val="000000"/>
              </w:rPr>
              <w:t>过去三年</w:t>
            </w:r>
          </w:p>
        </w:tc>
        <w:tc>
          <w:tcPr>
            <w:tcW w:w="1267" w:type="dxa"/>
            <w:vAlign w:val="center"/>
          </w:tcPr>
          <w:p w:rsidR="00DE5046" w:rsidRDefault="000A73EA">
            <w:pPr>
              <w:jc w:val="center"/>
            </w:pPr>
            <w:r>
              <w:rPr>
                <w:color w:val="000000"/>
              </w:rPr>
              <w:t>9.2093%</w:t>
            </w:r>
          </w:p>
        </w:tc>
        <w:tc>
          <w:tcPr>
            <w:tcW w:w="1267" w:type="dxa"/>
            <w:vAlign w:val="center"/>
          </w:tcPr>
          <w:p w:rsidR="00DE5046" w:rsidRDefault="000A73EA">
            <w:pPr>
              <w:jc w:val="center"/>
            </w:pPr>
            <w:r>
              <w:rPr>
                <w:color w:val="000000"/>
              </w:rPr>
              <w:t>0.0024%</w:t>
            </w:r>
          </w:p>
        </w:tc>
        <w:tc>
          <w:tcPr>
            <w:tcW w:w="1267" w:type="dxa"/>
            <w:vAlign w:val="center"/>
          </w:tcPr>
          <w:p w:rsidR="00DE5046" w:rsidRDefault="000A73EA">
            <w:pPr>
              <w:jc w:val="center"/>
            </w:pPr>
            <w:r>
              <w:rPr>
                <w:color w:val="000000"/>
              </w:rPr>
              <w:t>1.0510%</w:t>
            </w:r>
          </w:p>
        </w:tc>
        <w:tc>
          <w:tcPr>
            <w:tcW w:w="1267" w:type="dxa"/>
            <w:vAlign w:val="center"/>
          </w:tcPr>
          <w:p w:rsidR="00DE5046" w:rsidRDefault="000A73EA">
            <w:pPr>
              <w:jc w:val="center"/>
            </w:pPr>
            <w:r>
              <w:rPr>
                <w:color w:val="000000"/>
              </w:rPr>
              <w:t>0.0000%</w:t>
            </w:r>
          </w:p>
        </w:tc>
        <w:tc>
          <w:tcPr>
            <w:tcW w:w="1267" w:type="dxa"/>
            <w:vAlign w:val="center"/>
          </w:tcPr>
          <w:p w:rsidR="00DE5046" w:rsidRDefault="000A73EA">
            <w:pPr>
              <w:jc w:val="center"/>
            </w:pPr>
            <w:r>
              <w:rPr>
                <w:color w:val="000000"/>
              </w:rPr>
              <w:t>8.1583%</w:t>
            </w:r>
          </w:p>
        </w:tc>
        <w:tc>
          <w:tcPr>
            <w:tcW w:w="1267" w:type="dxa"/>
            <w:vAlign w:val="center"/>
          </w:tcPr>
          <w:p w:rsidR="00DE5046" w:rsidRDefault="000A73EA">
            <w:pPr>
              <w:jc w:val="center"/>
            </w:pPr>
            <w:r>
              <w:rPr>
                <w:color w:val="000000"/>
              </w:rPr>
              <w:t>0.0024%</w:t>
            </w:r>
          </w:p>
        </w:tc>
      </w:tr>
      <w:tr w:rsidR="00DE5046">
        <w:trPr>
          <w:jc w:val="center"/>
        </w:trPr>
        <w:tc>
          <w:tcPr>
            <w:tcW w:w="1266" w:type="dxa"/>
            <w:vAlign w:val="center"/>
          </w:tcPr>
          <w:p w:rsidR="00DE5046" w:rsidRDefault="000A73EA">
            <w:pPr>
              <w:jc w:val="left"/>
            </w:pPr>
            <w:r>
              <w:rPr>
                <w:color w:val="000000"/>
              </w:rPr>
              <w:t>自基金合同生效至今</w:t>
            </w:r>
          </w:p>
        </w:tc>
        <w:tc>
          <w:tcPr>
            <w:tcW w:w="1267" w:type="dxa"/>
            <w:vAlign w:val="center"/>
          </w:tcPr>
          <w:p w:rsidR="00DE5046" w:rsidRDefault="000A73EA">
            <w:pPr>
              <w:jc w:val="center"/>
            </w:pPr>
            <w:r>
              <w:rPr>
                <w:color w:val="000000"/>
              </w:rPr>
              <w:t>12.7716%</w:t>
            </w:r>
          </w:p>
        </w:tc>
        <w:tc>
          <w:tcPr>
            <w:tcW w:w="1267" w:type="dxa"/>
            <w:vAlign w:val="center"/>
          </w:tcPr>
          <w:p w:rsidR="00DE5046" w:rsidRDefault="000A73EA">
            <w:pPr>
              <w:jc w:val="center"/>
            </w:pPr>
            <w:r>
              <w:rPr>
                <w:color w:val="000000"/>
              </w:rPr>
              <w:t>0.0023%</w:t>
            </w:r>
          </w:p>
        </w:tc>
        <w:tc>
          <w:tcPr>
            <w:tcW w:w="1267" w:type="dxa"/>
            <w:vAlign w:val="center"/>
          </w:tcPr>
          <w:p w:rsidR="00DE5046" w:rsidRDefault="000A73EA">
            <w:pPr>
              <w:jc w:val="center"/>
            </w:pPr>
            <w:r>
              <w:rPr>
                <w:color w:val="000000"/>
              </w:rPr>
              <w:t>1.4182%</w:t>
            </w:r>
          </w:p>
        </w:tc>
        <w:tc>
          <w:tcPr>
            <w:tcW w:w="1267" w:type="dxa"/>
            <w:vAlign w:val="center"/>
          </w:tcPr>
          <w:p w:rsidR="00DE5046" w:rsidRDefault="000A73EA">
            <w:pPr>
              <w:jc w:val="center"/>
            </w:pPr>
            <w:r>
              <w:rPr>
                <w:color w:val="000000"/>
              </w:rPr>
              <w:t>0.0000%</w:t>
            </w:r>
          </w:p>
        </w:tc>
        <w:tc>
          <w:tcPr>
            <w:tcW w:w="1267" w:type="dxa"/>
            <w:vAlign w:val="center"/>
          </w:tcPr>
          <w:p w:rsidR="00DE5046" w:rsidRDefault="000A73EA">
            <w:pPr>
              <w:jc w:val="center"/>
            </w:pPr>
            <w:r>
              <w:rPr>
                <w:color w:val="000000"/>
              </w:rPr>
              <w:t>11.3534%</w:t>
            </w:r>
          </w:p>
        </w:tc>
        <w:tc>
          <w:tcPr>
            <w:tcW w:w="1267" w:type="dxa"/>
            <w:vAlign w:val="center"/>
          </w:tcPr>
          <w:p w:rsidR="00DE5046" w:rsidRDefault="000A73EA">
            <w:pPr>
              <w:jc w:val="center"/>
            </w:pPr>
            <w:r>
              <w:rPr>
                <w:color w:val="000000"/>
              </w:rPr>
              <w:t>0.0023%</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交银施罗德现金宝货币市场基金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2014</w:t>
      </w:r>
      <w:r w:rsidR="00D87D00" w:rsidRPr="000E4C40">
        <w:rPr>
          <w:color w:val="000000"/>
          <w:kern w:val="0"/>
          <w:sz w:val="24"/>
        </w:rPr>
        <w:t>年</w:t>
      </w:r>
      <w:r w:rsidR="00D87D00" w:rsidRPr="000E4C40">
        <w:rPr>
          <w:color w:val="000000"/>
          <w:kern w:val="0"/>
          <w:sz w:val="24"/>
        </w:rPr>
        <w:t>9</w:t>
      </w:r>
      <w:r w:rsidR="00D87D00" w:rsidRPr="000E4C40">
        <w:rPr>
          <w:color w:val="000000"/>
          <w:kern w:val="0"/>
          <w:sz w:val="24"/>
        </w:rPr>
        <w:t>月</w:t>
      </w:r>
      <w:r w:rsidR="00D87D00" w:rsidRPr="000E4C40">
        <w:rPr>
          <w:color w:val="000000"/>
          <w:kern w:val="0"/>
          <w:sz w:val="24"/>
        </w:rPr>
        <w:t>12</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2020</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交银现金宝货币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12</w:t>
      </w:r>
      <w:r w:rsidRPr="000E4C40">
        <w:rPr>
          <w:color w:val="000000"/>
          <w:sz w:val="24"/>
        </w:rPr>
        <w:t>日至</w:t>
      </w:r>
      <w:r w:rsidRPr="000E4C40">
        <w:rPr>
          <w:color w:val="000000"/>
          <w:sz w:val="24"/>
        </w:rPr>
        <w:t>2020</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交银现金宝货币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注：本基金自</w:t>
      </w:r>
      <w:r w:rsidRPr="000E4C40">
        <w:rPr>
          <w:color w:val="000000"/>
          <w:sz w:val="24"/>
        </w:rPr>
        <w:t>2016</w:t>
      </w:r>
      <w:r w:rsidRPr="000E4C40">
        <w:rPr>
          <w:color w:val="000000"/>
          <w:sz w:val="24"/>
        </w:rPr>
        <w:t>年</w:t>
      </w:r>
      <w:r w:rsidRPr="000E4C40">
        <w:rPr>
          <w:color w:val="000000"/>
          <w:sz w:val="24"/>
        </w:rPr>
        <w:t>8</w:t>
      </w:r>
      <w:r w:rsidRPr="000E4C40">
        <w:rPr>
          <w:color w:val="000000"/>
          <w:sz w:val="24"/>
        </w:rPr>
        <w:t>月</w:t>
      </w:r>
      <w:r w:rsidRPr="000E4C40">
        <w:rPr>
          <w:color w:val="000000"/>
          <w:sz w:val="24"/>
        </w:rPr>
        <w:t>15</w:t>
      </w:r>
      <w:r w:rsidRPr="000E4C40">
        <w:rPr>
          <w:color w:val="000000"/>
          <w:sz w:val="24"/>
        </w:rPr>
        <w:t>日起，开始销售</w:t>
      </w:r>
      <w:r w:rsidRPr="000E4C40">
        <w:rPr>
          <w:color w:val="000000"/>
          <w:sz w:val="24"/>
        </w:rPr>
        <w:t>E</w:t>
      </w:r>
      <w:r w:rsidRPr="000E4C40">
        <w:rPr>
          <w:color w:val="000000"/>
          <w:sz w:val="24"/>
        </w:rPr>
        <w:t>类份额，投资者提交的申购申请于</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日被确认并将有效份额登记在册。图示日期为</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日至</w:t>
      </w:r>
      <w:r w:rsidRPr="000E4C40">
        <w:rPr>
          <w:color w:val="000000"/>
          <w:sz w:val="24"/>
        </w:rPr>
        <w:t>2020</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DE5046">
        <w:trPr>
          <w:jc w:val="center"/>
        </w:trPr>
        <w:tc>
          <w:tcPr>
            <w:tcW w:w="945" w:type="dxa"/>
            <w:vAlign w:val="center"/>
          </w:tcPr>
          <w:p w:rsidR="00DE5046" w:rsidRDefault="000A73EA">
            <w:pPr>
              <w:jc w:val="center"/>
            </w:pPr>
            <w:r>
              <w:rPr>
                <w:color w:val="000000"/>
                <w:sz w:val="24"/>
              </w:rPr>
              <w:t>季参平</w:t>
            </w:r>
          </w:p>
        </w:tc>
        <w:tc>
          <w:tcPr>
            <w:tcW w:w="1589" w:type="dxa"/>
            <w:vAlign w:val="center"/>
          </w:tcPr>
          <w:p w:rsidR="00DE5046" w:rsidRDefault="00070712">
            <w:pPr>
              <w:jc w:val="center"/>
            </w:pPr>
            <w:r w:rsidRPr="00070712">
              <w:rPr>
                <w:rFonts w:hint="eastAsia"/>
                <w:color w:val="000000"/>
                <w:sz w:val="24"/>
              </w:rPr>
              <w:t>交银货币、交银裕通纯债债券、交银现金宝货币、交银天鑫宝货币、交银裕祥纯债债券、交银中债</w:t>
            </w:r>
            <w:r w:rsidRPr="00070712">
              <w:rPr>
                <w:rFonts w:hint="eastAsia"/>
                <w:color w:val="000000"/>
                <w:sz w:val="24"/>
              </w:rPr>
              <w:t>1-3</w:t>
            </w:r>
            <w:r w:rsidRPr="00070712">
              <w:rPr>
                <w:rFonts w:hint="eastAsia"/>
                <w:color w:val="000000"/>
                <w:sz w:val="24"/>
              </w:rPr>
              <w:t>年政金债指数的基金经理</w:t>
            </w:r>
            <w:bookmarkStart w:id="0" w:name="_GoBack"/>
            <w:bookmarkEnd w:id="0"/>
          </w:p>
        </w:tc>
        <w:tc>
          <w:tcPr>
            <w:tcW w:w="1478" w:type="dxa"/>
            <w:vAlign w:val="center"/>
          </w:tcPr>
          <w:p w:rsidR="00DE5046" w:rsidRDefault="000A73EA">
            <w:pPr>
              <w:jc w:val="center"/>
            </w:pPr>
            <w:r>
              <w:rPr>
                <w:color w:val="000000"/>
                <w:sz w:val="24"/>
              </w:rPr>
              <w:t>2019-07-26</w:t>
            </w:r>
          </w:p>
        </w:tc>
        <w:tc>
          <w:tcPr>
            <w:tcW w:w="1478" w:type="dxa"/>
            <w:vAlign w:val="center"/>
          </w:tcPr>
          <w:p w:rsidR="00DE5046" w:rsidRDefault="000A73EA">
            <w:pPr>
              <w:jc w:val="center"/>
            </w:pPr>
            <w:r>
              <w:rPr>
                <w:color w:val="000000"/>
                <w:sz w:val="24"/>
              </w:rPr>
              <w:t>-</w:t>
            </w:r>
          </w:p>
        </w:tc>
        <w:tc>
          <w:tcPr>
            <w:tcW w:w="986" w:type="dxa"/>
            <w:vAlign w:val="center"/>
          </w:tcPr>
          <w:p w:rsidR="00DE5046" w:rsidRDefault="000A73EA">
            <w:pPr>
              <w:jc w:val="center"/>
            </w:pPr>
            <w:r>
              <w:rPr>
                <w:color w:val="000000"/>
                <w:sz w:val="24"/>
              </w:rPr>
              <w:t>8</w:t>
            </w:r>
            <w:r>
              <w:rPr>
                <w:color w:val="000000"/>
                <w:sz w:val="24"/>
              </w:rPr>
              <w:t>年</w:t>
            </w:r>
          </w:p>
        </w:tc>
        <w:tc>
          <w:tcPr>
            <w:tcW w:w="2392" w:type="dxa"/>
            <w:vAlign w:val="center"/>
          </w:tcPr>
          <w:p w:rsidR="00DE5046" w:rsidRDefault="000A73EA">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DE5046" w:rsidRDefault="000A73E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E5046" w:rsidRDefault="000A73E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E5046" w:rsidRDefault="000A73E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DE5046" w:rsidRDefault="000A73EA">
      <w:pPr>
        <w:spacing w:before="29" w:line="288" w:lineRule="auto"/>
        <w:ind w:firstLineChars="200" w:firstLine="480"/>
        <w:rPr>
          <w:color w:val="000000"/>
          <w:sz w:val="24"/>
        </w:rPr>
      </w:pPr>
      <w:r>
        <w:rPr>
          <w:color w:val="000000"/>
          <w:sz w:val="24"/>
        </w:rPr>
        <w:t>本报告期内，货币市场在结构性紧张的流动性货币政策框架下呈现紧平衡态势，资金市场的结构性分层愈加明显。具体来看，七月初资金利率逐步走低，央行对到期的</w:t>
      </w:r>
      <w:r>
        <w:rPr>
          <w:color w:val="000000"/>
          <w:sz w:val="24"/>
        </w:rPr>
        <w:t>6977</w:t>
      </w:r>
      <w:r>
        <w:rPr>
          <w:color w:val="000000"/>
          <w:sz w:val="24"/>
        </w:rPr>
        <w:t>亿元</w:t>
      </w:r>
      <w:r>
        <w:rPr>
          <w:color w:val="000000"/>
          <w:sz w:val="24"/>
        </w:rPr>
        <w:t>MLF</w:t>
      </w:r>
      <w:r>
        <w:rPr>
          <w:color w:val="000000"/>
          <w:sz w:val="24"/>
        </w:rPr>
        <w:t>和</w:t>
      </w:r>
      <w:r>
        <w:rPr>
          <w:color w:val="000000"/>
          <w:sz w:val="24"/>
        </w:rPr>
        <w:t>TMLF</w:t>
      </w:r>
      <w:r>
        <w:rPr>
          <w:color w:val="000000"/>
          <w:sz w:val="24"/>
        </w:rPr>
        <w:t>资金续作</w:t>
      </w:r>
      <w:r>
        <w:rPr>
          <w:color w:val="000000"/>
          <w:sz w:val="24"/>
        </w:rPr>
        <w:t>4000</w:t>
      </w:r>
      <w:r>
        <w:rPr>
          <w:color w:val="000000"/>
          <w:sz w:val="24"/>
        </w:rPr>
        <w:t>亿元，延续了之前量缩价平的态度。央行净回笼、企业集中缴税等因素影响，中旬的流动性逐步收紧，但</w:t>
      </w:r>
      <w:r>
        <w:rPr>
          <w:color w:val="000000"/>
          <w:sz w:val="24"/>
        </w:rPr>
        <w:t>DR007</w:t>
      </w:r>
      <w:r>
        <w:rPr>
          <w:color w:val="000000"/>
          <w:sz w:val="24"/>
        </w:rPr>
        <w:t>未突破</w:t>
      </w:r>
      <w:r>
        <w:rPr>
          <w:color w:val="000000"/>
          <w:sz w:val="24"/>
        </w:rPr>
        <w:t>2.2%</w:t>
      </w:r>
      <w:r>
        <w:rPr>
          <w:color w:val="000000"/>
          <w:sz w:val="24"/>
        </w:rPr>
        <w:t>的逆回购利率上限。八月资金面继续收紧，央行超额续作</w:t>
      </w:r>
      <w:r>
        <w:rPr>
          <w:color w:val="000000"/>
          <w:sz w:val="24"/>
        </w:rPr>
        <w:t>1500</w:t>
      </w:r>
      <w:r>
        <w:rPr>
          <w:color w:val="000000"/>
          <w:sz w:val="24"/>
        </w:rPr>
        <w:t>亿元</w:t>
      </w:r>
      <w:r>
        <w:rPr>
          <w:color w:val="000000"/>
          <w:sz w:val="24"/>
        </w:rPr>
        <w:t>MLF</w:t>
      </w:r>
      <w:r>
        <w:rPr>
          <w:color w:val="000000"/>
          <w:sz w:val="24"/>
        </w:rPr>
        <w:t>释放长期流动性，但货币市场紧张态势并未缓解，</w:t>
      </w:r>
      <w:r>
        <w:rPr>
          <w:color w:val="000000"/>
          <w:sz w:val="24"/>
        </w:rPr>
        <w:t>DR007</w:t>
      </w:r>
      <w:r>
        <w:rPr>
          <w:color w:val="000000"/>
          <w:sz w:val="24"/>
        </w:rPr>
        <w:t>上行至八月高点</w:t>
      </w:r>
      <w:r>
        <w:rPr>
          <w:color w:val="000000"/>
          <w:sz w:val="24"/>
        </w:rPr>
        <w:t>2.32%</w:t>
      </w:r>
      <w:r>
        <w:rPr>
          <w:color w:val="000000"/>
          <w:sz w:val="24"/>
        </w:rPr>
        <w:t>的水平，但</w:t>
      </w:r>
      <w:r>
        <w:rPr>
          <w:color w:val="000000"/>
          <w:sz w:val="24"/>
        </w:rPr>
        <w:t>R007</w:t>
      </w:r>
      <w:r>
        <w:rPr>
          <w:color w:val="000000"/>
          <w:sz w:val="24"/>
        </w:rPr>
        <w:t>的快速上行使得</w:t>
      </w:r>
      <w:r>
        <w:rPr>
          <w:color w:val="000000"/>
          <w:sz w:val="24"/>
        </w:rPr>
        <w:t>R-DR</w:t>
      </w:r>
      <w:r>
        <w:rPr>
          <w:color w:val="000000"/>
          <w:sz w:val="24"/>
        </w:rPr>
        <w:t>的利差走扩至</w:t>
      </w:r>
      <w:r>
        <w:rPr>
          <w:color w:val="000000"/>
          <w:sz w:val="24"/>
        </w:rPr>
        <w:t>30BP</w:t>
      </w:r>
      <w:r>
        <w:rPr>
          <w:color w:val="000000"/>
          <w:sz w:val="24"/>
        </w:rPr>
        <w:t>，非银机构的资金压力明显增大，中期利率方面一年期</w:t>
      </w:r>
      <w:r>
        <w:rPr>
          <w:color w:val="000000"/>
          <w:sz w:val="24"/>
        </w:rPr>
        <w:t>SHIBOR</w:t>
      </w:r>
      <w:r>
        <w:rPr>
          <w:color w:val="000000"/>
          <w:sz w:val="24"/>
        </w:rPr>
        <w:t>和同业存单利率持续回升，向</w:t>
      </w:r>
      <w:r>
        <w:rPr>
          <w:color w:val="000000"/>
          <w:sz w:val="24"/>
        </w:rPr>
        <w:t>2.95%</w:t>
      </w:r>
      <w:r>
        <w:rPr>
          <w:color w:val="000000"/>
          <w:sz w:val="24"/>
        </w:rPr>
        <w:t>的</w:t>
      </w:r>
      <w:r>
        <w:rPr>
          <w:color w:val="000000"/>
          <w:sz w:val="24"/>
        </w:rPr>
        <w:t>MLF</w:t>
      </w:r>
      <w:r>
        <w:rPr>
          <w:color w:val="000000"/>
          <w:sz w:val="24"/>
        </w:rPr>
        <w:t>利率靠拢，市场担心同业存单利率突破</w:t>
      </w:r>
      <w:r>
        <w:rPr>
          <w:color w:val="000000"/>
          <w:sz w:val="24"/>
        </w:rPr>
        <w:t>MLF</w:t>
      </w:r>
      <w:r>
        <w:rPr>
          <w:color w:val="000000"/>
          <w:sz w:val="24"/>
        </w:rPr>
        <w:t>利率带来的风险。九月资金利率波动增大，隔夜利率在月初快速回落至</w:t>
      </w:r>
      <w:r>
        <w:rPr>
          <w:color w:val="000000"/>
          <w:sz w:val="24"/>
        </w:rPr>
        <w:t>1.3%</w:t>
      </w:r>
      <w:r>
        <w:rPr>
          <w:color w:val="000000"/>
          <w:sz w:val="24"/>
        </w:rPr>
        <w:t>附近。月中央行超额续作</w:t>
      </w:r>
      <w:r>
        <w:rPr>
          <w:color w:val="000000"/>
          <w:sz w:val="24"/>
        </w:rPr>
        <w:t>4000</w:t>
      </w:r>
      <w:r>
        <w:rPr>
          <w:color w:val="000000"/>
          <w:sz w:val="24"/>
        </w:rPr>
        <w:t>亿元</w:t>
      </w:r>
      <w:r>
        <w:rPr>
          <w:color w:val="000000"/>
          <w:sz w:val="24"/>
        </w:rPr>
        <w:t>MLF</w:t>
      </w:r>
      <w:r>
        <w:rPr>
          <w:color w:val="000000"/>
          <w:sz w:val="24"/>
        </w:rPr>
        <w:t>，但受缴税、假期影响，</w:t>
      </w:r>
      <w:r>
        <w:rPr>
          <w:color w:val="000000"/>
          <w:sz w:val="24"/>
        </w:rPr>
        <w:t>R007</w:t>
      </w:r>
      <w:r>
        <w:rPr>
          <w:color w:val="000000"/>
          <w:sz w:val="24"/>
        </w:rPr>
        <w:t>持续走高至</w:t>
      </w:r>
      <w:r>
        <w:rPr>
          <w:color w:val="000000"/>
          <w:sz w:val="24"/>
        </w:rPr>
        <w:t>2.97%</w:t>
      </w:r>
      <w:r>
        <w:rPr>
          <w:color w:val="000000"/>
          <w:sz w:val="24"/>
        </w:rPr>
        <w:t>，并与</w:t>
      </w:r>
      <w:r>
        <w:rPr>
          <w:color w:val="000000"/>
          <w:sz w:val="24"/>
        </w:rPr>
        <w:t>DR007</w:t>
      </w:r>
      <w:r>
        <w:rPr>
          <w:color w:val="000000"/>
          <w:sz w:val="24"/>
        </w:rPr>
        <w:t>的利差走阔至</w:t>
      </w:r>
      <w:r>
        <w:rPr>
          <w:color w:val="000000"/>
          <w:sz w:val="24"/>
        </w:rPr>
        <w:t>61BP</w:t>
      </w:r>
      <w:r>
        <w:rPr>
          <w:color w:val="000000"/>
          <w:sz w:val="24"/>
        </w:rPr>
        <w:t>，整体来看九月货币市场处于紧平衡的状态。存单存款市场受资金面持续收紧，收益率上行幅度明显，国有股份制银行在</w:t>
      </w:r>
      <w:r>
        <w:rPr>
          <w:color w:val="000000"/>
          <w:sz w:val="24"/>
        </w:rPr>
        <w:t>2.65%-2.75%</w:t>
      </w:r>
      <w:r>
        <w:rPr>
          <w:color w:val="000000"/>
          <w:sz w:val="24"/>
        </w:rPr>
        <w:t>之间募集三月期存单。报告期内，三个月</w:t>
      </w:r>
      <w:r>
        <w:rPr>
          <w:color w:val="000000"/>
          <w:sz w:val="24"/>
        </w:rPr>
        <w:t>SHIBOR</w:t>
      </w:r>
      <w:r>
        <w:rPr>
          <w:color w:val="000000"/>
          <w:sz w:val="24"/>
        </w:rPr>
        <w:t>利率上行约</w:t>
      </w:r>
      <w:r>
        <w:rPr>
          <w:color w:val="000000"/>
          <w:sz w:val="24"/>
        </w:rPr>
        <w:t>57BP</w:t>
      </w:r>
      <w:r>
        <w:rPr>
          <w:color w:val="000000"/>
          <w:sz w:val="24"/>
        </w:rPr>
        <w:t>到</w:t>
      </w:r>
      <w:r>
        <w:rPr>
          <w:color w:val="000000"/>
          <w:sz w:val="24"/>
        </w:rPr>
        <w:t>2.69%</w:t>
      </w:r>
      <w:r>
        <w:rPr>
          <w:color w:val="000000"/>
          <w:sz w:val="24"/>
        </w:rPr>
        <w:t>。</w:t>
      </w:r>
    </w:p>
    <w:p w:rsidR="00DE5046" w:rsidRDefault="000A73EA">
      <w:pPr>
        <w:spacing w:before="29" w:line="288" w:lineRule="auto"/>
        <w:ind w:firstLineChars="200" w:firstLine="480"/>
        <w:rPr>
          <w:color w:val="000000"/>
          <w:sz w:val="24"/>
        </w:rPr>
      </w:pPr>
      <w:r>
        <w:rPr>
          <w:color w:val="000000"/>
          <w:sz w:val="24"/>
        </w:rPr>
        <w:t>基金操作方面，我们维持低杠杆、短久期的操作思路，多投资于估值波动较小的银行存款与回购等，组合整体流动性良好。九月末我们视组合流动性和市场情况，增配了高评级的同业存单、同业存款等，提高组合收益水平。</w:t>
      </w:r>
    </w:p>
    <w:p w:rsidR="00DE5046" w:rsidRDefault="000A73EA">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年四季度，我们将密切关注国内经济基本面增长是否能持续超出市场预期，观察</w:t>
      </w:r>
      <w:r>
        <w:rPr>
          <w:color w:val="000000"/>
          <w:sz w:val="24"/>
        </w:rPr>
        <w:t>CPI</w:t>
      </w:r>
      <w:r>
        <w:rPr>
          <w:color w:val="000000"/>
          <w:sz w:val="24"/>
        </w:rPr>
        <w:t>在基数效应影响下逐级回落的幅度和</w:t>
      </w:r>
      <w:r>
        <w:rPr>
          <w:color w:val="000000"/>
          <w:sz w:val="24"/>
        </w:rPr>
        <w:t>PPI</w:t>
      </w:r>
      <w:r>
        <w:rPr>
          <w:color w:val="000000"/>
          <w:sz w:val="24"/>
        </w:rPr>
        <w:t>趋势回升的态势，并对低超储率下的资金面紧平衡状态持续观察。我们认为，结构性紧张的流动性货币政策框架将边际收紧银行间市场流动性，并增加资金结构性分层的特点，货币市场利率存在继续上行的可能性。</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本基金（各类）份额净值及业绩表现请见</w:t>
      </w:r>
      <w:r w:rsidRPr="000E4C40">
        <w:rPr>
          <w:color w:val="000000"/>
          <w:sz w:val="24"/>
        </w:rPr>
        <w:t>“3.1</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 xml:space="preserve">“3.2.1 </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6,921,052,788.01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31.49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6,901,052,788.01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31.40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0.09</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2,458,150,327.22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11.19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12,500,455,762.58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56.88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97,206,766.86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0.44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21,976,865,644.67</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6.47</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1,727,061,940.99</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8.53</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92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83</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13.42</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8.53</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16.86</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35.90</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13.49</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28.44</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center"/>
              <w:rPr>
                <w:color w:val="000000"/>
                <w:sz w:val="24"/>
              </w:rPr>
            </w:pPr>
            <w:r>
              <w:rPr>
                <w:rFonts w:hint="eastAsia"/>
                <w:color w:val="000000"/>
                <w:sz w:val="24"/>
              </w:rPr>
              <w:t>6</w:t>
            </w:r>
          </w:p>
        </w:tc>
        <w:tc>
          <w:tcPr>
            <w:tcW w:w="3240"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108.11</w:t>
            </w:r>
          </w:p>
        </w:tc>
        <w:tc>
          <w:tcPr>
            <w:tcW w:w="2352"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8.53</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摊余成本</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288,758,332.42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741,651,916.61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3.66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741,651,916.61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3.66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420,210,325.02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5,450,432,213.96</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26.93</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6,901,052,788.01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34.10</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a"/>
        <w:tblW w:w="9302" w:type="dxa"/>
        <w:jc w:val="center"/>
        <w:tblCellMar>
          <w:top w:w="57" w:type="dxa"/>
          <w:bottom w:w="57" w:type="dxa"/>
        </w:tblCellMar>
        <w:tblLook w:val="04A0" w:firstRow="1" w:lastRow="0" w:firstColumn="1" w:lastColumn="0" w:noHBand="0" w:noVBand="1"/>
      </w:tblPr>
      <w:tblGrid>
        <w:gridCol w:w="875"/>
        <w:gridCol w:w="1351"/>
        <w:gridCol w:w="2207"/>
        <w:gridCol w:w="1500"/>
        <w:gridCol w:w="1716"/>
        <w:gridCol w:w="1653"/>
      </w:tblGrid>
      <w:tr w:rsidR="00FC3236" w:rsidRPr="000E4C40" w:rsidTr="00FC3236">
        <w:trPr>
          <w:jc w:val="center"/>
        </w:trPr>
        <w:tc>
          <w:tcPr>
            <w:tcW w:w="118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39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35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745" w:type="dxa"/>
            <w:vAlign w:val="center"/>
          </w:tcPr>
          <w:p w:rsidR="00343648" w:rsidRPr="000E4C40" w:rsidRDefault="00343648" w:rsidP="00FC323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w="1435"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w="218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DE5046">
        <w:trPr>
          <w:jc w:val="center"/>
        </w:trPr>
        <w:tc>
          <w:tcPr>
            <w:tcW w:w="0" w:type="auto"/>
            <w:vAlign w:val="center"/>
          </w:tcPr>
          <w:p w:rsidR="00DE5046" w:rsidRDefault="000A73EA">
            <w:pPr>
              <w:jc w:val="center"/>
            </w:pPr>
            <w:r>
              <w:rPr>
                <w:color w:val="000000"/>
                <w:sz w:val="24"/>
              </w:rPr>
              <w:t>1</w:t>
            </w:r>
          </w:p>
        </w:tc>
        <w:tc>
          <w:tcPr>
            <w:tcW w:w="0" w:type="auto"/>
            <w:vAlign w:val="center"/>
          </w:tcPr>
          <w:p w:rsidR="00DE5046" w:rsidRDefault="000A73EA">
            <w:pPr>
              <w:jc w:val="center"/>
            </w:pPr>
            <w:r>
              <w:rPr>
                <w:color w:val="000000"/>
                <w:sz w:val="24"/>
              </w:rPr>
              <w:t>112095587</w:t>
            </w:r>
          </w:p>
        </w:tc>
        <w:tc>
          <w:tcPr>
            <w:tcW w:w="0" w:type="auto"/>
            <w:vAlign w:val="center"/>
          </w:tcPr>
          <w:p w:rsidR="00DE5046" w:rsidRDefault="000A73EA">
            <w:pPr>
              <w:jc w:val="center"/>
            </w:pPr>
            <w:r>
              <w:rPr>
                <w:color w:val="000000"/>
                <w:sz w:val="24"/>
              </w:rPr>
              <w:t>20</w:t>
            </w:r>
            <w:r>
              <w:rPr>
                <w:color w:val="000000"/>
                <w:sz w:val="24"/>
              </w:rPr>
              <w:t>长沙银行</w:t>
            </w:r>
            <w:r>
              <w:rPr>
                <w:color w:val="000000"/>
                <w:sz w:val="24"/>
              </w:rPr>
              <w:t>CD042</w:t>
            </w:r>
          </w:p>
        </w:tc>
        <w:tc>
          <w:tcPr>
            <w:tcW w:w="0" w:type="auto"/>
            <w:vAlign w:val="center"/>
          </w:tcPr>
          <w:p w:rsidR="00DE5046" w:rsidRDefault="000A73EA">
            <w:pPr>
              <w:jc w:val="right"/>
            </w:pPr>
            <w:r>
              <w:rPr>
                <w:color w:val="000000"/>
                <w:sz w:val="24"/>
              </w:rPr>
              <w:t>3,000,000</w:t>
            </w:r>
          </w:p>
        </w:tc>
        <w:tc>
          <w:tcPr>
            <w:tcW w:w="0" w:type="auto"/>
            <w:vAlign w:val="center"/>
          </w:tcPr>
          <w:p w:rsidR="00DE5046" w:rsidRDefault="000A73EA">
            <w:pPr>
              <w:jc w:val="right"/>
            </w:pPr>
            <w:r>
              <w:rPr>
                <w:color w:val="000000"/>
                <w:sz w:val="24"/>
              </w:rPr>
              <w:t>298,443,281.47</w:t>
            </w:r>
          </w:p>
        </w:tc>
        <w:tc>
          <w:tcPr>
            <w:tcW w:w="0" w:type="auto"/>
            <w:vAlign w:val="center"/>
          </w:tcPr>
          <w:p w:rsidR="00DE5046" w:rsidRDefault="000A73EA">
            <w:pPr>
              <w:jc w:val="right"/>
            </w:pPr>
            <w:r>
              <w:rPr>
                <w:color w:val="000000"/>
                <w:sz w:val="24"/>
              </w:rPr>
              <w:t>1.47</w:t>
            </w:r>
          </w:p>
        </w:tc>
      </w:tr>
      <w:tr w:rsidR="00DE5046">
        <w:trPr>
          <w:jc w:val="center"/>
        </w:trPr>
        <w:tc>
          <w:tcPr>
            <w:tcW w:w="0" w:type="auto"/>
            <w:vAlign w:val="center"/>
          </w:tcPr>
          <w:p w:rsidR="00DE5046" w:rsidRDefault="000A73EA">
            <w:pPr>
              <w:jc w:val="center"/>
            </w:pPr>
            <w:r>
              <w:rPr>
                <w:color w:val="000000"/>
                <w:sz w:val="24"/>
              </w:rPr>
              <w:t>2</w:t>
            </w:r>
          </w:p>
        </w:tc>
        <w:tc>
          <w:tcPr>
            <w:tcW w:w="0" w:type="auto"/>
            <w:vAlign w:val="center"/>
          </w:tcPr>
          <w:p w:rsidR="00DE5046" w:rsidRDefault="000A73EA">
            <w:pPr>
              <w:jc w:val="center"/>
            </w:pPr>
            <w:r>
              <w:rPr>
                <w:color w:val="000000"/>
                <w:sz w:val="24"/>
              </w:rPr>
              <w:t>180402</w:t>
            </w:r>
          </w:p>
        </w:tc>
        <w:tc>
          <w:tcPr>
            <w:tcW w:w="0" w:type="auto"/>
            <w:vAlign w:val="center"/>
          </w:tcPr>
          <w:p w:rsidR="00DE5046" w:rsidRDefault="000A73EA">
            <w:pPr>
              <w:jc w:val="center"/>
            </w:pPr>
            <w:r>
              <w:rPr>
                <w:color w:val="000000"/>
                <w:sz w:val="24"/>
              </w:rPr>
              <w:t>18</w:t>
            </w:r>
            <w:r>
              <w:rPr>
                <w:color w:val="000000"/>
                <w:sz w:val="24"/>
              </w:rPr>
              <w:t>农发</w:t>
            </w:r>
            <w:r>
              <w:rPr>
                <w:color w:val="000000"/>
                <w:sz w:val="24"/>
              </w:rPr>
              <w:t>02</w:t>
            </w:r>
          </w:p>
        </w:tc>
        <w:tc>
          <w:tcPr>
            <w:tcW w:w="0" w:type="auto"/>
            <w:vAlign w:val="center"/>
          </w:tcPr>
          <w:p w:rsidR="00DE5046" w:rsidRDefault="000A73EA">
            <w:pPr>
              <w:jc w:val="right"/>
            </w:pPr>
            <w:r>
              <w:rPr>
                <w:color w:val="000000"/>
                <w:sz w:val="24"/>
              </w:rPr>
              <w:t>2,500,000</w:t>
            </w:r>
          </w:p>
        </w:tc>
        <w:tc>
          <w:tcPr>
            <w:tcW w:w="0" w:type="auto"/>
            <w:vAlign w:val="center"/>
          </w:tcPr>
          <w:p w:rsidR="00DE5046" w:rsidRDefault="000A73EA">
            <w:pPr>
              <w:jc w:val="right"/>
            </w:pPr>
            <w:r>
              <w:rPr>
                <w:color w:val="000000"/>
                <w:sz w:val="24"/>
              </w:rPr>
              <w:t>251,634,564.78</w:t>
            </w:r>
          </w:p>
        </w:tc>
        <w:tc>
          <w:tcPr>
            <w:tcW w:w="0" w:type="auto"/>
            <w:vAlign w:val="center"/>
          </w:tcPr>
          <w:p w:rsidR="00DE5046" w:rsidRDefault="000A73EA">
            <w:pPr>
              <w:jc w:val="right"/>
            </w:pPr>
            <w:r>
              <w:rPr>
                <w:color w:val="000000"/>
                <w:sz w:val="24"/>
              </w:rPr>
              <w:t>1.24</w:t>
            </w:r>
          </w:p>
        </w:tc>
      </w:tr>
      <w:tr w:rsidR="00DE5046">
        <w:trPr>
          <w:jc w:val="center"/>
        </w:trPr>
        <w:tc>
          <w:tcPr>
            <w:tcW w:w="0" w:type="auto"/>
            <w:vAlign w:val="center"/>
          </w:tcPr>
          <w:p w:rsidR="00DE5046" w:rsidRDefault="000A73EA">
            <w:pPr>
              <w:jc w:val="center"/>
            </w:pPr>
            <w:r>
              <w:rPr>
                <w:color w:val="000000"/>
                <w:sz w:val="24"/>
              </w:rPr>
              <w:t>3</w:t>
            </w:r>
          </w:p>
        </w:tc>
        <w:tc>
          <w:tcPr>
            <w:tcW w:w="0" w:type="auto"/>
            <w:vAlign w:val="center"/>
          </w:tcPr>
          <w:p w:rsidR="00DE5046" w:rsidRDefault="000A73EA">
            <w:pPr>
              <w:jc w:val="center"/>
            </w:pPr>
            <w:r>
              <w:rPr>
                <w:color w:val="000000"/>
                <w:sz w:val="24"/>
              </w:rPr>
              <w:t>112021249</w:t>
            </w:r>
          </w:p>
        </w:tc>
        <w:tc>
          <w:tcPr>
            <w:tcW w:w="0" w:type="auto"/>
            <w:vAlign w:val="center"/>
          </w:tcPr>
          <w:p w:rsidR="00DE5046" w:rsidRDefault="000A73EA">
            <w:pPr>
              <w:jc w:val="center"/>
            </w:pPr>
            <w:r>
              <w:rPr>
                <w:color w:val="000000"/>
                <w:sz w:val="24"/>
              </w:rPr>
              <w:t>20</w:t>
            </w:r>
            <w:r>
              <w:rPr>
                <w:color w:val="000000"/>
                <w:sz w:val="24"/>
              </w:rPr>
              <w:t>渤海银行</w:t>
            </w:r>
            <w:r>
              <w:rPr>
                <w:color w:val="000000"/>
                <w:sz w:val="24"/>
              </w:rPr>
              <w:t>CD249</w:t>
            </w:r>
          </w:p>
        </w:tc>
        <w:tc>
          <w:tcPr>
            <w:tcW w:w="0" w:type="auto"/>
            <w:vAlign w:val="center"/>
          </w:tcPr>
          <w:p w:rsidR="00DE5046" w:rsidRDefault="000A73EA">
            <w:pPr>
              <w:jc w:val="right"/>
            </w:pPr>
            <w:r>
              <w:rPr>
                <w:color w:val="000000"/>
                <w:sz w:val="24"/>
              </w:rPr>
              <w:t>2,000,000</w:t>
            </w:r>
          </w:p>
        </w:tc>
        <w:tc>
          <w:tcPr>
            <w:tcW w:w="0" w:type="auto"/>
            <w:vAlign w:val="center"/>
          </w:tcPr>
          <w:p w:rsidR="00DE5046" w:rsidRDefault="000A73EA">
            <w:pPr>
              <w:jc w:val="right"/>
            </w:pPr>
            <w:r>
              <w:rPr>
                <w:color w:val="000000"/>
                <w:sz w:val="24"/>
              </w:rPr>
              <w:t>199,049,939.85</w:t>
            </w:r>
          </w:p>
        </w:tc>
        <w:tc>
          <w:tcPr>
            <w:tcW w:w="0" w:type="auto"/>
            <w:vAlign w:val="center"/>
          </w:tcPr>
          <w:p w:rsidR="00DE5046" w:rsidRDefault="000A73EA">
            <w:pPr>
              <w:jc w:val="right"/>
            </w:pPr>
            <w:r>
              <w:rPr>
                <w:color w:val="000000"/>
                <w:sz w:val="24"/>
              </w:rPr>
              <w:t>0.98</w:t>
            </w:r>
          </w:p>
        </w:tc>
      </w:tr>
      <w:tr w:rsidR="00DE5046">
        <w:trPr>
          <w:jc w:val="center"/>
        </w:trPr>
        <w:tc>
          <w:tcPr>
            <w:tcW w:w="0" w:type="auto"/>
            <w:vAlign w:val="center"/>
          </w:tcPr>
          <w:p w:rsidR="00DE5046" w:rsidRDefault="000A73EA">
            <w:pPr>
              <w:jc w:val="center"/>
            </w:pPr>
            <w:r>
              <w:rPr>
                <w:color w:val="000000"/>
                <w:sz w:val="24"/>
              </w:rPr>
              <w:t>4</w:t>
            </w:r>
          </w:p>
        </w:tc>
        <w:tc>
          <w:tcPr>
            <w:tcW w:w="0" w:type="auto"/>
            <w:vAlign w:val="center"/>
          </w:tcPr>
          <w:p w:rsidR="00DE5046" w:rsidRDefault="000A73EA">
            <w:pPr>
              <w:jc w:val="center"/>
            </w:pPr>
            <w:r>
              <w:rPr>
                <w:color w:val="000000"/>
                <w:sz w:val="24"/>
              </w:rPr>
              <w:t>112081341</w:t>
            </w:r>
          </w:p>
        </w:tc>
        <w:tc>
          <w:tcPr>
            <w:tcW w:w="0" w:type="auto"/>
            <w:vAlign w:val="center"/>
          </w:tcPr>
          <w:p w:rsidR="00DE5046" w:rsidRDefault="000A73EA">
            <w:pPr>
              <w:jc w:val="center"/>
            </w:pPr>
            <w:r>
              <w:rPr>
                <w:color w:val="000000"/>
                <w:sz w:val="24"/>
              </w:rPr>
              <w:t>20</w:t>
            </w:r>
            <w:r>
              <w:rPr>
                <w:color w:val="000000"/>
                <w:sz w:val="24"/>
              </w:rPr>
              <w:t>贵阳银行</w:t>
            </w:r>
            <w:r>
              <w:rPr>
                <w:color w:val="000000"/>
                <w:sz w:val="24"/>
              </w:rPr>
              <w:t>CD076</w:t>
            </w:r>
          </w:p>
        </w:tc>
        <w:tc>
          <w:tcPr>
            <w:tcW w:w="0" w:type="auto"/>
            <w:vAlign w:val="center"/>
          </w:tcPr>
          <w:p w:rsidR="00DE5046" w:rsidRDefault="000A73EA">
            <w:pPr>
              <w:jc w:val="right"/>
            </w:pPr>
            <w:r>
              <w:rPr>
                <w:color w:val="000000"/>
                <w:sz w:val="24"/>
              </w:rPr>
              <w:t>2,000,000</w:t>
            </w:r>
          </w:p>
        </w:tc>
        <w:tc>
          <w:tcPr>
            <w:tcW w:w="0" w:type="auto"/>
            <w:vAlign w:val="center"/>
          </w:tcPr>
          <w:p w:rsidR="00DE5046" w:rsidRDefault="000A73EA">
            <w:pPr>
              <w:jc w:val="right"/>
            </w:pPr>
            <w:r>
              <w:rPr>
                <w:color w:val="000000"/>
                <w:sz w:val="24"/>
              </w:rPr>
              <w:t>199,029,166.93</w:t>
            </w:r>
          </w:p>
        </w:tc>
        <w:tc>
          <w:tcPr>
            <w:tcW w:w="0" w:type="auto"/>
            <w:vAlign w:val="center"/>
          </w:tcPr>
          <w:p w:rsidR="00DE5046" w:rsidRDefault="000A73EA">
            <w:pPr>
              <w:jc w:val="right"/>
            </w:pPr>
            <w:r>
              <w:rPr>
                <w:color w:val="000000"/>
                <w:sz w:val="24"/>
              </w:rPr>
              <w:t>0.98</w:t>
            </w:r>
          </w:p>
        </w:tc>
      </w:tr>
      <w:tr w:rsidR="00DE5046">
        <w:trPr>
          <w:jc w:val="center"/>
        </w:trPr>
        <w:tc>
          <w:tcPr>
            <w:tcW w:w="0" w:type="auto"/>
            <w:vAlign w:val="center"/>
          </w:tcPr>
          <w:p w:rsidR="00DE5046" w:rsidRDefault="000A73EA">
            <w:pPr>
              <w:jc w:val="center"/>
            </w:pPr>
            <w:r>
              <w:rPr>
                <w:color w:val="000000"/>
                <w:sz w:val="24"/>
              </w:rPr>
              <w:t>5</w:t>
            </w:r>
          </w:p>
        </w:tc>
        <w:tc>
          <w:tcPr>
            <w:tcW w:w="0" w:type="auto"/>
            <w:vAlign w:val="center"/>
          </w:tcPr>
          <w:p w:rsidR="00DE5046" w:rsidRDefault="000A73EA">
            <w:pPr>
              <w:jc w:val="center"/>
            </w:pPr>
            <w:r>
              <w:rPr>
                <w:color w:val="000000"/>
                <w:sz w:val="24"/>
              </w:rPr>
              <w:t>112094993</w:t>
            </w:r>
          </w:p>
        </w:tc>
        <w:tc>
          <w:tcPr>
            <w:tcW w:w="0" w:type="auto"/>
            <w:vAlign w:val="center"/>
          </w:tcPr>
          <w:p w:rsidR="00DE5046" w:rsidRDefault="000A73EA">
            <w:pPr>
              <w:jc w:val="center"/>
            </w:pPr>
            <w:r>
              <w:rPr>
                <w:color w:val="000000"/>
                <w:sz w:val="24"/>
              </w:rPr>
              <w:t>20</w:t>
            </w:r>
            <w:r>
              <w:rPr>
                <w:color w:val="000000"/>
                <w:sz w:val="24"/>
              </w:rPr>
              <w:t>东莞农村商业银行</w:t>
            </w:r>
            <w:r>
              <w:rPr>
                <w:color w:val="000000"/>
                <w:sz w:val="24"/>
              </w:rPr>
              <w:t>CD075</w:t>
            </w:r>
          </w:p>
        </w:tc>
        <w:tc>
          <w:tcPr>
            <w:tcW w:w="0" w:type="auto"/>
            <w:vAlign w:val="center"/>
          </w:tcPr>
          <w:p w:rsidR="00DE5046" w:rsidRDefault="000A73EA">
            <w:pPr>
              <w:jc w:val="right"/>
            </w:pPr>
            <w:r>
              <w:rPr>
                <w:color w:val="000000"/>
                <w:sz w:val="24"/>
              </w:rPr>
              <w:t>2,000,000</w:t>
            </w:r>
          </w:p>
        </w:tc>
        <w:tc>
          <w:tcPr>
            <w:tcW w:w="0" w:type="auto"/>
            <w:vAlign w:val="center"/>
          </w:tcPr>
          <w:p w:rsidR="00DE5046" w:rsidRDefault="000A73EA">
            <w:pPr>
              <w:jc w:val="right"/>
            </w:pPr>
            <w:r>
              <w:rPr>
                <w:color w:val="000000"/>
                <w:sz w:val="24"/>
              </w:rPr>
              <w:t>199,015,464.90</w:t>
            </w:r>
          </w:p>
        </w:tc>
        <w:tc>
          <w:tcPr>
            <w:tcW w:w="0" w:type="auto"/>
            <w:vAlign w:val="center"/>
          </w:tcPr>
          <w:p w:rsidR="00DE5046" w:rsidRDefault="000A73EA">
            <w:pPr>
              <w:jc w:val="right"/>
            </w:pPr>
            <w:r>
              <w:rPr>
                <w:color w:val="000000"/>
                <w:sz w:val="24"/>
              </w:rPr>
              <w:t>0.98</w:t>
            </w:r>
          </w:p>
        </w:tc>
      </w:tr>
      <w:tr w:rsidR="00DE5046">
        <w:trPr>
          <w:jc w:val="center"/>
        </w:trPr>
        <w:tc>
          <w:tcPr>
            <w:tcW w:w="0" w:type="auto"/>
            <w:vAlign w:val="center"/>
          </w:tcPr>
          <w:p w:rsidR="00DE5046" w:rsidRDefault="000A73EA">
            <w:pPr>
              <w:jc w:val="center"/>
            </w:pPr>
            <w:r>
              <w:rPr>
                <w:color w:val="000000"/>
                <w:sz w:val="24"/>
              </w:rPr>
              <w:t>6</w:t>
            </w:r>
          </w:p>
        </w:tc>
        <w:tc>
          <w:tcPr>
            <w:tcW w:w="0" w:type="auto"/>
            <w:vAlign w:val="center"/>
          </w:tcPr>
          <w:p w:rsidR="00DE5046" w:rsidRDefault="000A73EA">
            <w:pPr>
              <w:jc w:val="center"/>
            </w:pPr>
            <w:r>
              <w:rPr>
                <w:color w:val="000000"/>
                <w:sz w:val="24"/>
              </w:rPr>
              <w:t>112094977</w:t>
            </w:r>
          </w:p>
        </w:tc>
        <w:tc>
          <w:tcPr>
            <w:tcW w:w="0" w:type="auto"/>
            <w:vAlign w:val="center"/>
          </w:tcPr>
          <w:p w:rsidR="00DE5046" w:rsidRDefault="000A73EA">
            <w:pPr>
              <w:jc w:val="center"/>
            </w:pPr>
            <w:r>
              <w:rPr>
                <w:color w:val="000000"/>
                <w:sz w:val="24"/>
              </w:rPr>
              <w:t>20</w:t>
            </w:r>
            <w:r>
              <w:rPr>
                <w:color w:val="000000"/>
                <w:sz w:val="24"/>
              </w:rPr>
              <w:t>广州农村商业银行</w:t>
            </w:r>
            <w:r>
              <w:rPr>
                <w:color w:val="000000"/>
                <w:sz w:val="24"/>
              </w:rPr>
              <w:t>CD039</w:t>
            </w:r>
          </w:p>
        </w:tc>
        <w:tc>
          <w:tcPr>
            <w:tcW w:w="0" w:type="auto"/>
            <w:vAlign w:val="center"/>
          </w:tcPr>
          <w:p w:rsidR="00DE5046" w:rsidRDefault="000A73EA">
            <w:pPr>
              <w:jc w:val="right"/>
            </w:pPr>
            <w:r>
              <w:rPr>
                <w:color w:val="000000"/>
                <w:sz w:val="24"/>
              </w:rPr>
              <w:t>2,000,000</w:t>
            </w:r>
          </w:p>
        </w:tc>
        <w:tc>
          <w:tcPr>
            <w:tcW w:w="0" w:type="auto"/>
            <w:vAlign w:val="center"/>
          </w:tcPr>
          <w:p w:rsidR="00DE5046" w:rsidRDefault="000A73EA">
            <w:pPr>
              <w:jc w:val="right"/>
            </w:pPr>
            <w:r>
              <w:rPr>
                <w:color w:val="000000"/>
                <w:sz w:val="24"/>
              </w:rPr>
              <w:t>198,998,958.89</w:t>
            </w:r>
          </w:p>
        </w:tc>
        <w:tc>
          <w:tcPr>
            <w:tcW w:w="0" w:type="auto"/>
            <w:vAlign w:val="center"/>
          </w:tcPr>
          <w:p w:rsidR="00DE5046" w:rsidRDefault="000A73EA">
            <w:pPr>
              <w:jc w:val="right"/>
            </w:pPr>
            <w:r>
              <w:rPr>
                <w:color w:val="000000"/>
                <w:sz w:val="24"/>
              </w:rPr>
              <w:t>0.98</w:t>
            </w:r>
          </w:p>
        </w:tc>
      </w:tr>
      <w:tr w:rsidR="00DE5046">
        <w:trPr>
          <w:jc w:val="center"/>
        </w:trPr>
        <w:tc>
          <w:tcPr>
            <w:tcW w:w="0" w:type="auto"/>
            <w:vAlign w:val="center"/>
          </w:tcPr>
          <w:p w:rsidR="00DE5046" w:rsidRDefault="000A73EA">
            <w:pPr>
              <w:jc w:val="center"/>
            </w:pPr>
            <w:r>
              <w:rPr>
                <w:color w:val="000000"/>
                <w:sz w:val="24"/>
              </w:rPr>
              <w:t>7</w:t>
            </w:r>
          </w:p>
        </w:tc>
        <w:tc>
          <w:tcPr>
            <w:tcW w:w="0" w:type="auto"/>
            <w:vAlign w:val="center"/>
          </w:tcPr>
          <w:p w:rsidR="00DE5046" w:rsidRDefault="000A73EA">
            <w:pPr>
              <w:jc w:val="center"/>
            </w:pPr>
            <w:r>
              <w:rPr>
                <w:color w:val="000000"/>
                <w:sz w:val="24"/>
              </w:rPr>
              <w:t>112081277</w:t>
            </w:r>
          </w:p>
        </w:tc>
        <w:tc>
          <w:tcPr>
            <w:tcW w:w="0" w:type="auto"/>
            <w:vAlign w:val="center"/>
          </w:tcPr>
          <w:p w:rsidR="00DE5046" w:rsidRDefault="000A73EA">
            <w:pPr>
              <w:jc w:val="center"/>
            </w:pPr>
            <w:r>
              <w:rPr>
                <w:color w:val="000000"/>
                <w:sz w:val="24"/>
              </w:rPr>
              <w:t>20</w:t>
            </w:r>
            <w:r>
              <w:rPr>
                <w:color w:val="000000"/>
                <w:sz w:val="24"/>
              </w:rPr>
              <w:t>湖北银行</w:t>
            </w:r>
            <w:r>
              <w:rPr>
                <w:color w:val="000000"/>
                <w:sz w:val="24"/>
              </w:rPr>
              <w:t>CD019</w:t>
            </w:r>
          </w:p>
        </w:tc>
        <w:tc>
          <w:tcPr>
            <w:tcW w:w="0" w:type="auto"/>
            <w:vAlign w:val="center"/>
          </w:tcPr>
          <w:p w:rsidR="00DE5046" w:rsidRDefault="000A73EA">
            <w:pPr>
              <w:jc w:val="right"/>
            </w:pPr>
            <w:r>
              <w:rPr>
                <w:color w:val="000000"/>
                <w:sz w:val="24"/>
              </w:rPr>
              <w:t>2,000,000</w:t>
            </w:r>
          </w:p>
        </w:tc>
        <w:tc>
          <w:tcPr>
            <w:tcW w:w="0" w:type="auto"/>
            <w:vAlign w:val="center"/>
          </w:tcPr>
          <w:p w:rsidR="00DE5046" w:rsidRDefault="000A73EA">
            <w:pPr>
              <w:jc w:val="right"/>
            </w:pPr>
            <w:r>
              <w:rPr>
                <w:color w:val="000000"/>
                <w:sz w:val="24"/>
              </w:rPr>
              <w:t>198,995,953.44</w:t>
            </w:r>
          </w:p>
        </w:tc>
        <w:tc>
          <w:tcPr>
            <w:tcW w:w="0" w:type="auto"/>
            <w:vAlign w:val="center"/>
          </w:tcPr>
          <w:p w:rsidR="00DE5046" w:rsidRDefault="000A73EA">
            <w:pPr>
              <w:jc w:val="right"/>
            </w:pPr>
            <w:r>
              <w:rPr>
                <w:color w:val="000000"/>
                <w:sz w:val="24"/>
              </w:rPr>
              <w:t>0.98</w:t>
            </w:r>
          </w:p>
        </w:tc>
      </w:tr>
      <w:tr w:rsidR="00DE5046">
        <w:trPr>
          <w:jc w:val="center"/>
        </w:trPr>
        <w:tc>
          <w:tcPr>
            <w:tcW w:w="0" w:type="auto"/>
            <w:vAlign w:val="center"/>
          </w:tcPr>
          <w:p w:rsidR="00DE5046" w:rsidRDefault="000A73EA">
            <w:pPr>
              <w:jc w:val="center"/>
            </w:pPr>
            <w:r>
              <w:rPr>
                <w:color w:val="000000"/>
                <w:sz w:val="24"/>
              </w:rPr>
              <w:t>8</w:t>
            </w:r>
          </w:p>
        </w:tc>
        <w:tc>
          <w:tcPr>
            <w:tcW w:w="0" w:type="auto"/>
            <w:vAlign w:val="center"/>
          </w:tcPr>
          <w:p w:rsidR="00DE5046" w:rsidRDefault="000A73EA">
            <w:pPr>
              <w:jc w:val="center"/>
            </w:pPr>
            <w:r>
              <w:rPr>
                <w:color w:val="000000"/>
                <w:sz w:val="24"/>
              </w:rPr>
              <w:t>112095618</w:t>
            </w:r>
          </w:p>
        </w:tc>
        <w:tc>
          <w:tcPr>
            <w:tcW w:w="0" w:type="auto"/>
            <w:vAlign w:val="center"/>
          </w:tcPr>
          <w:p w:rsidR="00DE5046" w:rsidRDefault="000A73EA">
            <w:pPr>
              <w:jc w:val="center"/>
            </w:pPr>
            <w:r>
              <w:rPr>
                <w:color w:val="000000"/>
                <w:sz w:val="24"/>
              </w:rPr>
              <w:t>20</w:t>
            </w:r>
            <w:r>
              <w:rPr>
                <w:color w:val="000000"/>
                <w:sz w:val="24"/>
              </w:rPr>
              <w:t>郑州银行</w:t>
            </w:r>
            <w:r>
              <w:rPr>
                <w:color w:val="000000"/>
                <w:sz w:val="24"/>
              </w:rPr>
              <w:t>CD030</w:t>
            </w:r>
          </w:p>
        </w:tc>
        <w:tc>
          <w:tcPr>
            <w:tcW w:w="0" w:type="auto"/>
            <w:vAlign w:val="center"/>
          </w:tcPr>
          <w:p w:rsidR="00DE5046" w:rsidRDefault="000A73EA">
            <w:pPr>
              <w:jc w:val="right"/>
            </w:pPr>
            <w:r>
              <w:rPr>
                <w:color w:val="000000"/>
                <w:sz w:val="24"/>
              </w:rPr>
              <w:t>2,000,000</w:t>
            </w:r>
          </w:p>
        </w:tc>
        <w:tc>
          <w:tcPr>
            <w:tcW w:w="0" w:type="auto"/>
            <w:vAlign w:val="center"/>
          </w:tcPr>
          <w:p w:rsidR="00DE5046" w:rsidRDefault="000A73EA">
            <w:pPr>
              <w:jc w:val="right"/>
            </w:pPr>
            <w:r>
              <w:rPr>
                <w:color w:val="000000"/>
                <w:sz w:val="24"/>
              </w:rPr>
              <w:t>198,962,187.69</w:t>
            </w:r>
          </w:p>
        </w:tc>
        <w:tc>
          <w:tcPr>
            <w:tcW w:w="0" w:type="auto"/>
            <w:vAlign w:val="center"/>
          </w:tcPr>
          <w:p w:rsidR="00DE5046" w:rsidRDefault="000A73EA">
            <w:pPr>
              <w:jc w:val="right"/>
            </w:pPr>
            <w:r>
              <w:rPr>
                <w:color w:val="000000"/>
                <w:sz w:val="24"/>
              </w:rPr>
              <w:t>0.98</w:t>
            </w:r>
          </w:p>
        </w:tc>
      </w:tr>
      <w:tr w:rsidR="00DE5046">
        <w:trPr>
          <w:jc w:val="center"/>
        </w:trPr>
        <w:tc>
          <w:tcPr>
            <w:tcW w:w="0" w:type="auto"/>
            <w:vAlign w:val="center"/>
          </w:tcPr>
          <w:p w:rsidR="00DE5046" w:rsidRDefault="000A73EA">
            <w:pPr>
              <w:jc w:val="center"/>
            </w:pPr>
            <w:r>
              <w:rPr>
                <w:color w:val="000000"/>
                <w:sz w:val="24"/>
              </w:rPr>
              <w:t>9</w:t>
            </w:r>
          </w:p>
        </w:tc>
        <w:tc>
          <w:tcPr>
            <w:tcW w:w="0" w:type="auto"/>
            <w:vAlign w:val="center"/>
          </w:tcPr>
          <w:p w:rsidR="00DE5046" w:rsidRDefault="000A73EA">
            <w:pPr>
              <w:jc w:val="center"/>
            </w:pPr>
            <w:r>
              <w:rPr>
                <w:color w:val="000000"/>
                <w:sz w:val="24"/>
              </w:rPr>
              <w:t>112095452</w:t>
            </w:r>
          </w:p>
        </w:tc>
        <w:tc>
          <w:tcPr>
            <w:tcW w:w="0" w:type="auto"/>
            <w:vAlign w:val="center"/>
          </w:tcPr>
          <w:p w:rsidR="00DE5046" w:rsidRDefault="000A73EA">
            <w:pPr>
              <w:jc w:val="center"/>
            </w:pPr>
            <w:r>
              <w:rPr>
                <w:color w:val="000000"/>
                <w:sz w:val="24"/>
              </w:rPr>
              <w:t>20</w:t>
            </w:r>
            <w:r>
              <w:rPr>
                <w:color w:val="000000"/>
                <w:sz w:val="24"/>
              </w:rPr>
              <w:t>贵阳银行</w:t>
            </w:r>
            <w:r>
              <w:rPr>
                <w:color w:val="000000"/>
                <w:sz w:val="24"/>
              </w:rPr>
              <w:t>CD035</w:t>
            </w:r>
          </w:p>
        </w:tc>
        <w:tc>
          <w:tcPr>
            <w:tcW w:w="0" w:type="auto"/>
            <w:vAlign w:val="center"/>
          </w:tcPr>
          <w:p w:rsidR="00DE5046" w:rsidRDefault="000A73EA">
            <w:pPr>
              <w:jc w:val="right"/>
            </w:pPr>
            <w:r>
              <w:rPr>
                <w:color w:val="000000"/>
                <w:sz w:val="24"/>
              </w:rPr>
              <w:t>2,000,000</w:t>
            </w:r>
          </w:p>
        </w:tc>
        <w:tc>
          <w:tcPr>
            <w:tcW w:w="0" w:type="auto"/>
            <w:vAlign w:val="center"/>
          </w:tcPr>
          <w:p w:rsidR="00DE5046" w:rsidRDefault="000A73EA">
            <w:pPr>
              <w:jc w:val="right"/>
            </w:pPr>
            <w:r>
              <w:rPr>
                <w:color w:val="000000"/>
                <w:sz w:val="24"/>
              </w:rPr>
              <w:t>198,943,351.45</w:t>
            </w:r>
          </w:p>
        </w:tc>
        <w:tc>
          <w:tcPr>
            <w:tcW w:w="0" w:type="auto"/>
            <w:vAlign w:val="center"/>
          </w:tcPr>
          <w:p w:rsidR="00DE5046" w:rsidRDefault="000A73EA">
            <w:pPr>
              <w:jc w:val="right"/>
            </w:pPr>
            <w:r>
              <w:rPr>
                <w:color w:val="000000"/>
                <w:sz w:val="24"/>
              </w:rPr>
              <w:t>0.98</w:t>
            </w:r>
          </w:p>
        </w:tc>
      </w:tr>
      <w:tr w:rsidR="00DE5046">
        <w:trPr>
          <w:jc w:val="center"/>
        </w:trPr>
        <w:tc>
          <w:tcPr>
            <w:tcW w:w="0" w:type="auto"/>
            <w:vAlign w:val="center"/>
          </w:tcPr>
          <w:p w:rsidR="00DE5046" w:rsidRDefault="000A73EA">
            <w:pPr>
              <w:jc w:val="center"/>
            </w:pPr>
            <w:r>
              <w:rPr>
                <w:color w:val="000000"/>
                <w:sz w:val="24"/>
              </w:rPr>
              <w:t>10</w:t>
            </w:r>
          </w:p>
        </w:tc>
        <w:tc>
          <w:tcPr>
            <w:tcW w:w="0" w:type="auto"/>
            <w:vAlign w:val="center"/>
          </w:tcPr>
          <w:p w:rsidR="00DE5046" w:rsidRDefault="000A73EA">
            <w:pPr>
              <w:jc w:val="center"/>
            </w:pPr>
            <w:r>
              <w:rPr>
                <w:color w:val="000000"/>
                <w:sz w:val="24"/>
              </w:rPr>
              <w:t>112021154</w:t>
            </w:r>
          </w:p>
        </w:tc>
        <w:tc>
          <w:tcPr>
            <w:tcW w:w="0" w:type="auto"/>
            <w:vAlign w:val="center"/>
          </w:tcPr>
          <w:p w:rsidR="00DE5046" w:rsidRDefault="000A73EA">
            <w:pPr>
              <w:jc w:val="center"/>
            </w:pPr>
            <w:r>
              <w:rPr>
                <w:color w:val="000000"/>
                <w:sz w:val="24"/>
              </w:rPr>
              <w:t>20</w:t>
            </w:r>
            <w:r>
              <w:rPr>
                <w:color w:val="000000"/>
                <w:sz w:val="24"/>
              </w:rPr>
              <w:t>渤海银行</w:t>
            </w:r>
            <w:r>
              <w:rPr>
                <w:color w:val="000000"/>
                <w:sz w:val="24"/>
              </w:rPr>
              <w:t>CD154</w:t>
            </w:r>
          </w:p>
        </w:tc>
        <w:tc>
          <w:tcPr>
            <w:tcW w:w="0" w:type="auto"/>
            <w:vAlign w:val="center"/>
          </w:tcPr>
          <w:p w:rsidR="00DE5046" w:rsidRDefault="000A73EA">
            <w:pPr>
              <w:jc w:val="right"/>
            </w:pPr>
            <w:r>
              <w:rPr>
                <w:color w:val="000000"/>
                <w:sz w:val="24"/>
              </w:rPr>
              <w:t>2,000,000</w:t>
            </w:r>
          </w:p>
        </w:tc>
        <w:tc>
          <w:tcPr>
            <w:tcW w:w="0" w:type="auto"/>
            <w:vAlign w:val="center"/>
          </w:tcPr>
          <w:p w:rsidR="00DE5046" w:rsidRDefault="000A73EA">
            <w:pPr>
              <w:jc w:val="right"/>
            </w:pPr>
            <w:r>
              <w:rPr>
                <w:color w:val="000000"/>
                <w:sz w:val="24"/>
              </w:rPr>
              <w:t>198,940,022.83</w:t>
            </w:r>
          </w:p>
        </w:tc>
        <w:tc>
          <w:tcPr>
            <w:tcW w:w="0" w:type="auto"/>
            <w:vAlign w:val="center"/>
          </w:tcPr>
          <w:p w:rsidR="00DE5046" w:rsidRDefault="000A73EA">
            <w:pPr>
              <w:jc w:val="right"/>
            </w:pPr>
            <w:r>
              <w:rPr>
                <w:color w:val="000000"/>
                <w:sz w:val="24"/>
              </w:rPr>
              <w:t>0.98</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0.0027%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-0.0622%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0.0345%</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w:t>
      </w:r>
      <w:r w:rsidR="00615DAC" w:rsidRPr="00615DAC">
        <w:rPr>
          <w:rFonts w:hAnsi="宋体" w:hint="eastAsia"/>
          <w:b/>
          <w:color w:val="000000"/>
          <w:kern w:val="0"/>
          <w:sz w:val="24"/>
        </w:rPr>
        <w:t>摊余成本</w:t>
      </w:r>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E97D49" w:rsidRPr="00E97D49" w:rsidRDefault="00E97D49" w:rsidP="00E97D49">
      <w:pPr>
        <w:spacing w:before="29" w:line="288" w:lineRule="auto"/>
        <w:jc w:val="right"/>
        <w:rPr>
          <w:color w:val="000000"/>
          <w:kern w:val="0"/>
          <w:sz w:val="24"/>
        </w:rPr>
      </w:pPr>
      <w:r w:rsidRPr="00E97D49">
        <w:rPr>
          <w:rFonts w:hint="eastAsia"/>
          <w:color w:val="000000"/>
          <w:kern w:val="0"/>
          <w:sz w:val="24"/>
        </w:rPr>
        <w:t>金额单位：人民币元</w:t>
      </w:r>
    </w:p>
    <w:tbl>
      <w:tblPr>
        <w:tblStyle w:val="aa"/>
        <w:tblW w:w="9302" w:type="dxa"/>
        <w:jc w:val="center"/>
        <w:tblCellMar>
          <w:top w:w="57" w:type="dxa"/>
          <w:bottom w:w="57" w:type="dxa"/>
        </w:tblCellMar>
        <w:tblLook w:val="04A0" w:firstRow="1" w:lastRow="0" w:firstColumn="1" w:lastColumn="0" w:noHBand="0" w:noVBand="1"/>
      </w:tblPr>
      <w:tblGrid>
        <w:gridCol w:w="1481"/>
        <w:gridCol w:w="1489"/>
        <w:gridCol w:w="1482"/>
        <w:gridCol w:w="1595"/>
        <w:gridCol w:w="1596"/>
        <w:gridCol w:w="1659"/>
      </w:tblGrid>
      <w:tr w:rsidR="00BF1111" w:rsidRPr="000E4C40" w:rsidTr="008F34CE">
        <w:trPr>
          <w:jc w:val="center"/>
        </w:trPr>
        <w:tc>
          <w:tcPr>
            <w:tcW w:w="1503"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01"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01"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608" w:type="dxa"/>
            <w:vAlign w:val="center"/>
          </w:tcPr>
          <w:p w:rsidR="00BF1111" w:rsidRPr="00187BE0" w:rsidRDefault="00E269C1" w:rsidP="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w="1508" w:type="dxa"/>
            <w:vAlign w:val="center"/>
          </w:tcPr>
          <w:p w:rsidR="00BF1111" w:rsidRPr="000E4C40" w:rsidRDefault="00BD3669" w:rsidP="00B34175">
            <w:pPr>
              <w:autoSpaceDE w:val="0"/>
              <w:autoSpaceDN w:val="0"/>
              <w:adjustRightInd w:val="0"/>
              <w:spacing w:before="29" w:line="288" w:lineRule="auto"/>
              <w:ind w:left="15"/>
              <w:jc w:val="center"/>
              <w:rPr>
                <w:color w:val="000000"/>
                <w:kern w:val="0"/>
                <w:sz w:val="24"/>
              </w:rPr>
            </w:pPr>
            <w:r>
              <w:rPr>
                <w:rFonts w:hAnsi="宋体" w:hint="eastAsia"/>
                <w:color w:val="000000"/>
                <w:kern w:val="0"/>
                <w:sz w:val="24"/>
              </w:rPr>
              <w:t>摊余成本</w:t>
            </w:r>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p>
        </w:tc>
        <w:tc>
          <w:tcPr>
            <w:tcW w:w="1681" w:type="dxa"/>
            <w:vAlign w:val="center"/>
          </w:tcPr>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DE5046">
        <w:trPr>
          <w:jc w:val="center"/>
        </w:trPr>
        <w:tc>
          <w:tcPr>
            <w:tcW w:w="0" w:type="auto"/>
            <w:vAlign w:val="center"/>
          </w:tcPr>
          <w:p w:rsidR="00DE5046" w:rsidRDefault="000A73EA">
            <w:pPr>
              <w:jc w:val="center"/>
            </w:pPr>
            <w:r>
              <w:rPr>
                <w:color w:val="000000"/>
                <w:sz w:val="24"/>
              </w:rPr>
              <w:t>1</w:t>
            </w:r>
          </w:p>
        </w:tc>
        <w:tc>
          <w:tcPr>
            <w:tcW w:w="0" w:type="auto"/>
            <w:vAlign w:val="center"/>
          </w:tcPr>
          <w:p w:rsidR="00DE5046" w:rsidRDefault="000A73EA">
            <w:pPr>
              <w:jc w:val="center"/>
            </w:pPr>
            <w:r>
              <w:rPr>
                <w:color w:val="000000"/>
                <w:sz w:val="24"/>
              </w:rPr>
              <w:t>169422</w:t>
            </w:r>
          </w:p>
        </w:tc>
        <w:tc>
          <w:tcPr>
            <w:tcW w:w="0" w:type="auto"/>
            <w:vAlign w:val="center"/>
          </w:tcPr>
          <w:p w:rsidR="00DE5046" w:rsidRDefault="000A73EA">
            <w:pPr>
              <w:jc w:val="center"/>
            </w:pPr>
            <w:r>
              <w:rPr>
                <w:color w:val="000000"/>
                <w:sz w:val="24"/>
              </w:rPr>
              <w:t>霄驰</w:t>
            </w:r>
            <w:r>
              <w:rPr>
                <w:color w:val="000000"/>
                <w:sz w:val="24"/>
              </w:rPr>
              <w:t>01A</w:t>
            </w:r>
          </w:p>
        </w:tc>
        <w:tc>
          <w:tcPr>
            <w:tcW w:w="0" w:type="auto"/>
            <w:vAlign w:val="center"/>
          </w:tcPr>
          <w:p w:rsidR="00DE5046" w:rsidRDefault="000A73EA">
            <w:pPr>
              <w:jc w:val="right"/>
            </w:pPr>
            <w:r>
              <w:rPr>
                <w:color w:val="000000"/>
                <w:sz w:val="24"/>
              </w:rPr>
              <w:t>200,000</w:t>
            </w:r>
          </w:p>
        </w:tc>
        <w:tc>
          <w:tcPr>
            <w:tcW w:w="0" w:type="auto"/>
            <w:vAlign w:val="center"/>
          </w:tcPr>
          <w:p w:rsidR="00DE5046" w:rsidRDefault="000A73EA">
            <w:pPr>
              <w:jc w:val="right"/>
            </w:pPr>
            <w:r>
              <w:rPr>
                <w:color w:val="000000"/>
                <w:sz w:val="24"/>
              </w:rPr>
              <w:t>20,000,000.00</w:t>
            </w:r>
          </w:p>
        </w:tc>
        <w:tc>
          <w:tcPr>
            <w:tcW w:w="0" w:type="auto"/>
            <w:vAlign w:val="center"/>
          </w:tcPr>
          <w:p w:rsidR="00DE5046" w:rsidRDefault="000A73EA">
            <w:pPr>
              <w:jc w:val="right"/>
            </w:pPr>
            <w:r>
              <w:rPr>
                <w:color w:val="000000"/>
                <w:sz w:val="24"/>
              </w:rPr>
              <w:t>0.10</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346DC3" w:rsidRDefault="002304D5" w:rsidP="00281564">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346DC3" w:rsidRDefault="002304D5" w:rsidP="00281564">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96,102,240.14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1,103,703.72</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823.00</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97,206,766.86</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346DC3" w:rsidRDefault="002304D5" w:rsidP="00281564">
      <w:pPr>
        <w:spacing w:before="29" w:line="288" w:lineRule="auto"/>
        <w:rPr>
          <w:b/>
          <w:color w:val="000000"/>
          <w:kern w:val="0"/>
          <w:sz w:val="24"/>
        </w:rPr>
      </w:pPr>
      <w:r w:rsidRPr="00346DC3">
        <w:rPr>
          <w:b/>
          <w:color w:val="000000"/>
          <w:kern w:val="0"/>
          <w:sz w:val="24"/>
        </w:rPr>
        <w:t>5.9.4</w:t>
      </w:r>
      <w:r w:rsidR="00DE7C60" w:rsidRPr="00346DC3">
        <w:rPr>
          <w:rFonts w:hAnsi="宋体"/>
          <w:b/>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23,907,657,612.84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248,695,091.26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111,971,978,725.73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2,084,989,622.01</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117,827,094,156.53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148,087,830.97</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18,052,542,182.04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2,185,596,882.30</w:t>
            </w:r>
          </w:p>
        </w:tc>
      </w:tr>
    </w:tbl>
    <w:p w:rsidR="00DE5046" w:rsidRDefault="000A73E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DE5046" w:rsidTr="00153F85">
        <w:trPr>
          <w:jc w:val="center"/>
        </w:trPr>
        <w:tc>
          <w:tcPr>
            <w:tcW w:w="1454" w:type="dxa"/>
            <w:tcBorders>
              <w:bottom w:val="single" w:sz="4" w:space="0" w:color="auto"/>
            </w:tcBorders>
            <w:vAlign w:val="center"/>
          </w:tcPr>
          <w:p w:rsidR="00DE5046" w:rsidRDefault="000A73EA">
            <w:pPr>
              <w:jc w:val="center"/>
            </w:pPr>
            <w:r>
              <w:rPr>
                <w:color w:val="000000"/>
                <w:sz w:val="24"/>
              </w:rPr>
              <w:t>1</w:t>
            </w:r>
          </w:p>
        </w:tc>
        <w:tc>
          <w:tcPr>
            <w:tcW w:w="1678" w:type="dxa"/>
            <w:tcBorders>
              <w:bottom w:val="single" w:sz="4" w:space="0" w:color="auto"/>
            </w:tcBorders>
            <w:vAlign w:val="center"/>
          </w:tcPr>
          <w:p w:rsidR="00DE5046" w:rsidRDefault="000A73EA">
            <w:pPr>
              <w:jc w:val="center"/>
            </w:pPr>
            <w:r>
              <w:rPr>
                <w:color w:val="000000"/>
                <w:sz w:val="24"/>
              </w:rPr>
              <w:t>E</w:t>
            </w:r>
            <w:r>
              <w:rPr>
                <w:color w:val="000000"/>
                <w:sz w:val="24"/>
              </w:rPr>
              <w:t>类份额红利再投</w:t>
            </w:r>
          </w:p>
        </w:tc>
        <w:tc>
          <w:tcPr>
            <w:tcW w:w="1249" w:type="dxa"/>
            <w:tcBorders>
              <w:bottom w:val="single" w:sz="4" w:space="0" w:color="auto"/>
            </w:tcBorders>
            <w:vAlign w:val="center"/>
          </w:tcPr>
          <w:p w:rsidR="00DE5046" w:rsidRDefault="000A73EA">
            <w:pPr>
              <w:jc w:val="center"/>
            </w:pPr>
            <w:r>
              <w:rPr>
                <w:color w:val="000000"/>
                <w:sz w:val="24"/>
              </w:rPr>
              <w:t>-</w:t>
            </w:r>
          </w:p>
        </w:tc>
        <w:tc>
          <w:tcPr>
            <w:tcW w:w="1544" w:type="dxa"/>
            <w:tcBorders>
              <w:bottom w:val="single" w:sz="4" w:space="0" w:color="auto"/>
            </w:tcBorders>
            <w:vAlign w:val="center"/>
          </w:tcPr>
          <w:p w:rsidR="00DE5046" w:rsidRDefault="000A73EA">
            <w:pPr>
              <w:jc w:val="right"/>
            </w:pPr>
            <w:r>
              <w:rPr>
                <w:color w:val="000000"/>
                <w:sz w:val="24"/>
              </w:rPr>
              <w:t>1,265.38</w:t>
            </w:r>
          </w:p>
        </w:tc>
        <w:tc>
          <w:tcPr>
            <w:tcW w:w="1670" w:type="dxa"/>
            <w:tcBorders>
              <w:bottom w:val="single" w:sz="4" w:space="0" w:color="auto"/>
            </w:tcBorders>
            <w:vAlign w:val="center"/>
          </w:tcPr>
          <w:p w:rsidR="00DE5046" w:rsidRDefault="000A73EA">
            <w:pPr>
              <w:jc w:val="right"/>
            </w:pPr>
            <w:r>
              <w:rPr>
                <w:color w:val="000000"/>
                <w:sz w:val="24"/>
              </w:rPr>
              <w:t>1,265.38</w:t>
            </w:r>
          </w:p>
        </w:tc>
        <w:tc>
          <w:tcPr>
            <w:tcW w:w="1273" w:type="dxa"/>
            <w:tcBorders>
              <w:bottom w:val="single" w:sz="4" w:space="0" w:color="auto"/>
            </w:tcBorders>
            <w:vAlign w:val="center"/>
          </w:tcPr>
          <w:p w:rsidR="00DE5046" w:rsidRDefault="000A73EA">
            <w:pPr>
              <w:jc w:val="center"/>
            </w:pPr>
            <w:r>
              <w:rPr>
                <w:color w:val="000000"/>
                <w:sz w:val="24"/>
              </w:rPr>
              <w:t>-</w:t>
            </w:r>
          </w:p>
        </w:tc>
      </w:tr>
      <w:tr w:rsidR="000F2DA3" w:rsidRPr="000E4C40" w:rsidTr="00153F85">
        <w:trPr>
          <w:trHeight w:val="340"/>
          <w:jc w:val="center"/>
        </w:trPr>
        <w:tc>
          <w:tcPr>
            <w:tcW w:w="1600" w:type="dxa"/>
            <w:tcBorders>
              <w:bottom w:val="single" w:sz="4" w:space="0" w:color="auto"/>
            </w:tcBorders>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tcBorders>
              <w:bottom w:val="single" w:sz="4" w:space="0" w:color="auto"/>
            </w:tcBorders>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tcBorders>
              <w:bottom w:val="single" w:sz="4" w:space="0" w:color="auto"/>
            </w:tcBorders>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tcBorders>
              <w:bottom w:val="single" w:sz="4" w:space="0" w:color="auto"/>
            </w:tcBorders>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1,265.38</w:t>
            </w:r>
          </w:p>
        </w:tc>
        <w:tc>
          <w:tcPr>
            <w:tcW w:w="1842" w:type="dxa"/>
            <w:tcBorders>
              <w:bottom w:val="single" w:sz="4" w:space="0" w:color="auto"/>
            </w:tcBorders>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1,265.38</w:t>
            </w:r>
          </w:p>
        </w:tc>
        <w:tc>
          <w:tcPr>
            <w:tcW w:w="1397" w:type="dxa"/>
            <w:tcBorders>
              <w:bottom w:val="single" w:sz="4" w:space="0" w:color="auto"/>
            </w:tcBorders>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DE5046" w:rsidRDefault="000A73E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；持有本基金</w:t>
      </w:r>
      <w:r>
        <w:rPr>
          <w:color w:val="000000"/>
          <w:sz w:val="24"/>
        </w:rPr>
        <w:t>E</w:t>
      </w:r>
      <w:r>
        <w:rPr>
          <w:color w:val="000000"/>
          <w:sz w:val="24"/>
        </w:rPr>
        <w:t>类份额</w:t>
      </w:r>
      <w:r>
        <w:rPr>
          <w:color w:val="000000"/>
          <w:sz w:val="24"/>
        </w:rPr>
        <w:t>272,456.70</w:t>
      </w:r>
      <w:r>
        <w:rPr>
          <w:color w:val="000000"/>
          <w:sz w:val="24"/>
        </w:rPr>
        <w:t>份，占本基金期末</w:t>
      </w:r>
      <w:r>
        <w:rPr>
          <w:color w:val="000000"/>
          <w:sz w:val="24"/>
        </w:rPr>
        <w:t>E</w:t>
      </w:r>
      <w:r>
        <w:rPr>
          <w:color w:val="000000"/>
          <w:sz w:val="24"/>
        </w:rPr>
        <w:t>类基金总份额的</w:t>
      </w:r>
      <w:r>
        <w:rPr>
          <w:color w:val="000000"/>
          <w:sz w:val="24"/>
        </w:rPr>
        <w:t>0.01%</w:t>
      </w:r>
      <w:r>
        <w:rPr>
          <w:color w:val="000000"/>
          <w:sz w:val="24"/>
        </w:rPr>
        <w:t>。</w:t>
      </w:r>
    </w:p>
    <w:p w:rsidR="000F2DA3" w:rsidRPr="000E4C40" w:rsidRDefault="000F2DA3" w:rsidP="00153F85">
      <w:pPr>
        <w:autoSpaceDE w:val="0"/>
        <w:autoSpaceDN w:val="0"/>
        <w:adjustRightInd w:val="0"/>
        <w:spacing w:before="29" w:line="288" w:lineRule="auto"/>
        <w:ind w:firstLineChars="200" w:firstLine="480"/>
        <w:jc w:val="left"/>
        <w:rPr>
          <w:color w:val="000000"/>
          <w:sz w:val="24"/>
        </w:rPr>
      </w:pPr>
      <w:r w:rsidRPr="000E4C40">
        <w:rPr>
          <w:color w:val="000000"/>
          <w:sz w:val="24"/>
        </w:rPr>
        <w:t>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DE5046" w:rsidRDefault="000A73EA">
      <w:pPr>
        <w:spacing w:before="29" w:line="288" w:lineRule="auto"/>
        <w:ind w:firstLineChars="200" w:firstLine="480"/>
        <w:rPr>
          <w:color w:val="000000"/>
          <w:sz w:val="24"/>
        </w:rPr>
      </w:pPr>
      <w:r>
        <w:rPr>
          <w:color w:val="000000"/>
          <w:sz w:val="24"/>
        </w:rPr>
        <w:t>1</w:t>
      </w:r>
      <w:r>
        <w:rPr>
          <w:color w:val="000000"/>
          <w:sz w:val="24"/>
        </w:rPr>
        <w:t>、中国证监会准予交银施罗德现金宝货币市场基金募集注册的文件；</w:t>
      </w:r>
      <w:r>
        <w:rPr>
          <w:color w:val="000000"/>
          <w:sz w:val="24"/>
        </w:rPr>
        <w:t xml:space="preserve"> </w:t>
      </w:r>
    </w:p>
    <w:p w:rsidR="00DE5046" w:rsidRDefault="000A73EA">
      <w:pPr>
        <w:spacing w:before="29" w:line="288" w:lineRule="auto"/>
        <w:ind w:firstLineChars="200" w:firstLine="480"/>
        <w:rPr>
          <w:color w:val="000000"/>
          <w:sz w:val="24"/>
        </w:rPr>
      </w:pPr>
      <w:r>
        <w:rPr>
          <w:color w:val="000000"/>
          <w:sz w:val="24"/>
        </w:rPr>
        <w:t>2</w:t>
      </w:r>
      <w:r>
        <w:rPr>
          <w:color w:val="000000"/>
          <w:sz w:val="24"/>
        </w:rPr>
        <w:t>、《交银施罗德现金宝货币市场基金基金合同》；</w:t>
      </w:r>
      <w:r>
        <w:rPr>
          <w:color w:val="000000"/>
          <w:sz w:val="24"/>
        </w:rPr>
        <w:t xml:space="preserve"> </w:t>
      </w:r>
    </w:p>
    <w:p w:rsidR="00DE5046" w:rsidRDefault="000A73EA">
      <w:pPr>
        <w:spacing w:before="29" w:line="288" w:lineRule="auto"/>
        <w:ind w:firstLineChars="200" w:firstLine="480"/>
        <w:rPr>
          <w:color w:val="000000"/>
          <w:sz w:val="24"/>
        </w:rPr>
      </w:pPr>
      <w:r>
        <w:rPr>
          <w:color w:val="000000"/>
          <w:sz w:val="24"/>
        </w:rPr>
        <w:t>3</w:t>
      </w:r>
      <w:r>
        <w:rPr>
          <w:color w:val="000000"/>
          <w:sz w:val="24"/>
        </w:rPr>
        <w:t>、《交银施罗德现金宝货币市场基金招募说明书》；</w:t>
      </w:r>
      <w:r>
        <w:rPr>
          <w:color w:val="000000"/>
          <w:sz w:val="24"/>
        </w:rPr>
        <w:t xml:space="preserve"> </w:t>
      </w:r>
    </w:p>
    <w:p w:rsidR="00DE5046" w:rsidRDefault="000A73EA">
      <w:pPr>
        <w:spacing w:before="29" w:line="288" w:lineRule="auto"/>
        <w:ind w:firstLineChars="200" w:firstLine="480"/>
        <w:rPr>
          <w:color w:val="000000"/>
          <w:sz w:val="24"/>
        </w:rPr>
      </w:pPr>
      <w:r>
        <w:rPr>
          <w:color w:val="000000"/>
          <w:sz w:val="24"/>
        </w:rPr>
        <w:t>4</w:t>
      </w:r>
      <w:r>
        <w:rPr>
          <w:color w:val="000000"/>
          <w:sz w:val="24"/>
        </w:rPr>
        <w:t>、《交银施罗德现金宝货币市场基金托管协议》；</w:t>
      </w:r>
    </w:p>
    <w:p w:rsidR="00DE5046" w:rsidRDefault="000A73EA">
      <w:pPr>
        <w:spacing w:before="29" w:line="288" w:lineRule="auto"/>
        <w:ind w:firstLineChars="200" w:firstLine="480"/>
        <w:rPr>
          <w:color w:val="000000"/>
          <w:sz w:val="24"/>
        </w:rPr>
      </w:pPr>
      <w:r>
        <w:rPr>
          <w:color w:val="000000"/>
          <w:sz w:val="24"/>
        </w:rPr>
        <w:t>5</w:t>
      </w:r>
      <w:r>
        <w:rPr>
          <w:color w:val="000000"/>
          <w:sz w:val="24"/>
        </w:rPr>
        <w:t>、关于申请募集交银施罗德现金宝货币市场基金的法律意见书；</w:t>
      </w:r>
    </w:p>
    <w:p w:rsidR="00DE5046" w:rsidRDefault="000A73EA">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DE5046" w:rsidRDefault="000A73EA">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、报告期内交银施罗德现金宝货币市场基金在指定报刊上各项公告的原稿。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DE5046" w:rsidRDefault="000A73E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63E" w:rsidRDefault="0046263E">
      <w:r>
        <w:separator/>
      </w:r>
    </w:p>
  </w:endnote>
  <w:endnote w:type="continuationSeparator" w:id="0">
    <w:p w:rsidR="0046263E" w:rsidRDefault="0046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70712">
      <w:rPr>
        <w:noProof/>
        <w:kern w:val="0"/>
        <w:szCs w:val="21"/>
      </w:rPr>
      <w:t>6</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070712">
      <w:rPr>
        <w:noProof/>
        <w:kern w:val="0"/>
        <w:szCs w:val="21"/>
      </w:rPr>
      <w:t>14</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63E" w:rsidRDefault="0046263E">
      <w:r>
        <w:separator/>
      </w:r>
    </w:p>
  </w:footnote>
  <w:footnote w:type="continuationSeparator" w:id="0">
    <w:p w:rsidR="0046263E" w:rsidRDefault="00462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交银施罗德现金宝货币市场基金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0712"/>
    <w:rsid w:val="0007109E"/>
    <w:rsid w:val="00075BBB"/>
    <w:rsid w:val="00075CA2"/>
    <w:rsid w:val="0007770D"/>
    <w:rsid w:val="000873A2"/>
    <w:rsid w:val="000911B4"/>
    <w:rsid w:val="000A1E90"/>
    <w:rsid w:val="000A2D74"/>
    <w:rsid w:val="000A6084"/>
    <w:rsid w:val="000A6B57"/>
    <w:rsid w:val="000A73EA"/>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3F85"/>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B99"/>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263E"/>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5DAC"/>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5046"/>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079D6"/>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E546E1F-3B4F-4568-B99C-13E4570A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14</Pages>
  <Words>1294</Words>
  <Characters>7379</Characters>
  <Application>Microsoft Office Word</Application>
  <DocSecurity>0</DocSecurity>
  <Lines>61</Lines>
  <Paragraphs>17</Paragraphs>
  <ScaleCrop>false</ScaleCrop>
  <Company>jysld</Company>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340</cp:revision>
  <cp:lastPrinted>2009-01-22T10:11:00Z</cp:lastPrinted>
  <dcterms:created xsi:type="dcterms:W3CDTF">2012-11-21T05:49:00Z</dcterms:created>
  <dcterms:modified xsi:type="dcterms:W3CDTF">2020-10-26T02:49:00Z</dcterms:modified>
</cp:coreProperties>
</file>