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交银施罗德股息优化混合型证券投资基金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2020年第3季度报告</w:t>
      </w:r>
    </w:p>
    <w:p w:rsidP="00C15CAC" w:rsidR="004061AC" w:rsidRDefault="00655CD8" w:rsidRPr="0081286B">
      <w:pPr>
        <w:spacing w:before="29" w:line="288" w:lineRule="auto"/>
        <w:jc w:val="center"/>
        <w:rPr>
          <w:b/>
          <w:sz w:val="36"/>
          <w:szCs w:val="36"/>
        </w:rPr>
      </w:pPr>
      <w:r w:rsidRPr="0081286B">
        <w:rPr>
          <w:b/>
          <w:sz w:val="36"/>
          <w:szCs w:val="36"/>
        </w:rPr>
        <w:t>2020年9月30日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二〇二〇年十月二十八日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交银股息优化混合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004868</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004868</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2017年8月25日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172,264,014.83</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本基金主要投资于具有稳定股息收益的优质成长性上市公司，以稳健收益为目标，追求长期的资产增值。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在股票投资上突出对有稳定股息收益的股票的侧重，同时选取能够体现公司竞争比较优势、盈利能力、内生成长性因子和体现公司财务状况、抗周期波动和分红稳定性因子，力争投资于具有稳定股息收益的优质成长性上市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沪深300指数收益率×60%+中证综合债券指数收益率×40%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(2020年7月1日-2020年9月30日)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109,501,223.18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80,906,878.39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0.3696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368,437,798.89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2.1388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19.33%</w:t>
            </w:r>
          </w:p>
        </w:tc>
        <w:tc>
          <w:tcPr>
            <w:vAlign w:val="center"/>
          </w:tcPr>
          <w:p>
            <w:pPr>
              <w:jc w:val="center"/>
            </w:pPr>
            <w:r>
              <w:rPr>
                <w:color w:val="000000"/>
                <w:sz w:val="24"/>
                <w:szCs w:val="24"/>
              </w:rPr>
              <w:t>1.59%</w:t>
            </w:r>
          </w:p>
        </w:tc>
        <w:tc>
          <w:tcPr>
            <w:vAlign w:val="center"/>
          </w:tcPr>
          <w:p>
            <w:pPr>
              <w:jc w:val="center"/>
            </w:pPr>
            <w:r>
              <w:rPr>
                <w:color w:val="000000"/>
                <w:sz w:val="24"/>
                <w:szCs w:val="24"/>
              </w:rPr>
              <w:t>5.96%</w:t>
            </w:r>
          </w:p>
        </w:tc>
        <w:tc>
          <w:tcPr>
            <w:vAlign w:val="center"/>
          </w:tcPr>
          <w:p>
            <w:pPr>
              <w:jc w:val="center"/>
            </w:pPr>
            <w:r>
              <w:rPr>
                <w:color w:val="000000"/>
                <w:sz w:val="24"/>
                <w:szCs w:val="24"/>
              </w:rPr>
              <w:t>0.96%</w:t>
            </w:r>
          </w:p>
        </w:tc>
        <w:tc>
          <w:tcPr>
            <w:vAlign w:val="center"/>
          </w:tcPr>
          <w:p>
            <w:pPr>
              <w:jc w:val="center"/>
            </w:pPr>
            <w:r>
              <w:rPr>
                <w:color w:val="000000"/>
                <w:sz w:val="24"/>
                <w:szCs w:val="24"/>
              </w:rPr>
              <w:t>13.37%</w:t>
            </w:r>
          </w:p>
        </w:tc>
        <w:tc>
          <w:tcPr>
            <w:vAlign w:val="center"/>
          </w:tcPr>
          <w:p>
            <w:pPr>
              <w:jc w:val="center"/>
            </w:pPr>
            <w:r>
              <w:rPr>
                <w:color w:val="000000"/>
                <w:sz w:val="24"/>
                <w:szCs w:val="24"/>
              </w:rPr>
              <w:t>0.63%</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63.77%</w:t>
            </w:r>
          </w:p>
        </w:tc>
        <w:tc>
          <w:tcPr>
            <w:vAlign w:val="center"/>
          </w:tcPr>
          <w:p>
            <w:pPr>
              <w:jc w:val="center"/>
            </w:pPr>
            <w:r>
              <w:rPr>
                <w:color w:val="000000"/>
                <w:sz w:val="24"/>
                <w:szCs w:val="24"/>
              </w:rPr>
              <w:t>1.39%</w:t>
            </w:r>
          </w:p>
        </w:tc>
        <w:tc>
          <w:tcPr>
            <w:vAlign w:val="center"/>
          </w:tcPr>
          <w:p>
            <w:pPr>
              <w:jc w:val="center"/>
            </w:pPr>
            <w:r>
              <w:rPr>
                <w:color w:val="000000"/>
                <w:sz w:val="24"/>
                <w:szCs w:val="24"/>
              </w:rPr>
              <w:t>13.95%</w:t>
            </w:r>
          </w:p>
        </w:tc>
        <w:tc>
          <w:tcPr>
            <w:vAlign w:val="center"/>
          </w:tcPr>
          <w:p>
            <w:pPr>
              <w:jc w:val="center"/>
            </w:pPr>
            <w:r>
              <w:rPr>
                <w:color w:val="000000"/>
                <w:sz w:val="24"/>
                <w:szCs w:val="24"/>
              </w:rPr>
              <w:t>0.79%</w:t>
            </w:r>
          </w:p>
        </w:tc>
        <w:tc>
          <w:tcPr>
            <w:vAlign w:val="center"/>
          </w:tcPr>
          <w:p>
            <w:pPr>
              <w:jc w:val="center"/>
            </w:pPr>
            <w:r>
              <w:rPr>
                <w:color w:val="000000"/>
                <w:sz w:val="24"/>
                <w:szCs w:val="24"/>
              </w:rPr>
              <w:t>49.82%</w:t>
            </w:r>
          </w:p>
        </w:tc>
        <w:tc>
          <w:tcPr>
            <w:vAlign w:val="center"/>
          </w:tcPr>
          <w:p>
            <w:pPr>
              <w:jc w:val="center"/>
            </w:pPr>
            <w:r>
              <w:rPr>
                <w:color w:val="000000"/>
                <w:sz w:val="24"/>
                <w:szCs w:val="24"/>
              </w:rPr>
              <w:t>0.60%</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65.31%</w:t>
            </w:r>
          </w:p>
        </w:tc>
        <w:tc>
          <w:tcPr>
            <w:vAlign w:val="center"/>
          </w:tcPr>
          <w:p>
            <w:pPr>
              <w:jc w:val="center"/>
            </w:pPr>
            <w:r>
              <w:rPr>
                <w:color w:val="000000"/>
                <w:sz w:val="24"/>
                <w:szCs w:val="24"/>
              </w:rPr>
              <w:t>1.46%</w:t>
            </w:r>
          </w:p>
        </w:tc>
        <w:tc>
          <w:tcPr>
            <w:vAlign w:val="center"/>
          </w:tcPr>
          <w:p>
            <w:pPr>
              <w:jc w:val="center"/>
            </w:pPr>
            <w:r>
              <w:rPr>
                <w:color w:val="000000"/>
                <w:sz w:val="24"/>
                <w:szCs w:val="24"/>
              </w:rPr>
              <w:t>13.70%</w:t>
            </w:r>
          </w:p>
        </w:tc>
        <w:tc>
          <w:tcPr>
            <w:vAlign w:val="center"/>
          </w:tcPr>
          <w:p>
            <w:pPr>
              <w:jc w:val="center"/>
            </w:pPr>
            <w:r>
              <w:rPr>
                <w:color w:val="000000"/>
                <w:sz w:val="24"/>
                <w:szCs w:val="24"/>
              </w:rPr>
              <w:t>0.83%</w:t>
            </w:r>
          </w:p>
        </w:tc>
        <w:tc>
          <w:tcPr>
            <w:vAlign w:val="center"/>
          </w:tcPr>
          <w:p>
            <w:pPr>
              <w:jc w:val="center"/>
            </w:pPr>
            <w:r>
              <w:rPr>
                <w:color w:val="000000"/>
                <w:sz w:val="24"/>
                <w:szCs w:val="24"/>
              </w:rPr>
              <w:t>51.61%</w:t>
            </w:r>
          </w:p>
        </w:tc>
        <w:tc>
          <w:tcPr>
            <w:vAlign w:val="center"/>
          </w:tcPr>
          <w:p>
            <w:pPr>
              <w:jc w:val="center"/>
            </w:pPr>
            <w:r>
              <w:rPr>
                <w:color w:val="000000"/>
                <w:sz w:val="24"/>
                <w:szCs w:val="24"/>
              </w:rPr>
              <w:t>0.63%</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109.44%</w:t>
            </w:r>
          </w:p>
        </w:tc>
        <w:tc>
          <w:tcPr>
            <w:vAlign w:val="center"/>
          </w:tcPr>
          <w:p>
            <w:pPr>
              <w:jc w:val="center"/>
            </w:pPr>
            <w:r>
              <w:rPr>
                <w:color w:val="000000"/>
                <w:sz w:val="24"/>
                <w:szCs w:val="24"/>
              </w:rPr>
              <w:t>1.50%</w:t>
            </w:r>
          </w:p>
        </w:tc>
        <w:tc>
          <w:tcPr>
            <w:vAlign w:val="center"/>
          </w:tcPr>
          <w:p>
            <w:pPr>
              <w:jc w:val="center"/>
            </w:pPr>
            <w:r>
              <w:rPr>
                <w:color w:val="000000"/>
                <w:sz w:val="24"/>
                <w:szCs w:val="24"/>
              </w:rPr>
              <w:t>19.47%</w:t>
            </w:r>
          </w:p>
        </w:tc>
        <w:tc>
          <w:tcPr>
            <w:vAlign w:val="center"/>
          </w:tcPr>
          <w:p>
            <w:pPr>
              <w:jc w:val="center"/>
            </w:pPr>
            <w:r>
              <w:rPr>
                <w:color w:val="000000"/>
                <w:sz w:val="24"/>
                <w:szCs w:val="24"/>
              </w:rPr>
              <w:t>0.79%</w:t>
            </w:r>
          </w:p>
        </w:tc>
        <w:tc>
          <w:tcPr>
            <w:vAlign w:val="center"/>
          </w:tcPr>
          <w:p>
            <w:pPr>
              <w:jc w:val="center"/>
            </w:pPr>
            <w:r>
              <w:rPr>
                <w:color w:val="000000"/>
                <w:sz w:val="24"/>
                <w:szCs w:val="24"/>
              </w:rPr>
              <w:t>89.97%</w:t>
            </w:r>
          </w:p>
        </w:tc>
        <w:tc>
          <w:tcPr>
            <w:vAlign w:val="center"/>
          </w:tcPr>
          <w:p>
            <w:pPr>
              <w:jc w:val="center"/>
            </w:pPr>
            <w:r>
              <w:rPr>
                <w:color w:val="000000"/>
                <w:sz w:val="24"/>
                <w:szCs w:val="24"/>
              </w:rPr>
              <w:t>0.71%</w:t>
            </w:r>
          </w:p>
        </w:tc>
      </w:tr>
      <w:tr>
        <w:tc>
          <w:tcPr>
            <w:vAlign w:val="center"/>
          </w:tcPr>
          <w:p>
            <w:pPr>
              <w:jc w:val="left"/>
            </w:pPr>
            <w:r>
              <w:rPr>
                <w:color w:val="000000"/>
                <w:sz w:val="24"/>
                <w:szCs w:val="24"/>
              </w:rPr>
              <w:t>自基金合同生效至今</w:t>
            </w:r>
          </w:p>
        </w:tc>
        <w:tc>
          <w:tcPr>
            <w:vAlign w:val="center"/>
          </w:tcPr>
          <w:p>
            <w:pPr>
              <w:jc w:val="center"/>
            </w:pPr>
            <w:r>
              <w:rPr>
                <w:color w:val="000000"/>
                <w:sz w:val="24"/>
                <w:szCs w:val="24"/>
              </w:rPr>
              <w:t>113.88%</w:t>
            </w:r>
          </w:p>
        </w:tc>
        <w:tc>
          <w:tcPr>
            <w:vAlign w:val="center"/>
          </w:tcPr>
          <w:p>
            <w:pPr>
              <w:jc w:val="center"/>
            </w:pPr>
            <w:r>
              <w:rPr>
                <w:color w:val="000000"/>
                <w:sz w:val="24"/>
                <w:szCs w:val="24"/>
              </w:rPr>
              <w:t>1.47%</w:t>
            </w:r>
          </w:p>
        </w:tc>
        <w:tc>
          <w:tcPr>
            <w:vAlign w:val="center"/>
          </w:tcPr>
          <w:p>
            <w:pPr>
              <w:jc w:val="center"/>
            </w:pPr>
            <w:r>
              <w:rPr>
                <w:color w:val="000000"/>
                <w:sz w:val="24"/>
                <w:szCs w:val="24"/>
              </w:rPr>
              <w:t>21.60%</w:t>
            </w:r>
          </w:p>
        </w:tc>
        <w:tc>
          <w:tcPr>
            <w:vAlign w:val="center"/>
          </w:tcPr>
          <w:p>
            <w:pPr>
              <w:jc w:val="center"/>
            </w:pPr>
            <w:r>
              <w:rPr>
                <w:color w:val="000000"/>
                <w:sz w:val="24"/>
                <w:szCs w:val="24"/>
              </w:rPr>
              <w:t>0.78%</w:t>
            </w:r>
          </w:p>
        </w:tc>
        <w:tc>
          <w:tcPr>
            <w:vAlign w:val="center"/>
          </w:tcPr>
          <w:p>
            <w:pPr>
              <w:jc w:val="center"/>
            </w:pPr>
            <w:r>
              <w:rPr>
                <w:color w:val="000000"/>
                <w:sz w:val="24"/>
                <w:szCs w:val="24"/>
              </w:rPr>
              <w:t>92.28%</w:t>
            </w:r>
          </w:p>
        </w:tc>
        <w:tc>
          <w:tcPr>
            <w:vAlign w:val="center"/>
          </w:tcPr>
          <w:p>
            <w:pPr>
              <w:jc w:val="center"/>
            </w:pPr>
            <w:r>
              <w:rPr>
                <w:color w:val="000000"/>
                <w:sz w:val="24"/>
                <w:szCs w:val="24"/>
              </w:rPr>
              <w:t>0.69%</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交银施罗德股息优化混合型证券投资基金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2017年8月25日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交银策略回报灵活配置混合、交银消费新驱动股票、交银股息优化混合、交银品质升级混合的基金经理</w:t>
            </w:r>
          </w:p>
        </w:tc>
        <w:tc>
          <w:tcPr>
            <w:vAlign w:val="center"/>
          </w:tcPr>
          <w:p>
            <w:pPr>
              <w:jc w:val="center"/>
            </w:pPr>
            <w:r>
              <w:rPr>
                <w:color w:val="000000"/>
                <w:sz w:val="24"/>
                <w:szCs w:val="24"/>
              </w:rPr>
              <w:t>2017-08-25</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2017年6月3日至2020年5月26日担任交银施罗德趋势优先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回顾2020年三季度，国内疫情基本上已得到控制，整个经济活动开始明显复苏。全球流动性泛滥，导致全球资本市场溢价率快速提升。从目前情况来看，海外疫情出现反复，中国经济逐步恢复以后，中国资产（包括货币、债券、股票）在全球市场的吸引力大幅提升，海外资金或将继续快速流入中国，带动国内利率水平进一步回落以及债券价格和股票价格上升。</w:t>
      </w:r>
    </w:p>
    <w:p>
      <w:pPr>
        <w:spacing w:before="29" w:line="288" w:lineRule="auto"/>
        <w:ind w:firstLine="480" w:firstLineChars="200"/>
        <w:rPr>
          <w:color w:val="000000"/>
          <w:sz w:val="24"/>
          <w:szCs w:val="24"/>
        </w:rPr>
      </w:pPr>
      <w:r>
        <w:rPr>
          <w:color w:val="000000"/>
          <w:sz w:val="24"/>
          <w:szCs w:val="24"/>
        </w:rPr>
        <w:t>本基金在2020年三季度仍然主要以消费白马配置为主，主要增加了一些上半年疫情受损后出现明显复苏的行业和个股，如区域白酒、酒店旅游以及医疗服务等，减持了疫情受益的品种。国内消费行业有望迎来全面复苏，全年绝对收益或将仍然值得期待。</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四季度，国庆中秋消费复苏比较明显，明年春节可能会更加明显，在假设国内疫情不出现大幅反复的背景下，预计整个吃喝玩乐以及医疗服务等行业或在未来三到四个季度出现比较明显的环比改善和高增长。</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345,295,602.66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81.66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345,295,602.66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81.66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72,399,761.13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17.12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5,136,704.50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1.21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422,832,068.29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251,899,126.78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68.37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13,029.12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28,264.03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15,848,106.16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4.30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18,396,647.10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4.99</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7,875,939.65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18,411,942.00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18,248,273.40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4.95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545,120.84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14,005,106.20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3.80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24,047.38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345,295,602.66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93.72</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19,806</w:t>
            </w:r>
          </w:p>
        </w:tc>
        <w:tc>
          <w:tcPr>
            <w:vAlign w:val="center"/>
          </w:tcPr>
          <w:p>
            <w:pPr>
              <w:jc w:val="right"/>
            </w:pPr>
            <w:r>
              <w:rPr>
                <w:color w:val="000000"/>
                <w:sz w:val="24"/>
                <w:szCs w:val="24"/>
              </w:rPr>
              <w:t>33,046,311.00</w:t>
            </w:r>
          </w:p>
        </w:tc>
        <w:tc>
          <w:tcPr>
            <w:vAlign w:val="center"/>
          </w:tcPr>
          <w:p>
            <w:pPr>
              <w:jc w:val="right"/>
            </w:pPr>
            <w:r>
              <w:rPr>
                <w:color w:val="000000"/>
                <w:sz w:val="24"/>
                <w:szCs w:val="24"/>
              </w:rPr>
              <w:t>8.97</w:t>
            </w:r>
          </w:p>
        </w:tc>
      </w:tr>
      <w:tr>
        <w:tc>
          <w:tcPr>
            <w:vAlign w:val="center"/>
          </w:tcPr>
          <w:p>
            <w:pPr>
              <w:jc w:val="center"/>
            </w:pPr>
            <w:r>
              <w:rPr>
                <w:color w:val="000000"/>
                <w:sz w:val="24"/>
                <w:szCs w:val="24"/>
              </w:rPr>
              <w:t>2</w:t>
            </w:r>
          </w:p>
        </w:tc>
        <w:tc>
          <w:tcPr>
            <w:vAlign w:val="center"/>
          </w:tcPr>
          <w:p>
            <w:pPr>
              <w:jc w:val="center"/>
            </w:pPr>
            <w:r>
              <w:rPr>
                <w:color w:val="000000"/>
                <w:sz w:val="24"/>
                <w:szCs w:val="24"/>
              </w:rPr>
              <w:t>002304</w:t>
            </w:r>
          </w:p>
        </w:tc>
        <w:tc>
          <w:tcPr>
            <w:vAlign w:val="center"/>
          </w:tcPr>
          <w:p>
            <w:pPr>
              <w:jc w:val="center"/>
            </w:pPr>
            <w:r>
              <w:rPr>
                <w:color w:val="000000"/>
                <w:sz w:val="24"/>
                <w:szCs w:val="24"/>
              </w:rPr>
              <w:t>洋河股份</w:t>
            </w:r>
          </w:p>
        </w:tc>
        <w:tc>
          <w:tcPr>
            <w:vAlign w:val="center"/>
          </w:tcPr>
          <w:p>
            <w:pPr>
              <w:jc w:val="right"/>
            </w:pPr>
            <w:r>
              <w:rPr>
                <w:color w:val="000000"/>
                <w:sz w:val="24"/>
                <w:szCs w:val="24"/>
              </w:rPr>
              <w:t>259,100</w:t>
            </w:r>
          </w:p>
        </w:tc>
        <w:tc>
          <w:tcPr>
            <w:vAlign w:val="center"/>
          </w:tcPr>
          <w:p>
            <w:pPr>
              <w:jc w:val="right"/>
            </w:pPr>
            <w:r>
              <w:rPr>
                <w:color w:val="000000"/>
                <w:sz w:val="24"/>
                <w:szCs w:val="24"/>
              </w:rPr>
              <w:t>32,384,909.00</w:t>
            </w:r>
          </w:p>
        </w:tc>
        <w:tc>
          <w:tcPr>
            <w:vAlign w:val="center"/>
          </w:tcPr>
          <w:p>
            <w:pPr>
              <w:jc w:val="right"/>
            </w:pPr>
            <w:r>
              <w:rPr>
                <w:color w:val="000000"/>
                <w:sz w:val="24"/>
                <w:szCs w:val="24"/>
              </w:rPr>
              <w:t>8.79</w:t>
            </w:r>
          </w:p>
        </w:tc>
      </w:tr>
      <w:tr>
        <w:tc>
          <w:tcPr>
            <w:vAlign w:val="center"/>
          </w:tcPr>
          <w:p>
            <w:pPr>
              <w:jc w:val="center"/>
            </w:pPr>
            <w:r>
              <w:rPr>
                <w:color w:val="000000"/>
                <w:sz w:val="24"/>
                <w:szCs w:val="24"/>
              </w:rPr>
              <w:t>3</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132,370</w:t>
            </w:r>
          </w:p>
        </w:tc>
        <w:tc>
          <w:tcPr>
            <w:vAlign w:val="center"/>
          </w:tcPr>
          <w:p>
            <w:pPr>
              <w:jc w:val="right"/>
            </w:pPr>
            <w:r>
              <w:rPr>
                <w:color w:val="000000"/>
                <w:sz w:val="24"/>
                <w:szCs w:val="24"/>
              </w:rPr>
              <w:t>29,253,770.00</w:t>
            </w:r>
          </w:p>
        </w:tc>
        <w:tc>
          <w:tcPr>
            <w:vAlign w:val="center"/>
          </w:tcPr>
          <w:p>
            <w:pPr>
              <w:jc w:val="right"/>
            </w:pPr>
            <w:r>
              <w:rPr>
                <w:color w:val="000000"/>
                <w:sz w:val="24"/>
                <w:szCs w:val="24"/>
              </w:rPr>
              <w:t>7.94</w:t>
            </w:r>
          </w:p>
        </w:tc>
      </w:tr>
      <w:tr>
        <w:tc>
          <w:tcPr>
            <w:vAlign w:val="center"/>
          </w:tcPr>
          <w:p>
            <w:pPr>
              <w:jc w:val="center"/>
            </w:pPr>
            <w:r>
              <w:rPr>
                <w:color w:val="000000"/>
                <w:sz w:val="24"/>
                <w:szCs w:val="24"/>
              </w:rPr>
              <w:t>4</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1,029,431</w:t>
            </w:r>
          </w:p>
        </w:tc>
        <w:tc>
          <w:tcPr>
            <w:vAlign w:val="center"/>
          </w:tcPr>
          <w:p>
            <w:pPr>
              <w:jc w:val="right"/>
            </w:pPr>
            <w:r>
              <w:rPr>
                <w:color w:val="000000"/>
                <w:sz w:val="24"/>
                <w:szCs w:val="24"/>
              </w:rPr>
              <w:t>21,628,345.31</w:t>
            </w:r>
          </w:p>
        </w:tc>
        <w:tc>
          <w:tcPr>
            <w:vAlign w:val="center"/>
          </w:tcPr>
          <w:p>
            <w:pPr>
              <w:jc w:val="right"/>
            </w:pPr>
            <w:r>
              <w:rPr>
                <w:color w:val="000000"/>
                <w:sz w:val="24"/>
                <w:szCs w:val="24"/>
              </w:rPr>
              <w:t>5.87</w:t>
            </w:r>
          </w:p>
        </w:tc>
      </w:tr>
      <w:tr>
        <w:tc>
          <w:tcPr>
            <w:vAlign w:val="center"/>
          </w:tcPr>
          <w:p>
            <w:pPr>
              <w:jc w:val="center"/>
            </w:pPr>
            <w:r>
              <w:rPr>
                <w:color w:val="000000"/>
                <w:sz w:val="24"/>
                <w:szCs w:val="24"/>
              </w:rPr>
              <w:t>5</w:t>
            </w:r>
          </w:p>
        </w:tc>
        <w:tc>
          <w:tcPr>
            <w:vAlign w:val="center"/>
          </w:tcPr>
          <w:p>
            <w:pPr>
              <w:jc w:val="center"/>
            </w:pPr>
            <w:r>
              <w:rPr>
                <w:color w:val="000000"/>
                <w:sz w:val="24"/>
                <w:szCs w:val="24"/>
              </w:rPr>
              <w:t>600779</w:t>
            </w:r>
          </w:p>
        </w:tc>
        <w:tc>
          <w:tcPr>
            <w:vAlign w:val="center"/>
          </w:tcPr>
          <w:p>
            <w:pPr>
              <w:jc w:val="center"/>
            </w:pPr>
            <w:r>
              <w:rPr>
                <w:color w:val="000000"/>
                <w:sz w:val="24"/>
                <w:szCs w:val="24"/>
              </w:rPr>
              <w:t>水井坊</w:t>
            </w:r>
          </w:p>
        </w:tc>
        <w:tc>
          <w:tcPr>
            <w:vAlign w:val="center"/>
          </w:tcPr>
          <w:p>
            <w:pPr>
              <w:jc w:val="right"/>
            </w:pPr>
            <w:r>
              <w:rPr>
                <w:color w:val="000000"/>
                <w:sz w:val="24"/>
                <w:szCs w:val="24"/>
              </w:rPr>
              <w:t>286,700</w:t>
            </w:r>
          </w:p>
        </w:tc>
        <w:tc>
          <w:tcPr>
            <w:vAlign w:val="center"/>
          </w:tcPr>
          <w:p>
            <w:pPr>
              <w:jc w:val="right"/>
            </w:pPr>
            <w:r>
              <w:rPr>
                <w:color w:val="000000"/>
                <w:sz w:val="24"/>
                <w:szCs w:val="24"/>
              </w:rPr>
              <w:t>18,492,150.00</w:t>
            </w:r>
          </w:p>
        </w:tc>
        <w:tc>
          <w:tcPr>
            <w:vAlign w:val="center"/>
          </w:tcPr>
          <w:p>
            <w:pPr>
              <w:jc w:val="right"/>
            </w:pPr>
            <w:r>
              <w:rPr>
                <w:color w:val="000000"/>
                <w:sz w:val="24"/>
                <w:szCs w:val="24"/>
              </w:rPr>
              <w:t>5.02</w:t>
            </w:r>
          </w:p>
        </w:tc>
      </w:tr>
      <w:tr>
        <w:tc>
          <w:tcPr>
            <w:vAlign w:val="center"/>
          </w:tcPr>
          <w:p>
            <w:pPr>
              <w:jc w:val="center"/>
            </w:pPr>
            <w:r>
              <w:rPr>
                <w:color w:val="000000"/>
                <w:sz w:val="24"/>
                <w:szCs w:val="24"/>
              </w:rPr>
              <w:t>6</w:t>
            </w:r>
          </w:p>
        </w:tc>
        <w:tc>
          <w:tcPr>
            <w:vAlign w:val="center"/>
          </w:tcPr>
          <w:p>
            <w:pPr>
              <w:jc w:val="center"/>
            </w:pPr>
            <w:r>
              <w:rPr>
                <w:color w:val="000000"/>
                <w:sz w:val="24"/>
                <w:szCs w:val="24"/>
              </w:rPr>
              <w:t>000799</w:t>
            </w:r>
          </w:p>
        </w:tc>
        <w:tc>
          <w:tcPr>
            <w:vAlign w:val="center"/>
          </w:tcPr>
          <w:p>
            <w:pPr>
              <w:jc w:val="center"/>
            </w:pPr>
            <w:r>
              <w:rPr>
                <w:color w:val="000000"/>
                <w:sz w:val="24"/>
                <w:szCs w:val="24"/>
              </w:rPr>
              <w:t>酒鬼酒</w:t>
            </w:r>
          </w:p>
        </w:tc>
        <w:tc>
          <w:tcPr>
            <w:vAlign w:val="center"/>
          </w:tcPr>
          <w:p>
            <w:pPr>
              <w:jc w:val="right"/>
            </w:pPr>
            <w:r>
              <w:rPr>
                <w:color w:val="000000"/>
                <w:sz w:val="24"/>
                <w:szCs w:val="24"/>
              </w:rPr>
              <w:t>224,256</w:t>
            </w:r>
          </w:p>
        </w:tc>
        <w:tc>
          <w:tcPr>
            <w:vAlign w:val="center"/>
          </w:tcPr>
          <w:p>
            <w:pPr>
              <w:jc w:val="right"/>
            </w:pPr>
            <w:r>
              <w:rPr>
                <w:color w:val="000000"/>
                <w:sz w:val="24"/>
                <w:szCs w:val="24"/>
              </w:rPr>
              <w:t>18,467,481.60</w:t>
            </w:r>
          </w:p>
        </w:tc>
        <w:tc>
          <w:tcPr>
            <w:vAlign w:val="center"/>
          </w:tcPr>
          <w:p>
            <w:pPr>
              <w:jc w:val="right"/>
            </w:pPr>
            <w:r>
              <w:rPr>
                <w:color w:val="000000"/>
                <w:sz w:val="24"/>
                <w:szCs w:val="24"/>
              </w:rPr>
              <w:t>5.01</w:t>
            </w:r>
          </w:p>
        </w:tc>
      </w:tr>
      <w:tr>
        <w:tc>
          <w:tcPr>
            <w:vAlign w:val="center"/>
          </w:tcPr>
          <w:p>
            <w:pPr>
              <w:jc w:val="center"/>
            </w:pPr>
            <w:r>
              <w:rPr>
                <w:color w:val="000000"/>
                <w:sz w:val="24"/>
                <w:szCs w:val="24"/>
              </w:rPr>
              <w:t>7</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657,100</w:t>
            </w:r>
          </w:p>
        </w:tc>
        <w:tc>
          <w:tcPr>
            <w:vAlign w:val="center"/>
          </w:tcPr>
          <w:p>
            <w:pPr>
              <w:jc w:val="right"/>
            </w:pPr>
            <w:r>
              <w:rPr>
                <w:color w:val="000000"/>
                <w:sz w:val="24"/>
                <w:szCs w:val="24"/>
              </w:rPr>
              <w:t>18,411,942.00</w:t>
            </w:r>
          </w:p>
        </w:tc>
        <w:tc>
          <w:tcPr>
            <w:vAlign w:val="center"/>
          </w:tcPr>
          <w:p>
            <w:pPr>
              <w:jc w:val="right"/>
            </w:pPr>
            <w:r>
              <w:rPr>
                <w:color w:val="000000"/>
                <w:sz w:val="24"/>
                <w:szCs w:val="24"/>
              </w:rPr>
              <w:t>5.00</w:t>
            </w:r>
          </w:p>
        </w:tc>
      </w:tr>
      <w:tr>
        <w:tc>
          <w:tcPr>
            <w:vAlign w:val="center"/>
          </w:tcPr>
          <w:p>
            <w:pPr>
              <w:jc w:val="center"/>
            </w:pPr>
            <w:r>
              <w:rPr>
                <w:color w:val="000000"/>
                <w:sz w:val="24"/>
                <w:szCs w:val="24"/>
              </w:rPr>
              <w:t>8</w:t>
            </w:r>
          </w:p>
        </w:tc>
        <w:tc>
          <w:tcPr>
            <w:vAlign w:val="center"/>
          </w:tcPr>
          <w:p>
            <w:pPr>
              <w:jc w:val="center"/>
            </w:pPr>
            <w:r>
              <w:rPr>
                <w:color w:val="000000"/>
                <w:sz w:val="24"/>
                <w:szCs w:val="24"/>
              </w:rPr>
              <w:t>600754</w:t>
            </w:r>
          </w:p>
        </w:tc>
        <w:tc>
          <w:tcPr>
            <w:vAlign w:val="center"/>
          </w:tcPr>
          <w:p>
            <w:pPr>
              <w:jc w:val="center"/>
            </w:pPr>
            <w:r>
              <w:rPr>
                <w:color w:val="000000"/>
                <w:sz w:val="24"/>
                <w:szCs w:val="24"/>
              </w:rPr>
              <w:t>锦江酒店</w:t>
            </w:r>
          </w:p>
        </w:tc>
        <w:tc>
          <w:tcPr>
            <w:vAlign w:val="center"/>
          </w:tcPr>
          <w:p>
            <w:pPr>
              <w:jc w:val="right"/>
            </w:pPr>
            <w:r>
              <w:rPr>
                <w:color w:val="000000"/>
                <w:sz w:val="24"/>
                <w:szCs w:val="24"/>
              </w:rPr>
              <w:t>451,230</w:t>
            </w:r>
          </w:p>
        </w:tc>
        <w:tc>
          <w:tcPr>
            <w:vAlign w:val="center"/>
          </w:tcPr>
          <w:p>
            <w:pPr>
              <w:jc w:val="right"/>
            </w:pPr>
            <w:r>
              <w:rPr>
                <w:color w:val="000000"/>
                <w:sz w:val="24"/>
                <w:szCs w:val="24"/>
              </w:rPr>
              <w:t>18,396,647.10</w:t>
            </w:r>
          </w:p>
        </w:tc>
        <w:tc>
          <w:tcPr>
            <w:vAlign w:val="center"/>
          </w:tcPr>
          <w:p>
            <w:pPr>
              <w:jc w:val="right"/>
            </w:pPr>
            <w:r>
              <w:rPr>
                <w:color w:val="000000"/>
                <w:sz w:val="24"/>
                <w:szCs w:val="24"/>
              </w:rPr>
              <w:t>4.99</w:t>
            </w:r>
          </w:p>
        </w:tc>
      </w:tr>
      <w:tr>
        <w:tc>
          <w:tcPr>
            <w:vAlign w:val="center"/>
          </w:tcPr>
          <w:p>
            <w:pPr>
              <w:jc w:val="center"/>
            </w:pPr>
            <w:r>
              <w:rPr>
                <w:color w:val="000000"/>
                <w:sz w:val="24"/>
                <w:szCs w:val="24"/>
              </w:rPr>
              <w:t>9</w:t>
            </w:r>
          </w:p>
        </w:tc>
        <w:tc>
          <w:tcPr>
            <w:vAlign w:val="center"/>
          </w:tcPr>
          <w:p>
            <w:pPr>
              <w:jc w:val="center"/>
            </w:pPr>
            <w:r>
              <w:rPr>
                <w:color w:val="000000"/>
                <w:sz w:val="24"/>
                <w:szCs w:val="24"/>
              </w:rPr>
              <w:t>603259</w:t>
            </w:r>
          </w:p>
        </w:tc>
        <w:tc>
          <w:tcPr>
            <w:vAlign w:val="center"/>
          </w:tcPr>
          <w:p>
            <w:pPr>
              <w:jc w:val="center"/>
            </w:pPr>
            <w:r>
              <w:rPr>
                <w:color w:val="000000"/>
                <w:sz w:val="24"/>
                <w:szCs w:val="24"/>
              </w:rPr>
              <w:t>药明康德</w:t>
            </w:r>
          </w:p>
        </w:tc>
        <w:tc>
          <w:tcPr>
            <w:vAlign w:val="center"/>
          </w:tcPr>
          <w:p>
            <w:pPr>
              <w:jc w:val="right"/>
            </w:pPr>
            <w:r>
              <w:rPr>
                <w:color w:val="000000"/>
                <w:sz w:val="24"/>
                <w:szCs w:val="24"/>
              </w:rPr>
              <w:t>179,640</w:t>
            </w:r>
          </w:p>
        </w:tc>
        <w:tc>
          <w:tcPr>
            <w:vAlign w:val="center"/>
          </w:tcPr>
          <w:p>
            <w:pPr>
              <w:jc w:val="right"/>
            </w:pPr>
            <w:r>
              <w:rPr>
                <w:color w:val="000000"/>
                <w:sz w:val="24"/>
                <w:szCs w:val="24"/>
              </w:rPr>
              <w:t>18,233,460.00</w:t>
            </w:r>
          </w:p>
        </w:tc>
        <w:tc>
          <w:tcPr>
            <w:vAlign w:val="center"/>
          </w:tcPr>
          <w:p>
            <w:pPr>
              <w:jc w:val="right"/>
            </w:pPr>
            <w:r>
              <w:rPr>
                <w:color w:val="000000"/>
                <w:sz w:val="24"/>
                <w:szCs w:val="24"/>
              </w:rPr>
              <w:t>4.95</w:t>
            </w:r>
          </w:p>
        </w:tc>
      </w:tr>
      <w:tr>
        <w:tc>
          <w:tcPr>
            <w:vAlign w:val="center"/>
          </w:tcPr>
          <w:p>
            <w:pPr>
              <w:jc w:val="center"/>
            </w:pPr>
            <w:r>
              <w:rPr>
                <w:color w:val="000000"/>
                <w:sz w:val="24"/>
                <w:szCs w:val="24"/>
              </w:rPr>
              <w:t>10</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312,809</w:t>
            </w:r>
          </w:p>
        </w:tc>
        <w:tc>
          <w:tcPr>
            <w:vAlign w:val="center"/>
          </w:tcPr>
          <w:p>
            <w:pPr>
              <w:jc w:val="right"/>
            </w:pPr>
            <w:r>
              <w:rPr>
                <w:color w:val="000000"/>
                <w:sz w:val="24"/>
                <w:szCs w:val="24"/>
              </w:rPr>
              <w:t>16,860,405.10</w:t>
            </w:r>
          </w:p>
        </w:tc>
        <w:tc>
          <w:tcPr>
            <w:vAlign w:val="center"/>
          </w:tcPr>
          <w:p>
            <w:pPr>
              <w:jc w:val="right"/>
            </w:pPr>
            <w:r>
              <w:rPr>
                <w:color w:val="000000"/>
                <w:sz w:val="24"/>
                <w:szCs w:val="24"/>
              </w:rPr>
              <w:t>4.58</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175,137.33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4,805,366.59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4,057.44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152,143.14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5,136,704.50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252,772,485.50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29,397,982.04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109,906,452.71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172,264,014.83</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2020/7/1-2020/9/30</w:t>
            </w:r>
          </w:p>
        </w:tc>
        <w:tc>
          <w:tcPr>
            <w:vAlign w:val="center"/>
          </w:tcPr>
          <w:p>
            <w:pPr>
              <w:jc w:val="center"/>
            </w:pPr>
            <w:r>
              <w:rPr>
                <w:rFonts w:ascii="宋体" w:hAnsi="宋体"/>
                <w:color w:val="000000"/>
                <w:kern w:val="0"/>
              </w:rPr>
              <w:t>65,374,925.46</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16,374,925.46</w:t>
            </w:r>
          </w:p>
        </w:tc>
        <w:tc>
          <w:tcPr>
            <w:vAlign w:val="center"/>
          </w:tcPr>
          <w:p>
            <w:pPr>
              <w:jc w:val="center"/>
            </w:pPr>
            <w:r>
              <w:rPr>
                <w:rFonts w:ascii="宋体" w:hAnsi="宋体"/>
                <w:color w:val="000000"/>
                <w:kern w:val="0"/>
              </w:rPr>
              <w:t>49,000,000.00</w:t>
            </w:r>
          </w:p>
        </w:tc>
        <w:tc>
          <w:tcPr>
            <w:vAlign w:val="center"/>
          </w:tcPr>
          <w:p>
            <w:pPr>
              <w:jc w:val="center"/>
            </w:pPr>
            <w:r>
              <w:rPr>
                <w:rFonts w:ascii="宋体" w:hAnsi="宋体"/>
                <w:color w:val="000000"/>
                <w:kern w:val="0"/>
              </w:rPr>
              <w:t>28.44%</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1、中国证监会准予交银施罗德股息优化混合型证券投资基金募集注册的文件；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2、《交银施罗德股息优化混合型证券投资基金基金合同》；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3、《交银施罗德股息优化混合型证券投资基金招募说明书》；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4、《交银施罗德股息优化混合型证券投资基金托管协议》；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5、关于申请募集注册交银施罗德股息优化混合型证券投资基金的法律意见书；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8、报告期内交银施罗德股息优化混合型证券投资基金在指定报刊上各项公告的原稿。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交银施罗德股息优化混合型证券投资基金2020年第3季度报告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