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3,029,794,927.58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3,022,268,338.90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7,526,588.68</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14,190,617.67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12,661.17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5,363,118.49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-482,723.84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3,212,631,214.71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7,971,350.11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1.0591</w:t>
            </w:r>
          </w:p>
        </w:tc>
      </w:tr>
    </w:tbl>
    <w:p w:rsidR="00D65C44" w:rsidRDefault="00FA7C4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65C44">
        <w:trPr>
          <w:jc w:val="center"/>
        </w:trPr>
        <w:tc>
          <w:tcPr>
            <w:tcW w:w="1266" w:type="dxa"/>
            <w:vAlign w:val="center"/>
          </w:tcPr>
          <w:p w:rsidR="00D65C44" w:rsidRDefault="00FA7C48">
            <w:pPr>
              <w:jc w:val="left"/>
            </w:pPr>
            <w:r>
              <w:rPr>
                <w:color w:val="000000"/>
                <w:sz w:val="24"/>
              </w:rPr>
              <w:t>过去三个月</w:t>
            </w:r>
          </w:p>
        </w:tc>
        <w:tc>
          <w:tcPr>
            <w:tcW w:w="1267" w:type="dxa"/>
            <w:vAlign w:val="center"/>
          </w:tcPr>
          <w:p w:rsidR="00D65C44" w:rsidRDefault="00FA7C48">
            <w:pPr>
              <w:jc w:val="center"/>
            </w:pPr>
            <w:r>
              <w:rPr>
                <w:color w:val="000000"/>
                <w:sz w:val="24"/>
              </w:rPr>
              <w:t>0.10%</w:t>
            </w:r>
          </w:p>
        </w:tc>
        <w:tc>
          <w:tcPr>
            <w:tcW w:w="1267" w:type="dxa"/>
            <w:vAlign w:val="center"/>
          </w:tcPr>
          <w:p w:rsidR="00D65C44" w:rsidRDefault="00FA7C48">
            <w:pPr>
              <w:jc w:val="center"/>
            </w:pPr>
            <w:r>
              <w:rPr>
                <w:color w:val="000000"/>
                <w:sz w:val="24"/>
              </w:rPr>
              <w:t>0.06%</w:t>
            </w:r>
          </w:p>
        </w:tc>
        <w:tc>
          <w:tcPr>
            <w:tcW w:w="1267" w:type="dxa"/>
            <w:vAlign w:val="center"/>
          </w:tcPr>
          <w:p w:rsidR="00D65C44" w:rsidRDefault="00FA7C48">
            <w:pPr>
              <w:jc w:val="center"/>
            </w:pPr>
            <w:r>
              <w:rPr>
                <w:color w:val="000000"/>
                <w:sz w:val="24"/>
              </w:rPr>
              <w:t>-1.48%</w:t>
            </w:r>
          </w:p>
        </w:tc>
        <w:tc>
          <w:tcPr>
            <w:tcW w:w="1267" w:type="dxa"/>
            <w:vAlign w:val="center"/>
          </w:tcPr>
          <w:p w:rsidR="00D65C44" w:rsidRDefault="00FA7C48">
            <w:pPr>
              <w:jc w:val="center"/>
            </w:pPr>
            <w:r>
              <w:rPr>
                <w:color w:val="000000"/>
                <w:sz w:val="24"/>
              </w:rPr>
              <w:t>0.08%</w:t>
            </w:r>
          </w:p>
        </w:tc>
        <w:tc>
          <w:tcPr>
            <w:tcW w:w="1267" w:type="dxa"/>
            <w:vAlign w:val="center"/>
          </w:tcPr>
          <w:p w:rsidR="00D65C44" w:rsidRDefault="00FA7C48">
            <w:pPr>
              <w:jc w:val="center"/>
            </w:pPr>
            <w:r>
              <w:rPr>
                <w:color w:val="000000"/>
                <w:sz w:val="24"/>
              </w:rPr>
              <w:t>1.58%</w:t>
            </w:r>
          </w:p>
        </w:tc>
        <w:tc>
          <w:tcPr>
            <w:tcW w:w="1267" w:type="dxa"/>
            <w:vAlign w:val="center"/>
          </w:tcPr>
          <w:p w:rsidR="00D65C44" w:rsidRDefault="00FA7C48">
            <w:pPr>
              <w:jc w:val="center"/>
            </w:pPr>
            <w:r>
              <w:rPr>
                <w:color w:val="000000"/>
                <w:sz w:val="24"/>
              </w:rPr>
              <w:t>-0.02%</w:t>
            </w:r>
          </w:p>
        </w:tc>
      </w:tr>
      <w:tr w:rsidR="00D65C44">
        <w:trPr>
          <w:jc w:val="center"/>
        </w:trPr>
        <w:tc>
          <w:tcPr>
            <w:tcW w:w="1266" w:type="dxa"/>
            <w:vAlign w:val="center"/>
          </w:tcPr>
          <w:p w:rsidR="00D65C44" w:rsidRDefault="00FA7C48">
            <w:pPr>
              <w:jc w:val="left"/>
            </w:pPr>
            <w:r>
              <w:rPr>
                <w:color w:val="000000"/>
                <w:sz w:val="24"/>
              </w:rPr>
              <w:t>过去六个月</w:t>
            </w:r>
          </w:p>
        </w:tc>
        <w:tc>
          <w:tcPr>
            <w:tcW w:w="1267" w:type="dxa"/>
            <w:vAlign w:val="center"/>
          </w:tcPr>
          <w:p w:rsidR="00D65C44" w:rsidRDefault="00FA7C48">
            <w:pPr>
              <w:jc w:val="center"/>
            </w:pPr>
            <w:r>
              <w:rPr>
                <w:color w:val="000000"/>
                <w:sz w:val="24"/>
              </w:rPr>
              <w:t>0.19%</w:t>
            </w:r>
          </w:p>
        </w:tc>
        <w:tc>
          <w:tcPr>
            <w:tcW w:w="1267" w:type="dxa"/>
            <w:vAlign w:val="center"/>
          </w:tcPr>
          <w:p w:rsidR="00D65C44" w:rsidRDefault="00FA7C48">
            <w:pPr>
              <w:jc w:val="center"/>
            </w:pPr>
            <w:r>
              <w:rPr>
                <w:color w:val="000000"/>
                <w:sz w:val="24"/>
              </w:rPr>
              <w:t>0.08%</w:t>
            </w:r>
          </w:p>
        </w:tc>
        <w:tc>
          <w:tcPr>
            <w:tcW w:w="1267" w:type="dxa"/>
            <w:vAlign w:val="center"/>
          </w:tcPr>
          <w:p w:rsidR="00D65C44" w:rsidRDefault="00FA7C48">
            <w:pPr>
              <w:jc w:val="center"/>
            </w:pPr>
            <w:r>
              <w:rPr>
                <w:color w:val="000000"/>
                <w:sz w:val="24"/>
              </w:rPr>
              <w:t>-2.50%</w:t>
            </w:r>
          </w:p>
        </w:tc>
        <w:tc>
          <w:tcPr>
            <w:tcW w:w="1267" w:type="dxa"/>
            <w:vAlign w:val="center"/>
          </w:tcPr>
          <w:p w:rsidR="00D65C44" w:rsidRDefault="00FA7C48">
            <w:pPr>
              <w:jc w:val="center"/>
            </w:pPr>
            <w:r>
              <w:rPr>
                <w:color w:val="000000"/>
                <w:sz w:val="24"/>
              </w:rPr>
              <w:t>0.10%</w:t>
            </w:r>
          </w:p>
        </w:tc>
        <w:tc>
          <w:tcPr>
            <w:tcW w:w="1267" w:type="dxa"/>
            <w:vAlign w:val="center"/>
          </w:tcPr>
          <w:p w:rsidR="00D65C44" w:rsidRDefault="00FA7C48">
            <w:pPr>
              <w:jc w:val="center"/>
            </w:pPr>
            <w:r>
              <w:rPr>
                <w:color w:val="000000"/>
                <w:sz w:val="24"/>
              </w:rPr>
              <w:t>2.69%</w:t>
            </w:r>
          </w:p>
        </w:tc>
        <w:tc>
          <w:tcPr>
            <w:tcW w:w="1267" w:type="dxa"/>
            <w:vAlign w:val="center"/>
          </w:tcPr>
          <w:p w:rsidR="00D65C44" w:rsidRDefault="00FA7C48">
            <w:pPr>
              <w:jc w:val="center"/>
            </w:pPr>
            <w:r>
              <w:rPr>
                <w:color w:val="000000"/>
                <w:sz w:val="24"/>
              </w:rPr>
              <w:t>-0.02%</w:t>
            </w:r>
          </w:p>
        </w:tc>
      </w:tr>
      <w:tr w:rsidR="00D65C44">
        <w:trPr>
          <w:jc w:val="center"/>
        </w:trPr>
        <w:tc>
          <w:tcPr>
            <w:tcW w:w="1266" w:type="dxa"/>
            <w:vAlign w:val="center"/>
          </w:tcPr>
          <w:p w:rsidR="00D65C44" w:rsidRDefault="00FA7C48">
            <w:pPr>
              <w:jc w:val="left"/>
            </w:pPr>
            <w:r>
              <w:rPr>
                <w:color w:val="000000"/>
                <w:sz w:val="24"/>
              </w:rPr>
              <w:t>过去一年</w:t>
            </w:r>
          </w:p>
        </w:tc>
        <w:tc>
          <w:tcPr>
            <w:tcW w:w="1267" w:type="dxa"/>
            <w:vAlign w:val="center"/>
          </w:tcPr>
          <w:p w:rsidR="00D65C44" w:rsidRDefault="00FA7C48">
            <w:pPr>
              <w:jc w:val="center"/>
            </w:pPr>
            <w:r>
              <w:rPr>
                <w:color w:val="000000"/>
                <w:sz w:val="24"/>
              </w:rPr>
              <w:t>2.54%</w:t>
            </w:r>
          </w:p>
        </w:tc>
        <w:tc>
          <w:tcPr>
            <w:tcW w:w="1267" w:type="dxa"/>
            <w:vAlign w:val="center"/>
          </w:tcPr>
          <w:p w:rsidR="00D65C44" w:rsidRDefault="00FA7C48">
            <w:pPr>
              <w:jc w:val="center"/>
            </w:pPr>
            <w:r>
              <w:rPr>
                <w:color w:val="000000"/>
                <w:sz w:val="24"/>
              </w:rPr>
              <w:t>0.07%</w:t>
            </w:r>
          </w:p>
        </w:tc>
        <w:tc>
          <w:tcPr>
            <w:tcW w:w="1267" w:type="dxa"/>
            <w:vAlign w:val="center"/>
          </w:tcPr>
          <w:p w:rsidR="00D65C44" w:rsidRDefault="00FA7C48">
            <w:pPr>
              <w:jc w:val="center"/>
            </w:pPr>
            <w:r>
              <w:rPr>
                <w:color w:val="000000"/>
                <w:sz w:val="24"/>
              </w:rPr>
              <w:t>-0.08%</w:t>
            </w:r>
          </w:p>
        </w:tc>
        <w:tc>
          <w:tcPr>
            <w:tcW w:w="1267" w:type="dxa"/>
            <w:vAlign w:val="center"/>
          </w:tcPr>
          <w:p w:rsidR="00D65C44" w:rsidRDefault="00FA7C48">
            <w:pPr>
              <w:jc w:val="center"/>
            </w:pPr>
            <w:r>
              <w:rPr>
                <w:color w:val="000000"/>
                <w:sz w:val="24"/>
              </w:rPr>
              <w:t>0.09%</w:t>
            </w:r>
          </w:p>
        </w:tc>
        <w:tc>
          <w:tcPr>
            <w:tcW w:w="1267" w:type="dxa"/>
            <w:vAlign w:val="center"/>
          </w:tcPr>
          <w:p w:rsidR="00D65C44" w:rsidRDefault="00FA7C48">
            <w:pPr>
              <w:jc w:val="center"/>
            </w:pPr>
            <w:r>
              <w:rPr>
                <w:color w:val="000000"/>
                <w:sz w:val="24"/>
              </w:rPr>
              <w:t>2.62%</w:t>
            </w:r>
          </w:p>
        </w:tc>
        <w:tc>
          <w:tcPr>
            <w:tcW w:w="1267" w:type="dxa"/>
            <w:vAlign w:val="center"/>
          </w:tcPr>
          <w:p w:rsidR="00D65C44" w:rsidRDefault="00FA7C48">
            <w:pPr>
              <w:jc w:val="center"/>
            </w:pPr>
            <w:r>
              <w:rPr>
                <w:color w:val="000000"/>
                <w:sz w:val="24"/>
              </w:rPr>
              <w:t>-0.02%</w:t>
            </w:r>
          </w:p>
        </w:tc>
      </w:tr>
      <w:tr w:rsidR="00D65C44">
        <w:trPr>
          <w:jc w:val="center"/>
        </w:trPr>
        <w:tc>
          <w:tcPr>
            <w:tcW w:w="1266" w:type="dxa"/>
            <w:vAlign w:val="center"/>
          </w:tcPr>
          <w:p w:rsidR="00D65C44" w:rsidRDefault="00FA7C48">
            <w:pPr>
              <w:jc w:val="left"/>
            </w:pPr>
            <w:r>
              <w:rPr>
                <w:color w:val="000000"/>
                <w:sz w:val="24"/>
              </w:rPr>
              <w:t>过去三年</w:t>
            </w:r>
          </w:p>
        </w:tc>
        <w:tc>
          <w:tcPr>
            <w:tcW w:w="1267" w:type="dxa"/>
            <w:vAlign w:val="center"/>
          </w:tcPr>
          <w:p w:rsidR="00D65C44" w:rsidRDefault="00FA7C48">
            <w:pPr>
              <w:jc w:val="center"/>
            </w:pPr>
            <w:r>
              <w:rPr>
                <w:color w:val="000000"/>
                <w:sz w:val="24"/>
              </w:rPr>
              <w:t>14.89%</w:t>
            </w:r>
          </w:p>
        </w:tc>
        <w:tc>
          <w:tcPr>
            <w:tcW w:w="1267" w:type="dxa"/>
            <w:vAlign w:val="center"/>
          </w:tcPr>
          <w:p w:rsidR="00D65C44" w:rsidRDefault="00FA7C48">
            <w:pPr>
              <w:jc w:val="center"/>
            </w:pPr>
            <w:r>
              <w:rPr>
                <w:color w:val="000000"/>
                <w:sz w:val="24"/>
              </w:rPr>
              <w:t>0.06%</w:t>
            </w:r>
          </w:p>
        </w:tc>
        <w:tc>
          <w:tcPr>
            <w:tcW w:w="1267" w:type="dxa"/>
            <w:vAlign w:val="center"/>
          </w:tcPr>
          <w:p w:rsidR="00D65C44" w:rsidRDefault="00FA7C48">
            <w:pPr>
              <w:jc w:val="center"/>
            </w:pPr>
            <w:r>
              <w:rPr>
                <w:color w:val="000000"/>
                <w:sz w:val="24"/>
              </w:rPr>
              <w:t>4.21%</w:t>
            </w:r>
          </w:p>
        </w:tc>
        <w:tc>
          <w:tcPr>
            <w:tcW w:w="1267" w:type="dxa"/>
            <w:vAlign w:val="center"/>
          </w:tcPr>
          <w:p w:rsidR="00D65C44" w:rsidRDefault="00FA7C48">
            <w:pPr>
              <w:jc w:val="center"/>
            </w:pPr>
            <w:r>
              <w:rPr>
                <w:color w:val="000000"/>
                <w:sz w:val="24"/>
              </w:rPr>
              <w:t>0.07%</w:t>
            </w:r>
          </w:p>
        </w:tc>
        <w:tc>
          <w:tcPr>
            <w:tcW w:w="1267" w:type="dxa"/>
            <w:vAlign w:val="center"/>
          </w:tcPr>
          <w:p w:rsidR="00D65C44" w:rsidRDefault="00FA7C48">
            <w:pPr>
              <w:jc w:val="center"/>
            </w:pPr>
            <w:r>
              <w:rPr>
                <w:color w:val="000000"/>
                <w:sz w:val="24"/>
              </w:rPr>
              <w:t>10.68%</w:t>
            </w:r>
          </w:p>
        </w:tc>
        <w:tc>
          <w:tcPr>
            <w:tcW w:w="1267" w:type="dxa"/>
            <w:vAlign w:val="center"/>
          </w:tcPr>
          <w:p w:rsidR="00D65C44" w:rsidRDefault="00FA7C48">
            <w:pPr>
              <w:jc w:val="center"/>
            </w:pPr>
            <w:r>
              <w:rPr>
                <w:color w:val="000000"/>
                <w:sz w:val="24"/>
              </w:rPr>
              <w:t>-0.01%</w:t>
            </w:r>
          </w:p>
        </w:tc>
      </w:tr>
      <w:tr w:rsidR="00D65C44">
        <w:trPr>
          <w:jc w:val="center"/>
        </w:trPr>
        <w:tc>
          <w:tcPr>
            <w:tcW w:w="1266" w:type="dxa"/>
            <w:vAlign w:val="center"/>
          </w:tcPr>
          <w:p w:rsidR="00D65C44" w:rsidRDefault="00FA7C48">
            <w:pPr>
              <w:jc w:val="left"/>
            </w:pPr>
            <w:r>
              <w:rPr>
                <w:color w:val="000000"/>
                <w:sz w:val="24"/>
              </w:rPr>
              <w:t>过去五年</w:t>
            </w:r>
          </w:p>
        </w:tc>
        <w:tc>
          <w:tcPr>
            <w:tcW w:w="1267" w:type="dxa"/>
            <w:vAlign w:val="center"/>
          </w:tcPr>
          <w:p w:rsidR="00D65C44" w:rsidRDefault="00FA7C48">
            <w:pPr>
              <w:jc w:val="center"/>
            </w:pPr>
            <w:r>
              <w:rPr>
                <w:color w:val="000000"/>
                <w:sz w:val="24"/>
              </w:rPr>
              <w:t>21.50%</w:t>
            </w:r>
          </w:p>
        </w:tc>
        <w:tc>
          <w:tcPr>
            <w:tcW w:w="1267" w:type="dxa"/>
            <w:vAlign w:val="center"/>
          </w:tcPr>
          <w:p w:rsidR="00D65C44" w:rsidRDefault="00FA7C48">
            <w:pPr>
              <w:jc w:val="center"/>
            </w:pPr>
            <w:r>
              <w:rPr>
                <w:color w:val="000000"/>
                <w:sz w:val="24"/>
              </w:rPr>
              <w:t>0.07%</w:t>
            </w:r>
          </w:p>
        </w:tc>
        <w:tc>
          <w:tcPr>
            <w:tcW w:w="1267" w:type="dxa"/>
            <w:vAlign w:val="center"/>
          </w:tcPr>
          <w:p w:rsidR="00D65C44" w:rsidRDefault="00FA7C48">
            <w:pPr>
              <w:jc w:val="center"/>
            </w:pPr>
            <w:r>
              <w:rPr>
                <w:color w:val="000000"/>
                <w:sz w:val="24"/>
              </w:rPr>
              <w:t>2.00%</w:t>
            </w:r>
          </w:p>
        </w:tc>
        <w:tc>
          <w:tcPr>
            <w:tcW w:w="1267" w:type="dxa"/>
            <w:vAlign w:val="center"/>
          </w:tcPr>
          <w:p w:rsidR="00D65C44" w:rsidRDefault="00FA7C48">
            <w:pPr>
              <w:jc w:val="center"/>
            </w:pPr>
            <w:r>
              <w:rPr>
                <w:color w:val="000000"/>
                <w:sz w:val="24"/>
              </w:rPr>
              <w:t>0.08%</w:t>
            </w:r>
          </w:p>
        </w:tc>
        <w:tc>
          <w:tcPr>
            <w:tcW w:w="1267" w:type="dxa"/>
            <w:vAlign w:val="center"/>
          </w:tcPr>
          <w:p w:rsidR="00D65C44" w:rsidRDefault="00FA7C48">
            <w:pPr>
              <w:jc w:val="center"/>
            </w:pPr>
            <w:r>
              <w:rPr>
                <w:color w:val="000000"/>
                <w:sz w:val="24"/>
              </w:rPr>
              <w:t>19.50%</w:t>
            </w:r>
          </w:p>
        </w:tc>
        <w:tc>
          <w:tcPr>
            <w:tcW w:w="1267" w:type="dxa"/>
            <w:vAlign w:val="center"/>
          </w:tcPr>
          <w:p w:rsidR="00D65C44" w:rsidRDefault="00FA7C48">
            <w:pPr>
              <w:jc w:val="center"/>
            </w:pPr>
            <w:r>
              <w:rPr>
                <w:color w:val="000000"/>
                <w:sz w:val="24"/>
              </w:rPr>
              <w:t>-0.01%</w:t>
            </w:r>
          </w:p>
        </w:tc>
      </w:tr>
      <w:tr w:rsidR="00D65C44">
        <w:trPr>
          <w:jc w:val="center"/>
        </w:trPr>
        <w:tc>
          <w:tcPr>
            <w:tcW w:w="1266" w:type="dxa"/>
            <w:vAlign w:val="center"/>
          </w:tcPr>
          <w:p w:rsidR="00D65C44" w:rsidRDefault="00FA7C48">
            <w:pPr>
              <w:jc w:val="left"/>
            </w:pPr>
            <w:r>
              <w:rPr>
                <w:color w:val="000000"/>
                <w:sz w:val="24"/>
              </w:rPr>
              <w:t>自基金合同生效至今</w:t>
            </w:r>
          </w:p>
        </w:tc>
        <w:tc>
          <w:tcPr>
            <w:tcW w:w="1267" w:type="dxa"/>
            <w:vAlign w:val="center"/>
          </w:tcPr>
          <w:p w:rsidR="00D65C44" w:rsidRDefault="00FA7C48">
            <w:pPr>
              <w:jc w:val="center"/>
            </w:pPr>
            <w:r>
              <w:rPr>
                <w:color w:val="000000"/>
                <w:sz w:val="24"/>
              </w:rPr>
              <w:t>41.93%</w:t>
            </w:r>
          </w:p>
        </w:tc>
        <w:tc>
          <w:tcPr>
            <w:tcW w:w="1267" w:type="dxa"/>
            <w:vAlign w:val="center"/>
          </w:tcPr>
          <w:p w:rsidR="00D65C44" w:rsidRDefault="00FA7C48">
            <w:pPr>
              <w:jc w:val="center"/>
            </w:pPr>
            <w:r>
              <w:rPr>
                <w:color w:val="000000"/>
                <w:sz w:val="24"/>
              </w:rPr>
              <w:t>0.09%</w:t>
            </w:r>
          </w:p>
        </w:tc>
        <w:tc>
          <w:tcPr>
            <w:tcW w:w="1267" w:type="dxa"/>
            <w:vAlign w:val="center"/>
          </w:tcPr>
          <w:p w:rsidR="00D65C44" w:rsidRDefault="00FA7C48">
            <w:pPr>
              <w:jc w:val="center"/>
            </w:pPr>
            <w:r>
              <w:rPr>
                <w:color w:val="000000"/>
                <w:sz w:val="24"/>
              </w:rPr>
              <w:t>5.69%</w:t>
            </w:r>
          </w:p>
        </w:tc>
        <w:tc>
          <w:tcPr>
            <w:tcW w:w="1267" w:type="dxa"/>
            <w:vAlign w:val="center"/>
          </w:tcPr>
          <w:p w:rsidR="00D65C44" w:rsidRDefault="00FA7C48">
            <w:pPr>
              <w:jc w:val="center"/>
            </w:pPr>
            <w:r>
              <w:rPr>
                <w:color w:val="000000"/>
                <w:sz w:val="24"/>
              </w:rPr>
              <w:t>0.09%</w:t>
            </w:r>
          </w:p>
        </w:tc>
        <w:tc>
          <w:tcPr>
            <w:tcW w:w="1267" w:type="dxa"/>
            <w:vAlign w:val="center"/>
          </w:tcPr>
          <w:p w:rsidR="00D65C44" w:rsidRDefault="00FA7C48">
            <w:pPr>
              <w:jc w:val="center"/>
            </w:pPr>
            <w:r>
              <w:rPr>
                <w:color w:val="000000"/>
                <w:sz w:val="24"/>
              </w:rPr>
              <w:t>36.24%</w:t>
            </w:r>
          </w:p>
        </w:tc>
        <w:tc>
          <w:tcPr>
            <w:tcW w:w="1267" w:type="dxa"/>
            <w:vAlign w:val="center"/>
          </w:tcPr>
          <w:p w:rsidR="00D65C44" w:rsidRDefault="00FA7C48">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65C44">
        <w:trPr>
          <w:jc w:val="center"/>
        </w:trPr>
        <w:tc>
          <w:tcPr>
            <w:tcW w:w="1266" w:type="dxa"/>
            <w:vAlign w:val="center"/>
          </w:tcPr>
          <w:p w:rsidR="00D65C44" w:rsidRDefault="00FA7C48">
            <w:pPr>
              <w:jc w:val="left"/>
            </w:pPr>
            <w:r>
              <w:rPr>
                <w:color w:val="000000"/>
                <w:sz w:val="24"/>
              </w:rPr>
              <w:t>过去三个月</w:t>
            </w:r>
          </w:p>
        </w:tc>
        <w:tc>
          <w:tcPr>
            <w:tcW w:w="1267" w:type="dxa"/>
            <w:vAlign w:val="center"/>
          </w:tcPr>
          <w:p w:rsidR="00D65C44" w:rsidRDefault="00FA7C48">
            <w:pPr>
              <w:jc w:val="center"/>
            </w:pPr>
            <w:r>
              <w:rPr>
                <w:color w:val="000000"/>
                <w:sz w:val="24"/>
              </w:rPr>
              <w:t>0.02%</w:t>
            </w:r>
          </w:p>
        </w:tc>
        <w:tc>
          <w:tcPr>
            <w:tcW w:w="1267" w:type="dxa"/>
            <w:vAlign w:val="center"/>
          </w:tcPr>
          <w:p w:rsidR="00D65C44" w:rsidRDefault="00FA7C48">
            <w:pPr>
              <w:jc w:val="center"/>
            </w:pPr>
            <w:r>
              <w:rPr>
                <w:color w:val="000000"/>
                <w:sz w:val="24"/>
              </w:rPr>
              <w:t>0.06%</w:t>
            </w:r>
          </w:p>
        </w:tc>
        <w:tc>
          <w:tcPr>
            <w:tcW w:w="1267" w:type="dxa"/>
            <w:vAlign w:val="center"/>
          </w:tcPr>
          <w:p w:rsidR="00D65C44" w:rsidRDefault="00FA7C48">
            <w:pPr>
              <w:jc w:val="center"/>
            </w:pPr>
            <w:r>
              <w:rPr>
                <w:color w:val="000000"/>
                <w:sz w:val="24"/>
              </w:rPr>
              <w:t>-1.48%</w:t>
            </w:r>
          </w:p>
        </w:tc>
        <w:tc>
          <w:tcPr>
            <w:tcW w:w="1267" w:type="dxa"/>
            <w:vAlign w:val="center"/>
          </w:tcPr>
          <w:p w:rsidR="00D65C44" w:rsidRDefault="00FA7C48">
            <w:pPr>
              <w:jc w:val="center"/>
            </w:pPr>
            <w:r>
              <w:rPr>
                <w:color w:val="000000"/>
                <w:sz w:val="24"/>
              </w:rPr>
              <w:t>0.08%</w:t>
            </w:r>
          </w:p>
        </w:tc>
        <w:tc>
          <w:tcPr>
            <w:tcW w:w="1267" w:type="dxa"/>
            <w:vAlign w:val="center"/>
          </w:tcPr>
          <w:p w:rsidR="00D65C44" w:rsidRDefault="00FA7C48">
            <w:pPr>
              <w:jc w:val="center"/>
            </w:pPr>
            <w:r>
              <w:rPr>
                <w:color w:val="000000"/>
                <w:sz w:val="24"/>
              </w:rPr>
              <w:t>1.50%</w:t>
            </w:r>
          </w:p>
        </w:tc>
        <w:tc>
          <w:tcPr>
            <w:tcW w:w="1267" w:type="dxa"/>
            <w:vAlign w:val="center"/>
          </w:tcPr>
          <w:p w:rsidR="00D65C44" w:rsidRDefault="00FA7C48">
            <w:pPr>
              <w:jc w:val="center"/>
            </w:pPr>
            <w:r>
              <w:rPr>
                <w:color w:val="000000"/>
                <w:sz w:val="24"/>
              </w:rPr>
              <w:t>-0.02%</w:t>
            </w:r>
          </w:p>
        </w:tc>
      </w:tr>
      <w:tr w:rsidR="00D65C44">
        <w:trPr>
          <w:jc w:val="center"/>
        </w:trPr>
        <w:tc>
          <w:tcPr>
            <w:tcW w:w="1266" w:type="dxa"/>
            <w:vAlign w:val="center"/>
          </w:tcPr>
          <w:p w:rsidR="00D65C44" w:rsidRDefault="00FA7C48">
            <w:pPr>
              <w:jc w:val="left"/>
            </w:pPr>
            <w:r>
              <w:rPr>
                <w:color w:val="000000"/>
                <w:sz w:val="24"/>
              </w:rPr>
              <w:t>过去六个月</w:t>
            </w:r>
          </w:p>
        </w:tc>
        <w:tc>
          <w:tcPr>
            <w:tcW w:w="1267" w:type="dxa"/>
            <w:vAlign w:val="center"/>
          </w:tcPr>
          <w:p w:rsidR="00D65C44" w:rsidRDefault="00FA7C48">
            <w:pPr>
              <w:jc w:val="center"/>
            </w:pPr>
            <w:r>
              <w:rPr>
                <w:color w:val="000000"/>
                <w:sz w:val="24"/>
              </w:rPr>
              <w:t>-0.09%</w:t>
            </w:r>
          </w:p>
        </w:tc>
        <w:tc>
          <w:tcPr>
            <w:tcW w:w="1267" w:type="dxa"/>
            <w:vAlign w:val="center"/>
          </w:tcPr>
          <w:p w:rsidR="00D65C44" w:rsidRDefault="00FA7C48">
            <w:pPr>
              <w:jc w:val="center"/>
            </w:pPr>
            <w:r>
              <w:rPr>
                <w:color w:val="000000"/>
                <w:sz w:val="24"/>
              </w:rPr>
              <w:t>0.08%</w:t>
            </w:r>
          </w:p>
        </w:tc>
        <w:tc>
          <w:tcPr>
            <w:tcW w:w="1267" w:type="dxa"/>
            <w:vAlign w:val="center"/>
          </w:tcPr>
          <w:p w:rsidR="00D65C44" w:rsidRDefault="00FA7C48">
            <w:pPr>
              <w:jc w:val="center"/>
            </w:pPr>
            <w:r>
              <w:rPr>
                <w:color w:val="000000"/>
                <w:sz w:val="24"/>
              </w:rPr>
              <w:t>-2.50%</w:t>
            </w:r>
          </w:p>
        </w:tc>
        <w:tc>
          <w:tcPr>
            <w:tcW w:w="1267" w:type="dxa"/>
            <w:vAlign w:val="center"/>
          </w:tcPr>
          <w:p w:rsidR="00D65C44" w:rsidRDefault="00FA7C48">
            <w:pPr>
              <w:jc w:val="center"/>
            </w:pPr>
            <w:r>
              <w:rPr>
                <w:color w:val="000000"/>
                <w:sz w:val="24"/>
              </w:rPr>
              <w:t>0.10%</w:t>
            </w:r>
          </w:p>
        </w:tc>
        <w:tc>
          <w:tcPr>
            <w:tcW w:w="1267" w:type="dxa"/>
            <w:vAlign w:val="center"/>
          </w:tcPr>
          <w:p w:rsidR="00D65C44" w:rsidRDefault="00FA7C48">
            <w:pPr>
              <w:jc w:val="center"/>
            </w:pPr>
            <w:r>
              <w:rPr>
                <w:color w:val="000000"/>
                <w:sz w:val="24"/>
              </w:rPr>
              <w:t>2.41%</w:t>
            </w:r>
          </w:p>
        </w:tc>
        <w:tc>
          <w:tcPr>
            <w:tcW w:w="1267" w:type="dxa"/>
            <w:vAlign w:val="center"/>
          </w:tcPr>
          <w:p w:rsidR="00D65C44" w:rsidRDefault="00FA7C48">
            <w:pPr>
              <w:jc w:val="center"/>
            </w:pPr>
            <w:r>
              <w:rPr>
                <w:color w:val="000000"/>
                <w:sz w:val="24"/>
              </w:rPr>
              <w:t>-0.02%</w:t>
            </w:r>
          </w:p>
        </w:tc>
      </w:tr>
      <w:tr w:rsidR="00D65C44">
        <w:trPr>
          <w:jc w:val="center"/>
        </w:trPr>
        <w:tc>
          <w:tcPr>
            <w:tcW w:w="1266" w:type="dxa"/>
            <w:vAlign w:val="center"/>
          </w:tcPr>
          <w:p w:rsidR="00D65C44" w:rsidRDefault="00FA7C48">
            <w:pPr>
              <w:jc w:val="left"/>
            </w:pPr>
            <w:r>
              <w:rPr>
                <w:color w:val="000000"/>
                <w:sz w:val="24"/>
              </w:rPr>
              <w:t>过去一年</w:t>
            </w:r>
          </w:p>
        </w:tc>
        <w:tc>
          <w:tcPr>
            <w:tcW w:w="1267" w:type="dxa"/>
            <w:vAlign w:val="center"/>
          </w:tcPr>
          <w:p w:rsidR="00D65C44" w:rsidRDefault="00FA7C48">
            <w:pPr>
              <w:jc w:val="center"/>
            </w:pPr>
            <w:r>
              <w:rPr>
                <w:color w:val="000000"/>
                <w:sz w:val="24"/>
              </w:rPr>
              <w:t>2.07%</w:t>
            </w:r>
          </w:p>
        </w:tc>
        <w:tc>
          <w:tcPr>
            <w:tcW w:w="1267" w:type="dxa"/>
            <w:vAlign w:val="center"/>
          </w:tcPr>
          <w:p w:rsidR="00D65C44" w:rsidRDefault="00FA7C48">
            <w:pPr>
              <w:jc w:val="center"/>
            </w:pPr>
            <w:r>
              <w:rPr>
                <w:color w:val="000000"/>
                <w:sz w:val="24"/>
              </w:rPr>
              <w:t>0.07%</w:t>
            </w:r>
          </w:p>
        </w:tc>
        <w:tc>
          <w:tcPr>
            <w:tcW w:w="1267" w:type="dxa"/>
            <w:vAlign w:val="center"/>
          </w:tcPr>
          <w:p w:rsidR="00D65C44" w:rsidRDefault="00FA7C48">
            <w:pPr>
              <w:jc w:val="center"/>
            </w:pPr>
            <w:r>
              <w:rPr>
                <w:color w:val="000000"/>
                <w:sz w:val="24"/>
              </w:rPr>
              <w:t>-0.08%</w:t>
            </w:r>
          </w:p>
        </w:tc>
        <w:tc>
          <w:tcPr>
            <w:tcW w:w="1267" w:type="dxa"/>
            <w:vAlign w:val="center"/>
          </w:tcPr>
          <w:p w:rsidR="00D65C44" w:rsidRDefault="00FA7C48">
            <w:pPr>
              <w:jc w:val="center"/>
            </w:pPr>
            <w:r>
              <w:rPr>
                <w:color w:val="000000"/>
                <w:sz w:val="24"/>
              </w:rPr>
              <w:t>0.09%</w:t>
            </w:r>
          </w:p>
        </w:tc>
        <w:tc>
          <w:tcPr>
            <w:tcW w:w="1267" w:type="dxa"/>
            <w:vAlign w:val="center"/>
          </w:tcPr>
          <w:p w:rsidR="00D65C44" w:rsidRDefault="00FA7C48">
            <w:pPr>
              <w:jc w:val="center"/>
            </w:pPr>
            <w:r>
              <w:rPr>
                <w:color w:val="000000"/>
                <w:sz w:val="24"/>
              </w:rPr>
              <w:t>2.15%</w:t>
            </w:r>
          </w:p>
        </w:tc>
        <w:tc>
          <w:tcPr>
            <w:tcW w:w="1267" w:type="dxa"/>
            <w:vAlign w:val="center"/>
          </w:tcPr>
          <w:p w:rsidR="00D65C44" w:rsidRDefault="00FA7C48">
            <w:pPr>
              <w:jc w:val="center"/>
            </w:pPr>
            <w:r>
              <w:rPr>
                <w:color w:val="000000"/>
                <w:sz w:val="24"/>
              </w:rPr>
              <w:t>-0.02%</w:t>
            </w:r>
          </w:p>
        </w:tc>
      </w:tr>
      <w:tr w:rsidR="00D65C44">
        <w:trPr>
          <w:jc w:val="center"/>
        </w:trPr>
        <w:tc>
          <w:tcPr>
            <w:tcW w:w="1266" w:type="dxa"/>
            <w:vAlign w:val="center"/>
          </w:tcPr>
          <w:p w:rsidR="00D65C44" w:rsidRDefault="00FA7C48">
            <w:pPr>
              <w:jc w:val="left"/>
            </w:pPr>
            <w:r>
              <w:rPr>
                <w:color w:val="000000"/>
                <w:sz w:val="24"/>
              </w:rPr>
              <w:t>过去三年</w:t>
            </w:r>
          </w:p>
        </w:tc>
        <w:tc>
          <w:tcPr>
            <w:tcW w:w="1267" w:type="dxa"/>
            <w:vAlign w:val="center"/>
          </w:tcPr>
          <w:p w:rsidR="00D65C44" w:rsidRDefault="00FA7C48">
            <w:pPr>
              <w:jc w:val="center"/>
            </w:pPr>
            <w:r>
              <w:rPr>
                <w:color w:val="000000"/>
                <w:sz w:val="24"/>
              </w:rPr>
              <w:t>13.53%</w:t>
            </w:r>
          </w:p>
        </w:tc>
        <w:tc>
          <w:tcPr>
            <w:tcW w:w="1267" w:type="dxa"/>
            <w:vAlign w:val="center"/>
          </w:tcPr>
          <w:p w:rsidR="00D65C44" w:rsidRDefault="00FA7C48">
            <w:pPr>
              <w:jc w:val="center"/>
            </w:pPr>
            <w:r>
              <w:rPr>
                <w:color w:val="000000"/>
                <w:sz w:val="24"/>
              </w:rPr>
              <w:t>0.07%</w:t>
            </w:r>
          </w:p>
        </w:tc>
        <w:tc>
          <w:tcPr>
            <w:tcW w:w="1267" w:type="dxa"/>
            <w:vAlign w:val="center"/>
          </w:tcPr>
          <w:p w:rsidR="00D65C44" w:rsidRDefault="00FA7C48">
            <w:pPr>
              <w:jc w:val="center"/>
            </w:pPr>
            <w:r>
              <w:rPr>
                <w:color w:val="000000"/>
                <w:sz w:val="24"/>
              </w:rPr>
              <w:t>4.21%</w:t>
            </w:r>
          </w:p>
        </w:tc>
        <w:tc>
          <w:tcPr>
            <w:tcW w:w="1267" w:type="dxa"/>
            <w:vAlign w:val="center"/>
          </w:tcPr>
          <w:p w:rsidR="00D65C44" w:rsidRDefault="00FA7C48">
            <w:pPr>
              <w:jc w:val="center"/>
            </w:pPr>
            <w:r>
              <w:rPr>
                <w:color w:val="000000"/>
                <w:sz w:val="24"/>
              </w:rPr>
              <w:t>0.07%</w:t>
            </w:r>
          </w:p>
        </w:tc>
        <w:tc>
          <w:tcPr>
            <w:tcW w:w="1267" w:type="dxa"/>
            <w:vAlign w:val="center"/>
          </w:tcPr>
          <w:p w:rsidR="00D65C44" w:rsidRDefault="00FA7C48">
            <w:pPr>
              <w:jc w:val="center"/>
            </w:pPr>
            <w:r>
              <w:rPr>
                <w:color w:val="000000"/>
                <w:sz w:val="24"/>
              </w:rPr>
              <w:t>9.32%</w:t>
            </w:r>
          </w:p>
        </w:tc>
        <w:tc>
          <w:tcPr>
            <w:tcW w:w="1267" w:type="dxa"/>
            <w:vAlign w:val="center"/>
          </w:tcPr>
          <w:p w:rsidR="00D65C44" w:rsidRDefault="00FA7C48">
            <w:pPr>
              <w:jc w:val="center"/>
            </w:pPr>
            <w:r>
              <w:rPr>
                <w:color w:val="000000"/>
                <w:sz w:val="24"/>
              </w:rPr>
              <w:t>0.00%</w:t>
            </w:r>
          </w:p>
        </w:tc>
      </w:tr>
      <w:tr w:rsidR="00D65C44">
        <w:trPr>
          <w:jc w:val="center"/>
        </w:trPr>
        <w:tc>
          <w:tcPr>
            <w:tcW w:w="1266" w:type="dxa"/>
            <w:vAlign w:val="center"/>
          </w:tcPr>
          <w:p w:rsidR="00D65C44" w:rsidRDefault="00FA7C48">
            <w:pPr>
              <w:jc w:val="left"/>
            </w:pPr>
            <w:r>
              <w:rPr>
                <w:color w:val="000000"/>
                <w:sz w:val="24"/>
              </w:rPr>
              <w:t>过去五年</w:t>
            </w:r>
          </w:p>
        </w:tc>
        <w:tc>
          <w:tcPr>
            <w:tcW w:w="1267" w:type="dxa"/>
            <w:vAlign w:val="center"/>
          </w:tcPr>
          <w:p w:rsidR="00D65C44" w:rsidRDefault="00FA7C48">
            <w:pPr>
              <w:jc w:val="center"/>
            </w:pPr>
            <w:r>
              <w:rPr>
                <w:color w:val="000000"/>
                <w:sz w:val="24"/>
              </w:rPr>
              <w:t>18.62%</w:t>
            </w:r>
          </w:p>
        </w:tc>
        <w:tc>
          <w:tcPr>
            <w:tcW w:w="1267" w:type="dxa"/>
            <w:vAlign w:val="center"/>
          </w:tcPr>
          <w:p w:rsidR="00D65C44" w:rsidRDefault="00FA7C48">
            <w:pPr>
              <w:jc w:val="center"/>
            </w:pPr>
            <w:r>
              <w:rPr>
                <w:color w:val="000000"/>
                <w:sz w:val="24"/>
              </w:rPr>
              <w:t>0.08%</w:t>
            </w:r>
          </w:p>
        </w:tc>
        <w:tc>
          <w:tcPr>
            <w:tcW w:w="1267" w:type="dxa"/>
            <w:vAlign w:val="center"/>
          </w:tcPr>
          <w:p w:rsidR="00D65C44" w:rsidRDefault="00FA7C48">
            <w:pPr>
              <w:jc w:val="center"/>
            </w:pPr>
            <w:r>
              <w:rPr>
                <w:color w:val="000000"/>
                <w:sz w:val="24"/>
              </w:rPr>
              <w:t>2.00%</w:t>
            </w:r>
          </w:p>
        </w:tc>
        <w:tc>
          <w:tcPr>
            <w:tcW w:w="1267" w:type="dxa"/>
            <w:vAlign w:val="center"/>
          </w:tcPr>
          <w:p w:rsidR="00D65C44" w:rsidRDefault="00FA7C48">
            <w:pPr>
              <w:jc w:val="center"/>
            </w:pPr>
            <w:r>
              <w:rPr>
                <w:color w:val="000000"/>
                <w:sz w:val="24"/>
              </w:rPr>
              <w:t>0.08%</w:t>
            </w:r>
          </w:p>
        </w:tc>
        <w:tc>
          <w:tcPr>
            <w:tcW w:w="1267" w:type="dxa"/>
            <w:vAlign w:val="center"/>
          </w:tcPr>
          <w:p w:rsidR="00D65C44" w:rsidRDefault="00FA7C48">
            <w:pPr>
              <w:jc w:val="center"/>
            </w:pPr>
            <w:r>
              <w:rPr>
                <w:color w:val="000000"/>
                <w:sz w:val="24"/>
              </w:rPr>
              <w:t>16.62%</w:t>
            </w:r>
          </w:p>
        </w:tc>
        <w:tc>
          <w:tcPr>
            <w:tcW w:w="1267" w:type="dxa"/>
            <w:vAlign w:val="center"/>
          </w:tcPr>
          <w:p w:rsidR="00D65C44" w:rsidRDefault="00FA7C48">
            <w:pPr>
              <w:jc w:val="center"/>
            </w:pPr>
            <w:r>
              <w:rPr>
                <w:color w:val="000000"/>
                <w:sz w:val="24"/>
              </w:rPr>
              <w:t>0.00%</w:t>
            </w:r>
          </w:p>
        </w:tc>
      </w:tr>
      <w:tr w:rsidR="00D65C44">
        <w:trPr>
          <w:jc w:val="center"/>
        </w:trPr>
        <w:tc>
          <w:tcPr>
            <w:tcW w:w="1266" w:type="dxa"/>
            <w:vAlign w:val="center"/>
          </w:tcPr>
          <w:p w:rsidR="00D65C44" w:rsidRDefault="00FA7C48">
            <w:pPr>
              <w:jc w:val="left"/>
            </w:pPr>
            <w:r>
              <w:rPr>
                <w:color w:val="000000"/>
                <w:sz w:val="24"/>
              </w:rPr>
              <w:t>自基金合同生效至今</w:t>
            </w:r>
          </w:p>
        </w:tc>
        <w:tc>
          <w:tcPr>
            <w:tcW w:w="1267" w:type="dxa"/>
            <w:vAlign w:val="center"/>
          </w:tcPr>
          <w:p w:rsidR="00D65C44" w:rsidRDefault="00FA7C48">
            <w:pPr>
              <w:jc w:val="center"/>
            </w:pPr>
            <w:r>
              <w:rPr>
                <w:color w:val="000000"/>
                <w:sz w:val="24"/>
              </w:rPr>
              <w:t>36.94%</w:t>
            </w:r>
          </w:p>
        </w:tc>
        <w:tc>
          <w:tcPr>
            <w:tcW w:w="1267" w:type="dxa"/>
            <w:vAlign w:val="center"/>
          </w:tcPr>
          <w:p w:rsidR="00D65C44" w:rsidRDefault="00FA7C48">
            <w:pPr>
              <w:jc w:val="center"/>
            </w:pPr>
            <w:r>
              <w:rPr>
                <w:color w:val="000000"/>
                <w:sz w:val="24"/>
              </w:rPr>
              <w:t>0.09%</w:t>
            </w:r>
          </w:p>
        </w:tc>
        <w:tc>
          <w:tcPr>
            <w:tcW w:w="1267" w:type="dxa"/>
            <w:vAlign w:val="center"/>
          </w:tcPr>
          <w:p w:rsidR="00D65C44" w:rsidRDefault="00FA7C48">
            <w:pPr>
              <w:jc w:val="center"/>
            </w:pPr>
            <w:r>
              <w:rPr>
                <w:color w:val="000000"/>
                <w:sz w:val="24"/>
              </w:rPr>
              <w:t>5.69%</w:t>
            </w:r>
          </w:p>
        </w:tc>
        <w:tc>
          <w:tcPr>
            <w:tcW w:w="1267" w:type="dxa"/>
            <w:vAlign w:val="center"/>
          </w:tcPr>
          <w:p w:rsidR="00D65C44" w:rsidRDefault="00FA7C48">
            <w:pPr>
              <w:jc w:val="center"/>
            </w:pPr>
            <w:r>
              <w:rPr>
                <w:color w:val="000000"/>
                <w:sz w:val="24"/>
              </w:rPr>
              <w:t>0.09%</w:t>
            </w:r>
          </w:p>
        </w:tc>
        <w:tc>
          <w:tcPr>
            <w:tcW w:w="1267" w:type="dxa"/>
            <w:vAlign w:val="center"/>
          </w:tcPr>
          <w:p w:rsidR="00D65C44" w:rsidRDefault="00FA7C48">
            <w:pPr>
              <w:jc w:val="center"/>
            </w:pPr>
            <w:r>
              <w:rPr>
                <w:color w:val="000000"/>
                <w:sz w:val="24"/>
              </w:rPr>
              <w:t>31.25%</w:t>
            </w:r>
          </w:p>
        </w:tc>
        <w:tc>
          <w:tcPr>
            <w:tcW w:w="1267" w:type="dxa"/>
            <w:vAlign w:val="center"/>
          </w:tcPr>
          <w:p w:rsidR="00D65C44" w:rsidRDefault="00FA7C48">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lastRenderedPageBreak/>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w:t>
      </w:r>
      <w:r w:rsidRPr="007F52FA">
        <w:rPr>
          <w:color w:val="000000"/>
          <w:sz w:val="24"/>
        </w:rPr>
        <w:lastRenderedPageBreak/>
        <w:t>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65C44">
        <w:trPr>
          <w:jc w:val="center"/>
        </w:trPr>
        <w:tc>
          <w:tcPr>
            <w:tcW w:w="946" w:type="dxa"/>
            <w:vAlign w:val="center"/>
          </w:tcPr>
          <w:p w:rsidR="00D65C44" w:rsidRDefault="00FA7C48">
            <w:pPr>
              <w:jc w:val="center"/>
            </w:pPr>
            <w:r>
              <w:rPr>
                <w:color w:val="000000"/>
                <w:sz w:val="24"/>
              </w:rPr>
              <w:t>唐赟</w:t>
            </w:r>
          </w:p>
        </w:tc>
        <w:tc>
          <w:tcPr>
            <w:tcW w:w="924" w:type="dxa"/>
            <w:vAlign w:val="center"/>
          </w:tcPr>
          <w:p w:rsidR="00D65C44" w:rsidRDefault="00FA7C48">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w:t>
            </w:r>
            <w:r>
              <w:rPr>
                <w:color w:val="000000"/>
                <w:sz w:val="24"/>
              </w:rPr>
              <w:lastRenderedPageBreak/>
              <w:t>收益债券的基金经理</w:t>
            </w:r>
          </w:p>
        </w:tc>
        <w:tc>
          <w:tcPr>
            <w:tcW w:w="1202" w:type="dxa"/>
            <w:vAlign w:val="center"/>
          </w:tcPr>
          <w:p w:rsidR="00D65C44" w:rsidRDefault="00FA7C48">
            <w:pPr>
              <w:jc w:val="center"/>
            </w:pPr>
            <w:r>
              <w:rPr>
                <w:color w:val="000000"/>
                <w:sz w:val="24"/>
              </w:rPr>
              <w:lastRenderedPageBreak/>
              <w:t>2015-08-04</w:t>
            </w:r>
          </w:p>
        </w:tc>
        <w:tc>
          <w:tcPr>
            <w:tcW w:w="1300" w:type="dxa"/>
            <w:vAlign w:val="center"/>
          </w:tcPr>
          <w:p w:rsidR="00D65C44" w:rsidRDefault="00FA7C48">
            <w:pPr>
              <w:jc w:val="center"/>
            </w:pPr>
            <w:r>
              <w:rPr>
                <w:color w:val="000000"/>
                <w:sz w:val="24"/>
              </w:rPr>
              <w:t>-</w:t>
            </w:r>
          </w:p>
        </w:tc>
        <w:tc>
          <w:tcPr>
            <w:tcW w:w="1245" w:type="dxa"/>
            <w:vAlign w:val="center"/>
          </w:tcPr>
          <w:p w:rsidR="00D65C44" w:rsidRDefault="00FA7C48">
            <w:pPr>
              <w:jc w:val="center"/>
            </w:pPr>
            <w:r>
              <w:rPr>
                <w:color w:val="000000"/>
                <w:sz w:val="24"/>
              </w:rPr>
              <w:t>10</w:t>
            </w:r>
            <w:r>
              <w:rPr>
                <w:color w:val="000000"/>
                <w:sz w:val="24"/>
              </w:rPr>
              <w:t>年</w:t>
            </w:r>
          </w:p>
        </w:tc>
        <w:tc>
          <w:tcPr>
            <w:tcW w:w="3251" w:type="dxa"/>
            <w:vAlign w:val="center"/>
          </w:tcPr>
          <w:p w:rsidR="00D65C44" w:rsidRDefault="00FA7C4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65C44" w:rsidRDefault="00FA7C4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65C44" w:rsidRDefault="00FA7C4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65C44" w:rsidRDefault="00FA7C4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lastRenderedPageBreak/>
        <w:t>4.4</w:t>
      </w:r>
      <w:r w:rsidRPr="007F52FA">
        <w:rPr>
          <w:rFonts w:hAnsi="宋体"/>
          <w:b/>
          <w:bCs/>
          <w:color w:val="000000"/>
          <w:sz w:val="24"/>
        </w:rPr>
        <w:t>报告期内基金的投资策略和运作分析</w:t>
      </w:r>
    </w:p>
    <w:p w:rsidR="00D65C44" w:rsidRDefault="00FA7C48">
      <w:pPr>
        <w:spacing w:before="29" w:line="288" w:lineRule="auto"/>
        <w:ind w:firstLineChars="200" w:firstLine="480"/>
        <w:rPr>
          <w:color w:val="000000"/>
          <w:sz w:val="24"/>
        </w:rPr>
      </w:pPr>
      <w:r>
        <w:rPr>
          <w:color w:val="000000"/>
          <w:sz w:val="24"/>
        </w:rPr>
        <w:t>本报告期内，</w:t>
      </w:r>
      <w:r>
        <w:rPr>
          <w:color w:val="000000"/>
          <w:sz w:val="24"/>
        </w:rPr>
        <w:t>2020</w:t>
      </w:r>
      <w:r>
        <w:rPr>
          <w:color w:val="000000"/>
          <w:sz w:val="24"/>
        </w:rPr>
        <w:t>年三季度债券市场在震荡中逐步下跌。首先，从七月开始，央行在公开市场净回笼资金，叠加</w:t>
      </w:r>
      <w:r>
        <w:rPr>
          <w:color w:val="000000"/>
          <w:sz w:val="24"/>
        </w:rPr>
        <w:t>MLF</w:t>
      </w:r>
      <w:r>
        <w:rPr>
          <w:color w:val="000000"/>
          <w:sz w:val="24"/>
        </w:rPr>
        <w:t>大量到期、企业集中缴税等因素，银行间流动性出现持续收紧状态，资金利率中枢边际抬升，进入八月央行开展</w:t>
      </w:r>
      <w:r>
        <w:rPr>
          <w:color w:val="000000"/>
          <w:sz w:val="24"/>
        </w:rPr>
        <w:t>14</w:t>
      </w:r>
      <w:r>
        <w:rPr>
          <w:color w:val="000000"/>
          <w:sz w:val="24"/>
        </w:rPr>
        <w:t>天逆回购操作，引导</w:t>
      </w:r>
      <w:r>
        <w:rPr>
          <w:color w:val="000000"/>
          <w:sz w:val="24"/>
        </w:rPr>
        <w:t>DR007</w:t>
      </w:r>
      <w:r>
        <w:rPr>
          <w:color w:val="000000"/>
          <w:sz w:val="24"/>
        </w:rPr>
        <w:t>向</w:t>
      </w:r>
      <w:r>
        <w:rPr>
          <w:color w:val="000000"/>
          <w:sz w:val="24"/>
        </w:rPr>
        <w:t>2.2%</w:t>
      </w:r>
      <w:r>
        <w:rPr>
          <w:color w:val="000000"/>
          <w:sz w:val="24"/>
        </w:rPr>
        <w:t>收敛。其次，利率债供给方面，七月到九月供给压力不减，政府债券净融资量维持在高位。同时，三季度经济基本面呈现出平稳恢复的态势，出口改善带动了制造业投资修复，工业生产平稳运行，经济增长的支撑力较为充足。在以上因素的综合影响下，三季度债券市场在震荡中收益率大幅向上调整，同时收益率曲线呈现出平坦化的趋势。</w:t>
      </w:r>
    </w:p>
    <w:p w:rsidR="00D65C44" w:rsidRDefault="00FA7C48">
      <w:pPr>
        <w:spacing w:before="29" w:line="288" w:lineRule="auto"/>
        <w:ind w:firstLineChars="200" w:firstLine="480"/>
        <w:rPr>
          <w:color w:val="000000"/>
          <w:sz w:val="24"/>
        </w:rPr>
      </w:pPr>
      <w:r>
        <w:rPr>
          <w:color w:val="000000"/>
          <w:sz w:val="24"/>
        </w:rPr>
        <w:t>报告期内，我们认为债券市场有一定回调压力，在基金操作中，逐步降低了组合的杠杆和久期水平，在板块上仍然保持部分中短久期中低等级城投债品种的配置，以提升底仓的静态收益。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四季度，一方面随着企业库存回升和通胀预期抬升，国内经济或从复苏期进入扩张期，宏观环境对债券市场略为不利；另一方面预期四季度利率债的供给压力将明显减弱，叠加美国大选临近中美摩擦可能升级，海外疫情或仍有反复，情绪方面可能对避险资产偏利好。组合策略方面，我们预计维持中性的杠杆水平，控制组合久期风险，同时视融资成本及市场收益率变动情况，择优配置中短久期的信用债个券，持续组合静态收益，并关注长端利率的波段交易机会，以期提升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3,434,989,000.00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95.94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3,414,989,000.00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61,640,212.46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2,444,127.19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81,187,071.61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3,580,260,411.26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01A62" w:rsidRPr="007F52FA" w:rsidRDefault="00901A62"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901A62">
      <w:pPr>
        <w:autoSpaceDE w:val="0"/>
        <w:autoSpaceDN w:val="0"/>
        <w:adjustRightInd w:val="0"/>
        <w:spacing w:before="29" w:line="288" w:lineRule="auto"/>
        <w:jc w:val="left"/>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41489">
        <w:trPr>
          <w:jc w:val="center"/>
        </w:trPr>
        <w:tc>
          <w:tcPr>
            <w:tcW w:w="817" w:type="dxa"/>
            <w:tcBorders>
              <w:bottom w:val="single" w:sz="4" w:space="0" w:color="auto"/>
            </w:tcBorders>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tcBorders>
              <w:bottom w:val="single" w:sz="4" w:space="0" w:color="auto"/>
            </w:tcBorders>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tcBorders>
              <w:bottom w:val="single" w:sz="4" w:space="0" w:color="auto"/>
            </w:tcBorders>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tcBorders>
              <w:bottom w:val="single" w:sz="4" w:space="0" w:color="auto"/>
            </w:tcBorders>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41489">
        <w:trPr>
          <w:jc w:val="center"/>
        </w:trPr>
        <w:tc>
          <w:tcPr>
            <w:tcW w:w="817" w:type="dxa"/>
            <w:tcBorders>
              <w:bottom w:val="single" w:sz="4" w:space="0" w:color="auto"/>
            </w:tcBorders>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tcBorders>
              <w:bottom w:val="single" w:sz="4" w:space="0" w:color="auto"/>
            </w:tcBorders>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tcBorders>
              <w:bottom w:val="single" w:sz="4" w:space="0" w:color="auto"/>
            </w:tcBorders>
            <w:vAlign w:val="center"/>
          </w:tcPr>
          <w:p w:rsidR="00296E4A" w:rsidRPr="007F52FA" w:rsidRDefault="00296E4A" w:rsidP="007C14DF">
            <w:pPr>
              <w:spacing w:before="29" w:line="288" w:lineRule="auto"/>
              <w:ind w:left="17"/>
              <w:jc w:val="right"/>
              <w:rPr>
                <w:color w:val="000000"/>
                <w:sz w:val="24"/>
              </w:rPr>
            </w:pPr>
            <w:r w:rsidRPr="007F52FA">
              <w:rPr>
                <w:color w:val="000000"/>
                <w:sz w:val="24"/>
              </w:rPr>
              <w:t>169,238,000.00</w:t>
            </w:r>
          </w:p>
        </w:tc>
        <w:tc>
          <w:tcPr>
            <w:tcW w:w="1616" w:type="dxa"/>
            <w:tcBorders>
              <w:bottom w:val="single" w:sz="4" w:space="0" w:color="auto"/>
            </w:tcBorders>
            <w:vAlign w:val="center"/>
          </w:tcPr>
          <w:p w:rsidR="00296E4A" w:rsidRPr="007F52FA" w:rsidRDefault="00296E4A" w:rsidP="007C14DF">
            <w:pPr>
              <w:spacing w:before="29" w:line="288" w:lineRule="auto"/>
              <w:ind w:left="17"/>
              <w:jc w:val="right"/>
              <w:rPr>
                <w:color w:val="000000"/>
                <w:sz w:val="24"/>
              </w:rPr>
            </w:pPr>
            <w:r w:rsidRPr="007F52FA">
              <w:rPr>
                <w:color w:val="000000"/>
                <w:sz w:val="24"/>
              </w:rPr>
              <w:t>5.25</w:t>
            </w:r>
          </w:p>
        </w:tc>
      </w:tr>
      <w:tr w:rsidR="00296E4A" w:rsidRPr="007F52FA" w:rsidTr="00041489">
        <w:trPr>
          <w:jc w:val="center"/>
        </w:trPr>
        <w:tc>
          <w:tcPr>
            <w:tcW w:w="817" w:type="dxa"/>
            <w:tcBorders>
              <w:top w:val="single" w:sz="4" w:space="0" w:color="auto"/>
            </w:tcBorders>
            <w:vAlign w:val="center"/>
          </w:tcPr>
          <w:p w:rsidR="00296E4A" w:rsidRPr="007F52FA" w:rsidRDefault="00296E4A" w:rsidP="007C14DF">
            <w:pPr>
              <w:spacing w:before="29" w:line="288" w:lineRule="auto"/>
              <w:ind w:left="17"/>
              <w:jc w:val="center"/>
              <w:rPr>
                <w:color w:val="000000"/>
                <w:sz w:val="24"/>
              </w:rPr>
            </w:pPr>
          </w:p>
        </w:tc>
        <w:tc>
          <w:tcPr>
            <w:tcW w:w="3260" w:type="dxa"/>
            <w:tcBorders>
              <w:top w:val="single" w:sz="4" w:space="0" w:color="auto"/>
            </w:tcBorders>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tcBorders>
              <w:top w:val="single" w:sz="4" w:space="0" w:color="auto"/>
            </w:tcBorders>
            <w:vAlign w:val="center"/>
          </w:tcPr>
          <w:p w:rsidR="00296E4A" w:rsidRPr="007F52FA" w:rsidRDefault="00296E4A" w:rsidP="007C14DF">
            <w:pPr>
              <w:spacing w:before="29" w:line="288" w:lineRule="auto"/>
              <w:ind w:left="17"/>
              <w:jc w:val="right"/>
              <w:rPr>
                <w:color w:val="000000"/>
                <w:sz w:val="24"/>
              </w:rPr>
            </w:pPr>
            <w:r w:rsidRPr="007F52FA">
              <w:rPr>
                <w:color w:val="000000"/>
                <w:sz w:val="24"/>
              </w:rPr>
              <w:t>169,238,000.00</w:t>
            </w:r>
          </w:p>
        </w:tc>
        <w:tc>
          <w:tcPr>
            <w:tcW w:w="1616" w:type="dxa"/>
            <w:tcBorders>
              <w:top w:val="single" w:sz="4" w:space="0" w:color="auto"/>
            </w:tcBorders>
            <w:vAlign w:val="center"/>
          </w:tcPr>
          <w:p w:rsidR="00296E4A" w:rsidRPr="007F52FA" w:rsidRDefault="00296E4A" w:rsidP="007C14DF">
            <w:pPr>
              <w:spacing w:before="29" w:line="288" w:lineRule="auto"/>
              <w:ind w:left="17"/>
              <w:jc w:val="right"/>
              <w:rPr>
                <w:color w:val="000000"/>
                <w:sz w:val="24"/>
              </w:rPr>
            </w:pPr>
            <w:r w:rsidRPr="007F52FA">
              <w:rPr>
                <w:color w:val="000000"/>
                <w:sz w:val="24"/>
              </w:rPr>
              <w:t>5.25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422,019,000.00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329,736,000.00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10.24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2,493,996,000.00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77.44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3,414,989,000.00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106.04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65C44">
        <w:trPr>
          <w:jc w:val="center"/>
        </w:trPr>
        <w:tc>
          <w:tcPr>
            <w:tcW w:w="1075" w:type="dxa"/>
            <w:vAlign w:val="center"/>
          </w:tcPr>
          <w:p w:rsidR="00D65C44" w:rsidRDefault="00FA7C48">
            <w:pPr>
              <w:jc w:val="center"/>
            </w:pPr>
            <w:r>
              <w:rPr>
                <w:color w:val="000000"/>
                <w:sz w:val="24"/>
              </w:rPr>
              <w:t>1</w:t>
            </w:r>
          </w:p>
        </w:tc>
        <w:tc>
          <w:tcPr>
            <w:tcW w:w="1533" w:type="dxa"/>
            <w:vAlign w:val="center"/>
          </w:tcPr>
          <w:p w:rsidR="00D65C44" w:rsidRDefault="00FA7C48">
            <w:pPr>
              <w:jc w:val="center"/>
            </w:pPr>
            <w:r>
              <w:rPr>
                <w:color w:val="000000"/>
                <w:sz w:val="24"/>
              </w:rPr>
              <w:t>101762016</w:t>
            </w:r>
          </w:p>
        </w:tc>
        <w:tc>
          <w:tcPr>
            <w:tcW w:w="1533" w:type="dxa"/>
            <w:vAlign w:val="center"/>
          </w:tcPr>
          <w:p w:rsidR="00D65C44" w:rsidRDefault="00FA7C48">
            <w:pPr>
              <w:jc w:val="center"/>
            </w:pPr>
            <w:r>
              <w:rPr>
                <w:color w:val="000000"/>
                <w:sz w:val="24"/>
              </w:rPr>
              <w:t>17</w:t>
            </w:r>
            <w:r>
              <w:rPr>
                <w:color w:val="000000"/>
                <w:sz w:val="24"/>
              </w:rPr>
              <w:t>盐城交通</w:t>
            </w:r>
            <w:r>
              <w:rPr>
                <w:color w:val="000000"/>
                <w:sz w:val="24"/>
              </w:rPr>
              <w:t>MTN001</w:t>
            </w:r>
          </w:p>
        </w:tc>
        <w:tc>
          <w:tcPr>
            <w:tcW w:w="1394" w:type="dxa"/>
            <w:vAlign w:val="center"/>
          </w:tcPr>
          <w:p w:rsidR="00D65C44" w:rsidRDefault="00FA7C48">
            <w:pPr>
              <w:jc w:val="right"/>
            </w:pPr>
            <w:r>
              <w:rPr>
                <w:color w:val="000000"/>
                <w:sz w:val="24"/>
              </w:rPr>
              <w:t>700,000</w:t>
            </w:r>
          </w:p>
        </w:tc>
        <w:tc>
          <w:tcPr>
            <w:tcW w:w="1944" w:type="dxa"/>
            <w:vAlign w:val="center"/>
          </w:tcPr>
          <w:p w:rsidR="00D65C44" w:rsidRDefault="00FA7C48">
            <w:pPr>
              <w:jc w:val="right"/>
            </w:pPr>
            <w:r>
              <w:rPr>
                <w:color w:val="000000"/>
                <w:sz w:val="24"/>
              </w:rPr>
              <w:t>72,695,000.00</w:t>
            </w:r>
          </w:p>
        </w:tc>
        <w:tc>
          <w:tcPr>
            <w:tcW w:w="1389" w:type="dxa"/>
            <w:vAlign w:val="center"/>
          </w:tcPr>
          <w:p w:rsidR="00D65C44" w:rsidRDefault="00FA7C48">
            <w:pPr>
              <w:jc w:val="right"/>
            </w:pPr>
            <w:r>
              <w:rPr>
                <w:color w:val="000000"/>
                <w:sz w:val="24"/>
              </w:rPr>
              <w:t>2.26</w:t>
            </w:r>
          </w:p>
        </w:tc>
      </w:tr>
      <w:tr w:rsidR="00D65C44">
        <w:trPr>
          <w:jc w:val="center"/>
        </w:trPr>
        <w:tc>
          <w:tcPr>
            <w:tcW w:w="1075" w:type="dxa"/>
            <w:vAlign w:val="center"/>
          </w:tcPr>
          <w:p w:rsidR="00D65C44" w:rsidRDefault="00FA7C48">
            <w:pPr>
              <w:jc w:val="center"/>
            </w:pPr>
            <w:r>
              <w:rPr>
                <w:color w:val="000000"/>
                <w:sz w:val="24"/>
              </w:rPr>
              <w:t>2</w:t>
            </w:r>
          </w:p>
        </w:tc>
        <w:tc>
          <w:tcPr>
            <w:tcW w:w="1533" w:type="dxa"/>
            <w:vAlign w:val="center"/>
          </w:tcPr>
          <w:p w:rsidR="00D65C44" w:rsidRDefault="00FA7C48">
            <w:pPr>
              <w:jc w:val="center"/>
            </w:pPr>
            <w:r>
              <w:rPr>
                <w:color w:val="000000"/>
                <w:sz w:val="24"/>
              </w:rPr>
              <w:t>200309</w:t>
            </w:r>
          </w:p>
        </w:tc>
        <w:tc>
          <w:tcPr>
            <w:tcW w:w="1533" w:type="dxa"/>
            <w:vAlign w:val="center"/>
          </w:tcPr>
          <w:p w:rsidR="00D65C44" w:rsidRDefault="00FA7C48">
            <w:pPr>
              <w:jc w:val="center"/>
            </w:pPr>
            <w:r>
              <w:rPr>
                <w:color w:val="000000"/>
                <w:sz w:val="24"/>
              </w:rPr>
              <w:t>20</w:t>
            </w:r>
            <w:r>
              <w:rPr>
                <w:color w:val="000000"/>
                <w:sz w:val="24"/>
              </w:rPr>
              <w:t>进出</w:t>
            </w:r>
            <w:r>
              <w:rPr>
                <w:color w:val="000000"/>
                <w:sz w:val="24"/>
              </w:rPr>
              <w:t>09</w:t>
            </w:r>
          </w:p>
        </w:tc>
        <w:tc>
          <w:tcPr>
            <w:tcW w:w="1394" w:type="dxa"/>
            <w:vAlign w:val="center"/>
          </w:tcPr>
          <w:p w:rsidR="00D65C44" w:rsidRDefault="00FA7C48">
            <w:pPr>
              <w:jc w:val="right"/>
            </w:pPr>
            <w:r>
              <w:rPr>
                <w:color w:val="000000"/>
                <w:sz w:val="24"/>
              </w:rPr>
              <w:t>700,000</w:t>
            </w:r>
          </w:p>
        </w:tc>
        <w:tc>
          <w:tcPr>
            <w:tcW w:w="1944" w:type="dxa"/>
            <w:vAlign w:val="center"/>
          </w:tcPr>
          <w:p w:rsidR="00D65C44" w:rsidRDefault="00FA7C48">
            <w:pPr>
              <w:jc w:val="right"/>
            </w:pPr>
            <w:r>
              <w:rPr>
                <w:color w:val="000000"/>
                <w:sz w:val="24"/>
              </w:rPr>
              <w:t>69,825,000.00</w:t>
            </w:r>
          </w:p>
        </w:tc>
        <w:tc>
          <w:tcPr>
            <w:tcW w:w="1389" w:type="dxa"/>
            <w:vAlign w:val="center"/>
          </w:tcPr>
          <w:p w:rsidR="00D65C44" w:rsidRDefault="00FA7C48">
            <w:pPr>
              <w:jc w:val="right"/>
            </w:pPr>
            <w:r>
              <w:rPr>
                <w:color w:val="000000"/>
                <w:sz w:val="24"/>
              </w:rPr>
              <w:t>2.17</w:t>
            </w:r>
          </w:p>
        </w:tc>
      </w:tr>
      <w:tr w:rsidR="00D65C44">
        <w:trPr>
          <w:jc w:val="center"/>
        </w:trPr>
        <w:tc>
          <w:tcPr>
            <w:tcW w:w="1075" w:type="dxa"/>
            <w:vAlign w:val="center"/>
          </w:tcPr>
          <w:p w:rsidR="00D65C44" w:rsidRDefault="00FA7C48">
            <w:pPr>
              <w:jc w:val="center"/>
            </w:pPr>
            <w:r>
              <w:rPr>
                <w:color w:val="000000"/>
                <w:sz w:val="24"/>
              </w:rPr>
              <w:t>3</w:t>
            </w:r>
          </w:p>
        </w:tc>
        <w:tc>
          <w:tcPr>
            <w:tcW w:w="1533" w:type="dxa"/>
            <w:vAlign w:val="center"/>
          </w:tcPr>
          <w:p w:rsidR="00D65C44" w:rsidRDefault="00FA7C48">
            <w:pPr>
              <w:jc w:val="center"/>
            </w:pPr>
            <w:r>
              <w:rPr>
                <w:color w:val="000000"/>
                <w:sz w:val="24"/>
              </w:rPr>
              <w:t>200306</w:t>
            </w:r>
          </w:p>
        </w:tc>
        <w:tc>
          <w:tcPr>
            <w:tcW w:w="1533" w:type="dxa"/>
            <w:vAlign w:val="center"/>
          </w:tcPr>
          <w:p w:rsidR="00D65C44" w:rsidRDefault="00FA7C48">
            <w:pPr>
              <w:jc w:val="center"/>
            </w:pPr>
            <w:r>
              <w:rPr>
                <w:color w:val="000000"/>
                <w:sz w:val="24"/>
              </w:rPr>
              <w:t>20</w:t>
            </w:r>
            <w:r>
              <w:rPr>
                <w:color w:val="000000"/>
                <w:sz w:val="24"/>
              </w:rPr>
              <w:t>进出</w:t>
            </w:r>
            <w:r>
              <w:rPr>
                <w:color w:val="000000"/>
                <w:sz w:val="24"/>
              </w:rPr>
              <w:t>06</w:t>
            </w:r>
          </w:p>
        </w:tc>
        <w:tc>
          <w:tcPr>
            <w:tcW w:w="1394" w:type="dxa"/>
            <w:vAlign w:val="center"/>
          </w:tcPr>
          <w:p w:rsidR="00D65C44" w:rsidRDefault="00FA7C48">
            <w:pPr>
              <w:jc w:val="right"/>
            </w:pPr>
            <w:r>
              <w:rPr>
                <w:color w:val="000000"/>
                <w:sz w:val="24"/>
              </w:rPr>
              <w:t>600,000</w:t>
            </w:r>
          </w:p>
        </w:tc>
        <w:tc>
          <w:tcPr>
            <w:tcW w:w="1944" w:type="dxa"/>
            <w:vAlign w:val="center"/>
          </w:tcPr>
          <w:p w:rsidR="00D65C44" w:rsidRDefault="00FA7C48">
            <w:pPr>
              <w:jc w:val="right"/>
            </w:pPr>
            <w:r>
              <w:rPr>
                <w:color w:val="000000"/>
                <w:sz w:val="24"/>
              </w:rPr>
              <w:t>59,676,000.00</w:t>
            </w:r>
          </w:p>
        </w:tc>
        <w:tc>
          <w:tcPr>
            <w:tcW w:w="1389" w:type="dxa"/>
            <w:vAlign w:val="center"/>
          </w:tcPr>
          <w:p w:rsidR="00D65C44" w:rsidRDefault="00FA7C48">
            <w:pPr>
              <w:jc w:val="right"/>
            </w:pPr>
            <w:r>
              <w:rPr>
                <w:color w:val="000000"/>
                <w:sz w:val="24"/>
              </w:rPr>
              <w:t>1.85</w:t>
            </w:r>
          </w:p>
        </w:tc>
      </w:tr>
      <w:tr w:rsidR="00D65C44">
        <w:trPr>
          <w:jc w:val="center"/>
        </w:trPr>
        <w:tc>
          <w:tcPr>
            <w:tcW w:w="1075" w:type="dxa"/>
            <w:vAlign w:val="center"/>
          </w:tcPr>
          <w:p w:rsidR="00D65C44" w:rsidRDefault="00FA7C48">
            <w:pPr>
              <w:jc w:val="center"/>
            </w:pPr>
            <w:r>
              <w:rPr>
                <w:color w:val="000000"/>
                <w:sz w:val="24"/>
              </w:rPr>
              <w:t>4</w:t>
            </w:r>
          </w:p>
        </w:tc>
        <w:tc>
          <w:tcPr>
            <w:tcW w:w="1533" w:type="dxa"/>
            <w:vAlign w:val="center"/>
          </w:tcPr>
          <w:p w:rsidR="00D65C44" w:rsidRDefault="00FA7C48">
            <w:pPr>
              <w:jc w:val="center"/>
            </w:pPr>
            <w:r>
              <w:rPr>
                <w:color w:val="000000"/>
                <w:sz w:val="24"/>
              </w:rPr>
              <w:t>101900300</w:t>
            </w:r>
          </w:p>
        </w:tc>
        <w:tc>
          <w:tcPr>
            <w:tcW w:w="1533" w:type="dxa"/>
            <w:vAlign w:val="center"/>
          </w:tcPr>
          <w:p w:rsidR="00D65C44" w:rsidRDefault="00FA7C48">
            <w:pPr>
              <w:jc w:val="center"/>
            </w:pPr>
            <w:r>
              <w:rPr>
                <w:color w:val="000000"/>
                <w:sz w:val="24"/>
              </w:rPr>
              <w:t>19</w:t>
            </w:r>
            <w:r>
              <w:rPr>
                <w:color w:val="000000"/>
                <w:sz w:val="24"/>
              </w:rPr>
              <w:t>江北国资</w:t>
            </w:r>
            <w:r>
              <w:rPr>
                <w:color w:val="000000"/>
                <w:sz w:val="24"/>
              </w:rPr>
              <w:t>MTN002</w:t>
            </w:r>
          </w:p>
        </w:tc>
        <w:tc>
          <w:tcPr>
            <w:tcW w:w="1394" w:type="dxa"/>
            <w:vAlign w:val="center"/>
          </w:tcPr>
          <w:p w:rsidR="00D65C44" w:rsidRDefault="00FA7C48">
            <w:pPr>
              <w:jc w:val="right"/>
            </w:pPr>
            <w:r>
              <w:rPr>
                <w:color w:val="000000"/>
                <w:sz w:val="24"/>
              </w:rPr>
              <w:t>500,000</w:t>
            </w:r>
          </w:p>
        </w:tc>
        <w:tc>
          <w:tcPr>
            <w:tcW w:w="1944" w:type="dxa"/>
            <w:vAlign w:val="center"/>
          </w:tcPr>
          <w:p w:rsidR="00D65C44" w:rsidRDefault="00FA7C48">
            <w:pPr>
              <w:jc w:val="right"/>
            </w:pPr>
            <w:r>
              <w:rPr>
                <w:color w:val="000000"/>
                <w:sz w:val="24"/>
              </w:rPr>
              <w:t>51,605,000.00</w:t>
            </w:r>
          </w:p>
        </w:tc>
        <w:tc>
          <w:tcPr>
            <w:tcW w:w="1389" w:type="dxa"/>
            <w:vAlign w:val="center"/>
          </w:tcPr>
          <w:p w:rsidR="00D65C44" w:rsidRDefault="00FA7C48">
            <w:pPr>
              <w:jc w:val="right"/>
            </w:pPr>
            <w:r>
              <w:rPr>
                <w:color w:val="000000"/>
                <w:sz w:val="24"/>
              </w:rPr>
              <w:t>1.60</w:t>
            </w:r>
          </w:p>
        </w:tc>
      </w:tr>
      <w:tr w:rsidR="00D65C44">
        <w:trPr>
          <w:jc w:val="center"/>
        </w:trPr>
        <w:tc>
          <w:tcPr>
            <w:tcW w:w="1075" w:type="dxa"/>
            <w:vAlign w:val="center"/>
          </w:tcPr>
          <w:p w:rsidR="00D65C44" w:rsidRDefault="00FA7C48">
            <w:pPr>
              <w:jc w:val="center"/>
            </w:pPr>
            <w:r>
              <w:rPr>
                <w:color w:val="000000"/>
                <w:sz w:val="24"/>
              </w:rPr>
              <w:t>5</w:t>
            </w:r>
          </w:p>
        </w:tc>
        <w:tc>
          <w:tcPr>
            <w:tcW w:w="1533" w:type="dxa"/>
            <w:vAlign w:val="center"/>
          </w:tcPr>
          <w:p w:rsidR="00D65C44" w:rsidRDefault="00FA7C48">
            <w:pPr>
              <w:jc w:val="center"/>
            </w:pPr>
            <w:r>
              <w:rPr>
                <w:color w:val="000000"/>
                <w:sz w:val="24"/>
              </w:rPr>
              <w:t>101800990</w:t>
            </w:r>
          </w:p>
        </w:tc>
        <w:tc>
          <w:tcPr>
            <w:tcW w:w="1533" w:type="dxa"/>
            <w:vAlign w:val="center"/>
          </w:tcPr>
          <w:p w:rsidR="00D65C44" w:rsidRDefault="00FA7C48">
            <w:pPr>
              <w:jc w:val="center"/>
            </w:pPr>
            <w:r>
              <w:rPr>
                <w:color w:val="000000"/>
                <w:sz w:val="24"/>
              </w:rPr>
              <w:t>18</w:t>
            </w:r>
            <w:r>
              <w:rPr>
                <w:color w:val="000000"/>
                <w:sz w:val="24"/>
              </w:rPr>
              <w:t>通泰控股</w:t>
            </w:r>
            <w:r>
              <w:rPr>
                <w:color w:val="000000"/>
                <w:sz w:val="24"/>
              </w:rPr>
              <w:t>MTN002</w:t>
            </w:r>
          </w:p>
        </w:tc>
        <w:tc>
          <w:tcPr>
            <w:tcW w:w="1394" w:type="dxa"/>
            <w:vAlign w:val="center"/>
          </w:tcPr>
          <w:p w:rsidR="00D65C44" w:rsidRDefault="00FA7C48">
            <w:pPr>
              <w:jc w:val="right"/>
            </w:pPr>
            <w:r>
              <w:rPr>
                <w:color w:val="000000"/>
                <w:sz w:val="24"/>
              </w:rPr>
              <w:t>500,000</w:t>
            </w:r>
          </w:p>
        </w:tc>
        <w:tc>
          <w:tcPr>
            <w:tcW w:w="1944" w:type="dxa"/>
            <w:vAlign w:val="center"/>
          </w:tcPr>
          <w:p w:rsidR="00D65C44" w:rsidRDefault="00FA7C48">
            <w:pPr>
              <w:jc w:val="right"/>
            </w:pPr>
            <w:r>
              <w:rPr>
                <w:color w:val="000000"/>
                <w:sz w:val="24"/>
              </w:rPr>
              <w:t>51,415,000.00</w:t>
            </w:r>
          </w:p>
        </w:tc>
        <w:tc>
          <w:tcPr>
            <w:tcW w:w="1389" w:type="dxa"/>
            <w:vAlign w:val="center"/>
          </w:tcPr>
          <w:p w:rsidR="00D65C44" w:rsidRDefault="00FA7C48">
            <w:pPr>
              <w:jc w:val="right"/>
            </w:pPr>
            <w:r>
              <w:rPr>
                <w:color w:val="000000"/>
                <w:sz w:val="24"/>
              </w:rPr>
              <w:t>1.60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085115" w:rsidRPr="00085115" w:rsidRDefault="00085115" w:rsidP="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金额单位：人民币元</w:t>
      </w:r>
    </w:p>
    <w:tbl>
      <w:tblPr>
        <w:tblStyle w:val="af6"/>
        <w:tblW w:w="8868" w:type="dxa"/>
        <w:jc w:val="center"/>
        <w:tblCellMar>
          <w:top w:w="57" w:type="dxa"/>
          <w:bottom w:w="57" w:type="dxa"/>
        </w:tblCellMar>
        <w:tblLook w:val="04A0" w:firstRow="1" w:lastRow="0" w:firstColumn="1" w:lastColumn="0" w:noHBand="0" w:noVBand="1"/>
      </w:tblPr>
      <w:tblGrid>
        <w:gridCol w:w="1437"/>
        <w:gridCol w:w="1468"/>
        <w:gridCol w:w="1448"/>
        <w:gridCol w:w="1471"/>
        <w:gridCol w:w="1596"/>
        <w:gridCol w:w="1448"/>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5324E6">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w="1503" w:type="dxa"/>
            <w:vAlign w:val="center"/>
          </w:tcPr>
          <w:p w:rsidR="009A0513" w:rsidRPr="007F52FA" w:rsidRDefault="009A0513" w:rsidP="00430A5C">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rsidR="00D65C44">
        <w:trPr>
          <w:jc w:val="center"/>
        </w:trPr>
        <w:tc>
          <w:tcPr>
            <w:tcW w:w="0" w:type="auto"/>
            <w:vAlign w:val="center"/>
          </w:tcPr>
          <w:p w:rsidR="00D65C44" w:rsidRDefault="00FA7C48">
            <w:pPr>
              <w:jc w:val="center"/>
            </w:pPr>
            <w:r>
              <w:rPr>
                <w:color w:val="000000"/>
                <w:sz w:val="24"/>
              </w:rPr>
              <w:t>1</w:t>
            </w:r>
          </w:p>
        </w:tc>
        <w:tc>
          <w:tcPr>
            <w:tcW w:w="0" w:type="auto"/>
            <w:vAlign w:val="center"/>
          </w:tcPr>
          <w:p w:rsidR="00D65C44" w:rsidRDefault="00FA7C48">
            <w:pPr>
              <w:jc w:val="center"/>
            </w:pPr>
            <w:r>
              <w:rPr>
                <w:color w:val="000000"/>
                <w:sz w:val="24"/>
              </w:rPr>
              <w:t>169422</w:t>
            </w:r>
          </w:p>
        </w:tc>
        <w:tc>
          <w:tcPr>
            <w:tcW w:w="0" w:type="auto"/>
            <w:vAlign w:val="center"/>
          </w:tcPr>
          <w:p w:rsidR="00D65C44" w:rsidRDefault="00FA7C48">
            <w:pPr>
              <w:jc w:val="center"/>
            </w:pPr>
            <w:r>
              <w:rPr>
                <w:color w:val="000000"/>
                <w:sz w:val="24"/>
              </w:rPr>
              <w:t>霄驰</w:t>
            </w:r>
            <w:r>
              <w:rPr>
                <w:color w:val="000000"/>
                <w:sz w:val="24"/>
              </w:rPr>
              <w:t>01A</w:t>
            </w:r>
          </w:p>
        </w:tc>
        <w:tc>
          <w:tcPr>
            <w:tcW w:w="0" w:type="auto"/>
            <w:vAlign w:val="center"/>
          </w:tcPr>
          <w:p w:rsidR="00D65C44" w:rsidRDefault="00FA7C48">
            <w:pPr>
              <w:jc w:val="right"/>
            </w:pPr>
            <w:r>
              <w:rPr>
                <w:color w:val="000000"/>
                <w:sz w:val="24"/>
              </w:rPr>
              <w:t>200,000</w:t>
            </w:r>
          </w:p>
        </w:tc>
        <w:tc>
          <w:tcPr>
            <w:tcW w:w="0" w:type="auto"/>
            <w:vAlign w:val="center"/>
          </w:tcPr>
          <w:p w:rsidR="00D65C44" w:rsidRDefault="00FA7C48">
            <w:pPr>
              <w:jc w:val="right"/>
            </w:pPr>
            <w:r>
              <w:rPr>
                <w:color w:val="000000"/>
                <w:sz w:val="24"/>
              </w:rPr>
              <w:t>20,000,000.00</w:t>
            </w:r>
          </w:p>
        </w:tc>
        <w:tc>
          <w:tcPr>
            <w:tcW w:w="0" w:type="auto"/>
            <w:vAlign w:val="center"/>
          </w:tcPr>
          <w:p w:rsidR="00D65C44" w:rsidRDefault="00FA7C48">
            <w:pPr>
              <w:jc w:val="right"/>
            </w:pPr>
            <w:r>
              <w:rPr>
                <w:color w:val="000000"/>
                <w:sz w:val="24"/>
              </w:rPr>
              <w:t>0.62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2,162.68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52,579,988.75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28,603,295.99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1,624.19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81,187,071.61</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901A62" w:rsidRPr="007F52FA" w:rsidRDefault="00901A62"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proofErr w:type="gramStart"/>
      <w:r w:rsidRPr="00143E9C">
        <w:rPr>
          <w:rFonts w:eastAsiaTheme="minorEastAsia"/>
          <w:b/>
          <w:bCs/>
          <w:sz w:val="24"/>
        </w:rPr>
        <w:t>期末前</w:t>
      </w:r>
      <w:proofErr w:type="gramEnd"/>
      <w:r w:rsidRPr="00143E9C">
        <w:rPr>
          <w:rFonts w:eastAsiaTheme="minorEastAsia"/>
          <w:b/>
          <w:bCs/>
          <w:sz w:val="24"/>
        </w:rPr>
        <w:t>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lastRenderedPageBreak/>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2,238,136,398.65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107,710,986.59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1,278,767,313.75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2,055,132.19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494,635,373.50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102,239,530.10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3,022,268,338.90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7,526,588.68</w:t>
            </w:r>
          </w:p>
        </w:tc>
      </w:tr>
    </w:tbl>
    <w:p w:rsidR="00D65C44" w:rsidRDefault="00FA7C4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w:t>
      </w:r>
      <w:bookmarkStart w:id="0" w:name="_GoBack"/>
      <w:bookmarkEnd w:id="0"/>
      <w:r w:rsidRPr="007F52FA">
        <w:rPr>
          <w:rFonts w:eastAsiaTheme="minorEastAsia"/>
          <w:color w:val="000000"/>
          <w:sz w:val="24"/>
        </w:rPr>
        <w:t>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901A62"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901A62">
        <w:rPr>
          <w:rFonts w:eastAsiaTheme="minorEastAsia"/>
          <w:color w:val="000000" w:themeColor="text1"/>
          <w:kern w:val="0"/>
          <w:sz w:val="24"/>
          <w:szCs w:val="24"/>
        </w:rPr>
        <w:t xml:space="preserve">§8 </w:t>
      </w:r>
      <w:r w:rsidR="00F139D5" w:rsidRPr="00901A62">
        <w:rPr>
          <w:rFonts w:eastAsiaTheme="minorEastAsia"/>
          <w:color w:val="000000" w:themeColor="text1"/>
          <w:kern w:val="0"/>
          <w:sz w:val="24"/>
          <w:szCs w:val="24"/>
        </w:rPr>
        <w:t xml:space="preserve"> </w:t>
      </w:r>
      <w:r w:rsidRPr="00901A62">
        <w:rPr>
          <w:rFonts w:eastAsiaTheme="minorEastAsia" w:hint="eastAsia"/>
          <w:color w:val="000000" w:themeColor="text1"/>
          <w:kern w:val="0"/>
          <w:sz w:val="24"/>
          <w:szCs w:val="24"/>
        </w:rPr>
        <w:t>影响投资者决策的其他重要信息</w:t>
      </w:r>
    </w:p>
    <w:p w:rsidR="00ED0E09" w:rsidRPr="00901A62" w:rsidRDefault="00ED0E09" w:rsidP="00ED0E09">
      <w:pPr>
        <w:autoSpaceDE w:val="0"/>
        <w:autoSpaceDN w:val="0"/>
        <w:adjustRightInd w:val="0"/>
        <w:spacing w:line="360" w:lineRule="auto"/>
        <w:jc w:val="left"/>
        <w:rPr>
          <w:rFonts w:ascii="宋体" w:hAnsi="宋体"/>
          <w:b/>
          <w:bCs/>
          <w:color w:val="000000"/>
          <w:kern w:val="0"/>
          <w:sz w:val="24"/>
        </w:rPr>
      </w:pPr>
      <w:r w:rsidRPr="00901A62">
        <w:rPr>
          <w:rFonts w:ascii="宋体" w:hAnsi="宋体" w:hint="eastAsia"/>
          <w:b/>
          <w:bCs/>
          <w:color w:val="000000"/>
          <w:kern w:val="0"/>
          <w:sz w:val="24"/>
        </w:rPr>
        <w:t>8.1 影响投资者决策的其他重要信息</w:t>
      </w:r>
    </w:p>
    <w:p w:rsidR="00ED0E09" w:rsidRDefault="00ED0E09" w:rsidP="00ED0E09">
      <w:pPr>
        <w:spacing w:line="360" w:lineRule="auto"/>
        <w:ind w:firstLineChars="200" w:firstLine="480"/>
        <w:rPr>
          <w:rFonts w:ascii="宋体" w:hAnsi="宋体"/>
          <w:color w:val="000000"/>
          <w:szCs w:val="21"/>
        </w:rPr>
      </w:pPr>
      <w:r w:rsidRPr="00901A62">
        <w:rPr>
          <w:rFonts w:ascii="宋体" w:hAnsi="宋体" w:hint="eastAsia"/>
          <w:color w:val="000000"/>
          <w:sz w:val="24"/>
        </w:rPr>
        <w:t>为更好地维护基金份额持有人的利益，提高本</w:t>
      </w:r>
      <w:proofErr w:type="gramStart"/>
      <w:r w:rsidRPr="00901A62">
        <w:rPr>
          <w:rFonts w:ascii="宋体" w:hAnsi="宋体" w:hint="eastAsia"/>
          <w:color w:val="000000"/>
          <w:sz w:val="24"/>
        </w:rPr>
        <w:t>基金基金</w:t>
      </w:r>
      <w:proofErr w:type="gramEnd"/>
      <w:r w:rsidRPr="00901A62">
        <w:rPr>
          <w:rFonts w:ascii="宋体" w:hAnsi="宋体" w:hint="eastAsia"/>
          <w:color w:val="000000"/>
          <w:sz w:val="24"/>
        </w:rPr>
        <w:t>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w:t>
      </w:r>
      <w:r w:rsidRPr="00901A62">
        <w:rPr>
          <w:rFonts w:ascii="宋体" w:hAnsi="宋体" w:hint="eastAsia"/>
          <w:color w:val="000000"/>
          <w:sz w:val="24"/>
        </w:rPr>
        <w:lastRenderedPageBreak/>
        <w:t>限公司关于调整旗下11只公募基金的基金份额净值计算小数点后保留位数并修改基金合同、托管协议的公告》。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D65C44" w:rsidRDefault="00FA7C4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686" w:rsidRDefault="00874686">
      <w:r>
        <w:separator/>
      </w:r>
    </w:p>
  </w:endnote>
  <w:endnote w:type="continuationSeparator" w:id="0">
    <w:p w:rsidR="00874686" w:rsidRDefault="0087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686" w:rsidRDefault="00874686">
      <w:r>
        <w:separator/>
      </w:r>
    </w:p>
  </w:footnote>
  <w:footnote w:type="continuationSeparator" w:id="0">
    <w:p w:rsidR="00874686" w:rsidRDefault="0087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1489"/>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686"/>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A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5C4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C48"/>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B2BC-FE2C-4A4E-BAA5-F3B2FBD5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252</TotalTime>
  <Pages>13</Pages>
  <Words>1155</Words>
  <Characters>6584</Characters>
  <Application>Microsoft Office Word</Application>
  <DocSecurity>0</DocSecurity>
  <Lines>54</Lines>
  <Paragraphs>15</Paragraphs>
  <ScaleCrop>false</ScaleCrop>
  <Company>TRT. Ltd. Co.</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406</cp:revision>
  <cp:lastPrinted>2007-07-19T00:46:00Z</cp:lastPrinted>
  <dcterms:created xsi:type="dcterms:W3CDTF">2014-01-17T06:19:00Z</dcterms:created>
  <dcterms:modified xsi:type="dcterms:W3CDTF">2020-10-22T12:21:00Z</dcterms:modified>
</cp:coreProperties>
</file>