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交银施罗德阿尔法核心混合型证券投资基金</w:t>
      </w:r>
    </w:p>
    <w:p w:rsidP="00C15CAC" w:rsidR="002279D3" w:rsidRDefault="002279D3" w:rsidRPr="0081286B">
      <w:pPr>
        <w:spacing w:before="29" w:line="288" w:lineRule="auto"/>
        <w:jc w:val="center"/>
        <w:rPr>
          <w:b/>
          <w:sz w:val="36"/>
          <w:szCs w:val="36"/>
        </w:rPr>
      </w:pPr>
      <w:r w:rsidRPr="0081286B">
        <w:rPr>
          <w:b/>
          <w:sz w:val="36"/>
          <w:szCs w:val="36"/>
        </w:rPr>
        <w:t>2020年第3季度报告</w:t>
      </w:r>
    </w:p>
    <w:p w:rsidP="00C15CAC" w:rsidR="004061AC" w:rsidRDefault="00655CD8" w:rsidRPr="0081286B">
      <w:pPr>
        <w:spacing w:before="29" w:line="288" w:lineRule="auto"/>
        <w:jc w:val="center"/>
        <w:rPr>
          <w:b/>
          <w:sz w:val="36"/>
          <w:szCs w:val="36"/>
        </w:rPr>
      </w:pPr>
      <w:r w:rsidRPr="0081286B">
        <w:rPr>
          <w:b/>
          <w:sz w:val="36"/>
          <w:szCs w:val="36"/>
        </w:rPr>
        <w:t>2020年9月30日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中国建设银行股份有限公司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二〇二〇年十月二十八日</w:t>
      </w:r>
    </w:p>
    <w:p w:rsidP="0011537B" w:rsidR="004061AC" w:rsidRDefault="004061AC" w:rsidRPr="00414345">
      <w:pPr>
        <w:pStyle w:val="1"/>
        <w:spacing w:after="312" w:afterLines="100" w:before="312"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基金托管人中国建设银行股份有限公司根据本基金合同规定，于2020年10月27日复核了本报告中的财务指标、净值表现和投资组合报告等内容，保证复核内容不存在虚假记载、误导性陈述或者重大遗漏。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本报告期自2020年7月1日起至9月30日止。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交银阿尔法核心混合</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519712</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2922"/>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color w:val="000000"/>
                <w:kern w:val="0"/>
                <w:sz w:val="24"/>
                <w:szCs w:val="24"/>
              </w:rPr>
            </w:pPr>
            <w:r w:rsidRPr="00414345">
              <w:rPr>
                <w:color w:val="000000"/>
                <w:kern w:val="0"/>
                <w:sz w:val="24"/>
                <w:szCs w:val="24"/>
              </w:rPr>
              <w:t>519712</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type="dxa" w:w="2923"/>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color w:val="000000"/>
                <w:kern w:val="0"/>
                <w:sz w:val="24"/>
                <w:szCs w:val="24"/>
              </w:rPr>
            </w:pPr>
            <w:r w:rsidRPr="00414345">
              <w:rPr>
                <w:color w:val="000000"/>
                <w:kern w:val="0"/>
                <w:sz w:val="24"/>
                <w:szCs w:val="24"/>
              </w:rPr>
              <w:t>519713</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2012年8月3日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2,698,235,394.32</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本基金通过积极发挥团队选股优势，结合基本面多因子指标等组合管理手段选择具有显著阿尔法特征的个股，在控制风险并保持基金资产良好的流动性的前提下，追求长期持续稳定高于业绩比较基准的投资回报。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本基金充分发挥基金管理人的专业研究能力，以数量化工具辅助自上而下的资产配置，积极发挥研究团队的选股优势，结合基本面多因子指标自下而上精选个股，以谋求风险调整后的良好收益。</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75%×沪深300指数收益率+25%×中证综合债券指数收益率</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(2020年7月1日-2020年9月30日)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1,012,788,668.17</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969,747,068.74</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0.3422</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8,820,144,422.71</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3.269</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注：1、上述基金业绩指标不包括持有人认购或交易基金的各项费用，计入费用后的实际收益水平要低于所列数字；</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2、本期已实现收益指基金本期利息收入、投资收益、其他收入（不含公允价值变动收益）扣除相关费用后的余额，本期利润为本期已实现收益加上本期公允价值变动收益。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type="dxa" w:w="8868"/>
        <w:jc w:val="center"/>
        <w:tblLayout w:type="fixed"/>
        <w:tblCellMar>
          <w:top w:type="dxa" w:w="57"/>
          <w:bottom w:type="dxa" w:w="57"/>
        </w:tblCellMar>
        <w:tblLook w:firstColumn="1" w:firstRow="1" w:lastColumn="0" w:lastRow="0" w:noHBand="0" w:noVBand="1"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10.07%</w:t>
            </w:r>
          </w:p>
        </w:tc>
        <w:tc>
          <w:tcPr>
            <w:vAlign w:val="center"/>
          </w:tcPr>
          <w:p>
            <w:pPr>
              <w:jc w:val="center"/>
            </w:pPr>
            <w:r>
              <w:rPr>
                <w:color w:val="000000"/>
                <w:sz w:val="24"/>
                <w:szCs w:val="24"/>
              </w:rPr>
              <w:t>1.42%</w:t>
            </w:r>
          </w:p>
        </w:tc>
        <w:tc>
          <w:tcPr>
            <w:vAlign w:val="center"/>
          </w:tcPr>
          <w:p>
            <w:pPr>
              <w:jc w:val="center"/>
            </w:pPr>
            <w:r>
              <w:rPr>
                <w:color w:val="000000"/>
                <w:sz w:val="24"/>
                <w:szCs w:val="24"/>
              </w:rPr>
              <w:t>7.56%</w:t>
            </w:r>
          </w:p>
        </w:tc>
        <w:tc>
          <w:tcPr>
            <w:vAlign w:val="center"/>
          </w:tcPr>
          <w:p>
            <w:pPr>
              <w:jc w:val="center"/>
            </w:pPr>
            <w:r>
              <w:rPr>
                <w:color w:val="000000"/>
                <w:sz w:val="24"/>
                <w:szCs w:val="24"/>
              </w:rPr>
              <w:t>1.21%</w:t>
            </w:r>
          </w:p>
        </w:tc>
        <w:tc>
          <w:tcPr>
            <w:vAlign w:val="center"/>
          </w:tcPr>
          <w:p>
            <w:pPr>
              <w:jc w:val="center"/>
            </w:pPr>
            <w:r>
              <w:rPr>
                <w:color w:val="000000"/>
                <w:sz w:val="24"/>
                <w:szCs w:val="24"/>
              </w:rPr>
              <w:t>2.51%</w:t>
            </w:r>
          </w:p>
        </w:tc>
        <w:tc>
          <w:tcPr>
            <w:vAlign w:val="center"/>
          </w:tcPr>
          <w:p>
            <w:pPr>
              <w:jc w:val="center"/>
            </w:pPr>
            <w:r>
              <w:rPr>
                <w:color w:val="000000"/>
                <w:sz w:val="24"/>
                <w:szCs w:val="24"/>
              </w:rPr>
              <w:t>0.21%</w:t>
            </w:r>
          </w:p>
        </w:tc>
      </w:tr>
      <w:tr>
        <w:tc>
          <w:tcPr>
            <w:vAlign w:val="center"/>
          </w:tcPr>
          <w:p>
            <w:pPr>
              <w:jc w:val="left"/>
            </w:pPr>
            <w:r>
              <w:rPr>
                <w:color w:val="000000"/>
                <w:sz w:val="24"/>
                <w:szCs w:val="24"/>
              </w:rPr>
              <w:t>过去六个月</w:t>
            </w:r>
          </w:p>
        </w:tc>
        <w:tc>
          <w:tcPr>
            <w:vAlign w:val="center"/>
          </w:tcPr>
          <w:p>
            <w:pPr>
              <w:jc w:val="center"/>
            </w:pPr>
            <w:r>
              <w:rPr>
                <w:color w:val="000000"/>
                <w:sz w:val="24"/>
                <w:szCs w:val="24"/>
              </w:rPr>
              <w:t>24.91%</w:t>
            </w:r>
          </w:p>
        </w:tc>
        <w:tc>
          <w:tcPr>
            <w:vAlign w:val="center"/>
          </w:tcPr>
          <w:p>
            <w:pPr>
              <w:jc w:val="center"/>
            </w:pPr>
            <w:r>
              <w:rPr>
                <w:color w:val="000000"/>
                <w:sz w:val="24"/>
                <w:szCs w:val="24"/>
              </w:rPr>
              <w:t>1.12%</w:t>
            </w:r>
          </w:p>
        </w:tc>
        <w:tc>
          <w:tcPr>
            <w:vAlign w:val="center"/>
          </w:tcPr>
          <w:p>
            <w:pPr>
              <w:jc w:val="center"/>
            </w:pPr>
            <w:r>
              <w:rPr>
                <w:color w:val="000000"/>
                <w:sz w:val="24"/>
                <w:szCs w:val="24"/>
              </w:rPr>
              <w:t>17.83%</w:t>
            </w:r>
          </w:p>
        </w:tc>
        <w:tc>
          <w:tcPr>
            <w:vAlign w:val="center"/>
          </w:tcPr>
          <w:p>
            <w:pPr>
              <w:jc w:val="center"/>
            </w:pPr>
            <w:r>
              <w:rPr>
                <w:color w:val="000000"/>
                <w:sz w:val="24"/>
                <w:szCs w:val="24"/>
              </w:rPr>
              <w:t>0.99%</w:t>
            </w:r>
          </w:p>
        </w:tc>
        <w:tc>
          <w:tcPr>
            <w:vAlign w:val="center"/>
          </w:tcPr>
          <w:p>
            <w:pPr>
              <w:jc w:val="center"/>
            </w:pPr>
            <w:r>
              <w:rPr>
                <w:color w:val="000000"/>
                <w:sz w:val="24"/>
                <w:szCs w:val="24"/>
              </w:rPr>
              <w:t>7.08%</w:t>
            </w:r>
          </w:p>
        </w:tc>
        <w:tc>
          <w:tcPr>
            <w:vAlign w:val="center"/>
          </w:tcPr>
          <w:p>
            <w:pPr>
              <w:jc w:val="center"/>
            </w:pPr>
            <w:r>
              <w:rPr>
                <w:color w:val="000000"/>
                <w:sz w:val="24"/>
                <w:szCs w:val="24"/>
              </w:rPr>
              <w:t>0.13%</w:t>
            </w:r>
          </w:p>
        </w:tc>
      </w:tr>
      <w:tr>
        <w:tc>
          <w:tcPr>
            <w:vAlign w:val="center"/>
          </w:tcPr>
          <w:p>
            <w:pPr>
              <w:jc w:val="left"/>
            </w:pPr>
            <w:r>
              <w:rPr>
                <w:color w:val="000000"/>
                <w:sz w:val="24"/>
                <w:szCs w:val="24"/>
              </w:rPr>
              <w:t>过去一年</w:t>
            </w:r>
          </w:p>
        </w:tc>
        <w:tc>
          <w:tcPr>
            <w:vAlign w:val="center"/>
          </w:tcPr>
          <w:p>
            <w:pPr>
              <w:jc w:val="center"/>
            </w:pPr>
            <w:r>
              <w:rPr>
                <w:color w:val="000000"/>
                <w:sz w:val="24"/>
                <w:szCs w:val="24"/>
              </w:rPr>
              <w:t>37.87%</w:t>
            </w:r>
          </w:p>
        </w:tc>
        <w:tc>
          <w:tcPr>
            <w:vAlign w:val="center"/>
          </w:tcPr>
          <w:p>
            <w:pPr>
              <w:jc w:val="center"/>
            </w:pPr>
            <w:r>
              <w:rPr>
                <w:color w:val="000000"/>
                <w:sz w:val="24"/>
                <w:szCs w:val="24"/>
              </w:rPr>
              <w:t>1.21%</w:t>
            </w:r>
          </w:p>
        </w:tc>
        <w:tc>
          <w:tcPr>
            <w:vAlign w:val="center"/>
          </w:tcPr>
          <w:p>
            <w:pPr>
              <w:jc w:val="center"/>
            </w:pPr>
            <w:r>
              <w:rPr>
                <w:color w:val="000000"/>
                <w:sz w:val="24"/>
                <w:szCs w:val="24"/>
              </w:rPr>
              <w:t>16.23%</w:t>
            </w:r>
          </w:p>
        </w:tc>
        <w:tc>
          <w:tcPr>
            <w:vAlign w:val="center"/>
          </w:tcPr>
          <w:p>
            <w:pPr>
              <w:jc w:val="center"/>
            </w:pPr>
            <w:r>
              <w:rPr>
                <w:color w:val="000000"/>
                <w:sz w:val="24"/>
                <w:szCs w:val="24"/>
              </w:rPr>
              <w:t>1.04%</w:t>
            </w:r>
          </w:p>
        </w:tc>
        <w:tc>
          <w:tcPr>
            <w:vAlign w:val="center"/>
          </w:tcPr>
          <w:p>
            <w:pPr>
              <w:jc w:val="center"/>
            </w:pPr>
            <w:r>
              <w:rPr>
                <w:color w:val="000000"/>
                <w:sz w:val="24"/>
                <w:szCs w:val="24"/>
              </w:rPr>
              <w:t>21.64%</w:t>
            </w:r>
          </w:p>
        </w:tc>
        <w:tc>
          <w:tcPr>
            <w:vAlign w:val="center"/>
          </w:tcPr>
          <w:p>
            <w:pPr>
              <w:jc w:val="center"/>
            </w:pPr>
            <w:r>
              <w:rPr>
                <w:color w:val="000000"/>
                <w:sz w:val="24"/>
                <w:szCs w:val="24"/>
              </w:rPr>
              <w:t>0.17%</w:t>
            </w:r>
          </w:p>
        </w:tc>
      </w:tr>
      <w:tr>
        <w:tc>
          <w:tcPr>
            <w:vAlign w:val="center"/>
          </w:tcPr>
          <w:p>
            <w:pPr>
              <w:jc w:val="left"/>
            </w:pPr>
            <w:r>
              <w:rPr>
                <w:color w:val="000000"/>
                <w:sz w:val="24"/>
                <w:szCs w:val="24"/>
              </w:rPr>
              <w:t>过去三年</w:t>
            </w:r>
          </w:p>
        </w:tc>
        <w:tc>
          <w:tcPr>
            <w:vAlign w:val="center"/>
          </w:tcPr>
          <w:p>
            <w:pPr>
              <w:jc w:val="center"/>
            </w:pPr>
            <w:r>
              <w:rPr>
                <w:color w:val="000000"/>
                <w:sz w:val="24"/>
                <w:szCs w:val="24"/>
              </w:rPr>
              <w:t>97.25%</w:t>
            </w:r>
          </w:p>
        </w:tc>
        <w:tc>
          <w:tcPr>
            <w:vAlign w:val="center"/>
          </w:tcPr>
          <w:p>
            <w:pPr>
              <w:jc w:val="center"/>
            </w:pPr>
            <w:r>
              <w:rPr>
                <w:color w:val="000000"/>
                <w:sz w:val="24"/>
                <w:szCs w:val="24"/>
              </w:rPr>
              <w:t>1.31%</w:t>
            </w:r>
          </w:p>
        </w:tc>
        <w:tc>
          <w:tcPr>
            <w:vAlign w:val="center"/>
          </w:tcPr>
          <w:p>
            <w:pPr>
              <w:jc w:val="center"/>
            </w:pPr>
            <w:r>
              <w:rPr>
                <w:color w:val="000000"/>
                <w:sz w:val="24"/>
                <w:szCs w:val="24"/>
              </w:rPr>
              <w:t>19.82%</w:t>
            </w:r>
          </w:p>
        </w:tc>
        <w:tc>
          <w:tcPr>
            <w:vAlign w:val="center"/>
          </w:tcPr>
          <w:p>
            <w:pPr>
              <w:jc w:val="center"/>
            </w:pPr>
            <w:r>
              <w:rPr>
                <w:color w:val="000000"/>
                <w:sz w:val="24"/>
                <w:szCs w:val="24"/>
              </w:rPr>
              <w:t>1.00%</w:t>
            </w:r>
          </w:p>
        </w:tc>
        <w:tc>
          <w:tcPr>
            <w:vAlign w:val="center"/>
          </w:tcPr>
          <w:p>
            <w:pPr>
              <w:jc w:val="center"/>
            </w:pPr>
            <w:r>
              <w:rPr>
                <w:color w:val="000000"/>
                <w:sz w:val="24"/>
                <w:szCs w:val="24"/>
              </w:rPr>
              <w:t>77.43%</w:t>
            </w:r>
          </w:p>
        </w:tc>
        <w:tc>
          <w:tcPr>
            <w:vAlign w:val="center"/>
          </w:tcPr>
          <w:p>
            <w:pPr>
              <w:jc w:val="center"/>
            </w:pPr>
            <w:r>
              <w:rPr>
                <w:color w:val="000000"/>
                <w:sz w:val="24"/>
                <w:szCs w:val="24"/>
              </w:rPr>
              <w:t>0.31%</w:t>
            </w:r>
          </w:p>
        </w:tc>
      </w:tr>
      <w:tr>
        <w:tc>
          <w:tcPr>
            <w:vAlign w:val="center"/>
          </w:tcPr>
          <w:p>
            <w:pPr>
              <w:jc w:val="left"/>
            </w:pPr>
            <w:r>
              <w:rPr>
                <w:color w:val="000000"/>
                <w:sz w:val="24"/>
                <w:szCs w:val="24"/>
              </w:rPr>
              <w:t>过去五年</w:t>
            </w:r>
          </w:p>
        </w:tc>
        <w:tc>
          <w:tcPr>
            <w:vAlign w:val="center"/>
          </w:tcPr>
          <w:p>
            <w:pPr>
              <w:jc w:val="center"/>
            </w:pPr>
            <w:r>
              <w:rPr>
                <w:color w:val="000000"/>
                <w:sz w:val="24"/>
                <w:szCs w:val="24"/>
              </w:rPr>
              <w:t>209.14%</w:t>
            </w:r>
          </w:p>
        </w:tc>
        <w:tc>
          <w:tcPr>
            <w:vAlign w:val="center"/>
          </w:tcPr>
          <w:p>
            <w:pPr>
              <w:jc w:val="center"/>
            </w:pPr>
            <w:r>
              <w:rPr>
                <w:color w:val="000000"/>
                <w:sz w:val="24"/>
                <w:szCs w:val="24"/>
              </w:rPr>
              <w:t>1.36%</w:t>
            </w:r>
          </w:p>
        </w:tc>
        <w:tc>
          <w:tcPr>
            <w:vAlign w:val="center"/>
          </w:tcPr>
          <w:p>
            <w:pPr>
              <w:jc w:val="center"/>
            </w:pPr>
            <w:r>
              <w:rPr>
                <w:color w:val="000000"/>
                <w:sz w:val="24"/>
                <w:szCs w:val="24"/>
              </w:rPr>
              <w:t>39.93%</w:t>
            </w:r>
          </w:p>
        </w:tc>
        <w:tc>
          <w:tcPr>
            <w:vAlign w:val="center"/>
          </w:tcPr>
          <w:p>
            <w:pPr>
              <w:jc w:val="center"/>
            </w:pPr>
            <w:r>
              <w:rPr>
                <w:color w:val="000000"/>
                <w:sz w:val="24"/>
                <w:szCs w:val="24"/>
              </w:rPr>
              <w:t>0.96%</w:t>
            </w:r>
          </w:p>
        </w:tc>
        <w:tc>
          <w:tcPr>
            <w:vAlign w:val="center"/>
          </w:tcPr>
          <w:p>
            <w:pPr>
              <w:jc w:val="center"/>
            </w:pPr>
            <w:r>
              <w:rPr>
                <w:color w:val="000000"/>
                <w:sz w:val="24"/>
                <w:szCs w:val="24"/>
              </w:rPr>
              <w:t>169.21%</w:t>
            </w:r>
          </w:p>
        </w:tc>
        <w:tc>
          <w:tcPr>
            <w:vAlign w:val="center"/>
          </w:tcPr>
          <w:p>
            <w:pPr>
              <w:jc w:val="center"/>
            </w:pPr>
            <w:r>
              <w:rPr>
                <w:color w:val="000000"/>
                <w:sz w:val="24"/>
                <w:szCs w:val="24"/>
              </w:rPr>
              <w:t>0.40%</w:t>
            </w:r>
          </w:p>
        </w:tc>
      </w:tr>
      <w:tr>
        <w:tc>
          <w:tcPr>
            <w:vAlign w:val="center"/>
          </w:tcPr>
          <w:p>
            <w:pPr>
              <w:jc w:val="left"/>
            </w:pPr>
            <w:r>
              <w:rPr>
                <w:color w:val="000000"/>
                <w:sz w:val="24"/>
                <w:szCs w:val="24"/>
              </w:rPr>
              <w:t>自基金合同生效至今</w:t>
            </w:r>
          </w:p>
        </w:tc>
        <w:tc>
          <w:tcPr>
            <w:vAlign w:val="center"/>
          </w:tcPr>
          <w:p>
            <w:pPr>
              <w:jc w:val="center"/>
            </w:pPr>
            <w:r>
              <w:rPr>
                <w:color w:val="000000"/>
                <w:sz w:val="24"/>
                <w:szCs w:val="24"/>
              </w:rPr>
              <w:t>397.09%</w:t>
            </w:r>
          </w:p>
        </w:tc>
        <w:tc>
          <w:tcPr>
            <w:vAlign w:val="center"/>
          </w:tcPr>
          <w:p>
            <w:pPr>
              <w:jc w:val="center"/>
            </w:pPr>
            <w:r>
              <w:rPr>
                <w:color w:val="000000"/>
                <w:sz w:val="24"/>
                <w:szCs w:val="24"/>
              </w:rPr>
              <w:t>1.47%</w:t>
            </w:r>
          </w:p>
        </w:tc>
        <w:tc>
          <w:tcPr>
            <w:vAlign w:val="center"/>
          </w:tcPr>
          <w:p>
            <w:pPr>
              <w:jc w:val="center"/>
            </w:pPr>
            <w:r>
              <w:rPr>
                <w:color w:val="000000"/>
                <w:sz w:val="24"/>
                <w:szCs w:val="24"/>
              </w:rPr>
              <w:t>88.26%</w:t>
            </w:r>
          </w:p>
        </w:tc>
        <w:tc>
          <w:tcPr>
            <w:vAlign w:val="center"/>
          </w:tcPr>
          <w:p>
            <w:pPr>
              <w:jc w:val="center"/>
            </w:pPr>
            <w:r>
              <w:rPr>
                <w:color w:val="000000"/>
                <w:sz w:val="24"/>
                <w:szCs w:val="24"/>
              </w:rPr>
              <w:t>1.11%</w:t>
            </w:r>
          </w:p>
        </w:tc>
        <w:tc>
          <w:tcPr>
            <w:vAlign w:val="center"/>
          </w:tcPr>
          <w:p>
            <w:pPr>
              <w:jc w:val="center"/>
            </w:pPr>
            <w:r>
              <w:rPr>
                <w:color w:val="000000"/>
                <w:sz w:val="24"/>
                <w:szCs w:val="24"/>
              </w:rPr>
              <w:t>308.83%</w:t>
            </w:r>
          </w:p>
        </w:tc>
        <w:tc>
          <w:tcPr>
            <w:vAlign w:val="center"/>
          </w:tcPr>
          <w:p>
            <w:pPr>
              <w:jc w:val="center"/>
            </w:pPr>
            <w:r>
              <w:rPr>
                <w:color w:val="000000"/>
                <w:sz w:val="24"/>
                <w:szCs w:val="24"/>
              </w:rPr>
              <w:t>0.36%</w:t>
            </w:r>
          </w:p>
        </w:tc>
      </w:tr>
    </w:tbl>
    <w:p w:rsidP="00C15CAC" w:rsidR="004061AC" w:rsidRDefault="003F39DF"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本基金业绩比较基准自2015年10月1日起，由“75%×沪深300指数收益率+25%×中信标普全债指数收益率”变更为“75%×沪深300指数收益率+25%×中证综合债券指数收益率”，3.2.2同。详情见本基金管理人于2015年9月28日发布的《交银施罗德基金管理有限公司关于旗下部分基金业绩比较基准变更并修改基金合同相关内容的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交银施罗德阿尔法核心混合型证券投资基金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2012年8月3日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2020年9月30日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注：本基金建仓期为自基金合同生效日起的6个月。截至建仓期结束，本基金各项资产配置比例符合基金合同及招募说明书有关投资比例的约定。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何帅</w:t>
            </w:r>
          </w:p>
        </w:tc>
        <w:tc>
          <w:tcPr>
            <w:vAlign w:val="center"/>
          </w:tcPr>
          <w:p>
            <w:pPr>
              <w:jc w:val="center"/>
            </w:pPr>
            <w:r>
              <w:rPr>
                <w:color w:val="000000"/>
                <w:sz w:val="24"/>
                <w:szCs w:val="24"/>
              </w:rPr>
              <w:t>交银优势行业混合、交银阿尔法核心混合、交银持续成长主题混合的基金经理</w:t>
            </w:r>
          </w:p>
        </w:tc>
        <w:tc>
          <w:tcPr>
            <w:vAlign w:val="center"/>
          </w:tcPr>
          <w:p>
            <w:pPr>
              <w:jc w:val="center"/>
            </w:pPr>
            <w:r>
              <w:rPr>
                <w:color w:val="000000"/>
                <w:sz w:val="24"/>
                <w:szCs w:val="24"/>
              </w:rPr>
              <w:t>2015-09-16</w:t>
            </w:r>
          </w:p>
        </w:tc>
        <w:tc>
          <w:tcPr>
            <w:vAlign w:val="center"/>
          </w:tcPr>
          <w:p>
            <w:pPr>
              <w:jc w:val="center"/>
            </w:pPr>
            <w:r>
              <w:rPr>
                <w:color w:val="000000"/>
                <w:sz w:val="24"/>
                <w:szCs w:val="24"/>
              </w:rPr>
              <w:t>-</w:t>
            </w:r>
          </w:p>
        </w:tc>
        <w:tc>
          <w:tcPr>
            <w:vAlign w:val="center"/>
          </w:tcPr>
          <w:p>
            <w:pPr>
              <w:jc w:val="center"/>
            </w:pPr>
            <w:r>
              <w:rPr>
                <w:color w:val="000000"/>
                <w:sz w:val="24"/>
                <w:szCs w:val="24"/>
              </w:rPr>
              <w:t>10年</w:t>
            </w:r>
          </w:p>
        </w:tc>
        <w:tc>
          <w:tcPr>
            <w:vAlign w:val="center"/>
          </w:tcPr>
          <w:p>
            <w:pPr>
              <w:jc w:val="both"/>
            </w:pPr>
            <w:r>
              <w:rPr>
                <w:color w:val="000000"/>
                <w:sz w:val="24"/>
                <w:szCs w:val="24"/>
              </w:rPr>
              <w:t>何帅先生，上海财经大学硕士。历任国联安基金管理有限公司研究员。2012年加入交银施罗德基金管理有限公司，历任行业分析师。</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2020年三季度A股市场呈现振荡格局，市场指数先扬后抑，其中消费、军工等板块涨幅较佳，而医药等板块有一定回调。从宏观层面，国内经济逐渐走出阴霾，短期较大风险基本消除。经济的趋稳使得货币政策放松的预期收窄，部分前期涨幅较多估值上升明显的个股及板块出现回落。</w:t>
      </w:r>
    </w:p>
    <w:p>
      <w:pPr>
        <w:spacing w:before="29" w:line="288" w:lineRule="auto"/>
        <w:ind w:firstLine="480" w:firstLineChars="200"/>
        <w:rPr>
          <w:color w:val="000000"/>
          <w:sz w:val="24"/>
          <w:szCs w:val="24"/>
        </w:rPr>
      </w:pPr>
      <w:r>
        <w:rPr>
          <w:color w:val="000000"/>
          <w:sz w:val="24"/>
          <w:szCs w:val="24"/>
        </w:rPr>
        <w:t>三季度本基金新增了部分军工类及快递物流公司的持仓，兑现了部分医药板块持仓。</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我们认为随着“特殊时期”逐渐过去，市场将逐渐回归由公司基本面驱动的逻辑，而非估值的继续抬升。本基金将继续聚焦于选择可持续成长的公司或者性价比较高的股票，在一定安全边际下，力争为持有人持续获得长期稳定的超额回报。</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本基金（各类）份额净值及业绩表现请见“3.1主要财务指标” 及“3.2.1 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本基金本报告期内无需预警说明。</w:t>
      </w: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p w:rsidP="009C1009" w:rsidR="006B5F69" w:rsidRDefault="009C1009" w:rsidRPr="007B5F21">
      <w:pPr>
        <w:autoSpaceDE w:val="0"/>
        <w:autoSpaceDN w:val="0"/>
        <w:adjustRightInd w:val="0"/>
        <w:spacing w:line="360" w:lineRule="auto"/>
        <w:jc w:val="right"/>
        <w:rPr>
          <w:rFonts w:eastAsiaTheme="minorEastAsia"/>
          <w:b/>
          <w:color w:themeColor="text1" w:val="000000"/>
          <w:kern w:val="0"/>
          <w:sz w:val="24"/>
          <w:szCs w:val="24"/>
        </w:rPr>
      </w:pPr>
      <w:r w:rsidRPr="009C1009">
        <w:rPr>
          <w:rFonts w:hint="eastAsia"/>
          <w:color w:val="000000"/>
          <w:kern w:val="0"/>
        </w:rPr>
        <w:t/>
      </w:r>
      <w:r w:rsidRPr="009C1009">
        <w:rPr>
          <w:rFonts w:hint="eastAsia"/>
          <w:color w:val="000000"/>
          <w:kern w:val="0"/>
        </w:rPr>
        <w:t>金额单位：人民币元</w:t>
      </w:r>
    </w:p>
    <w:tbl>
      <w:tblPr>
        <w:tblStyle w:val="af7"/>
        <w:tblW w:type="dxa" w:w="8897"/>
        <w:tblInd w:type="dxa" w:w="108"/>
        <w:tblLayout w:type="fixed"/>
        <w:tblLook w:firstColumn="1" w:firstRow="1" w:lastColumn="0" w:lastRow="0" w:noHBand="0" w:noVBand="1" w:val="04A0"/>
      </w:tblPr>
      <w:tblGrid>
        <w:gridCol w:w="720"/>
        <w:gridCol w:w="2682"/>
        <w:gridCol w:w="2552"/>
        <w:gridCol w:w="2943"/>
      </w:tblGrid>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68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p>
        </w:tc>
        <w:tc>
          <w:tcPr>
            <w:tcW w:type="dxa" w:w="2943"/>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占基金总资产的比例</w:t>
            </w:r>
            <w:r w:rsidR="0018138B">
              <w:rPr>
                <w:rFonts w:eastAsiaTheme="minorEastAsia" w:hint="eastAsia"/>
                <w:color w:themeColor="text1" w:val="000000"/>
                <w:sz w:val="24"/>
                <w:szCs w:val="24"/>
              </w:rPr>
              <w:t>(</w:t>
            </w:r>
            <w:r w:rsidR="0018138B">
              <w:rPr>
                <w:rFonts w:eastAsiaTheme="minorEastAsia"/>
                <w:color w:themeColor="text1" w:val="000000"/>
                <w:sz w:val="24"/>
                <w:szCs w:val="24"/>
              </w:rPr>
              <w:t>%</w:t>
            </w:r>
            <w:r w:rsidR="0018138B">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lastRenderedPageBreak/>
              <w:t>1</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7,893,281,341.06</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88.99</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7,893,281,341.06</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88.99</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429,088,444.60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4.84</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429,088,444.60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4.84</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682"/>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金融衍生品投资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464,302,758.71</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5.23</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83,349,453.23</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0.94</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8,870,021,997.60</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9C1009" w:rsidR="007B2639" w:rsidRDefault="009C1009" w:rsidRPr="007B2639">
      <w:pPr>
        <w:jc w:val="right"/>
        <w:rPr>
          <w:sz w:val="24"/>
        </w:rPr>
      </w:pPr>
      <w:r w:rsidRPr="009C1009">
        <w:rPr>
          <w:rFonts w:eastAsiaTheme="minorEastAsia" w:hint="eastAsia"/>
          <w:color w:themeColor="text1" w:val="000000"/>
          <w:kern w:val="0"/>
          <w:sz w:val="24"/>
        </w:rPr>
        <w:t/>
      </w:r>
      <w:r w:rsidRPr="009C1009">
        <w:rPr>
          <w:rFonts w:eastAsiaTheme="minorEastAsia" w:hint="eastAsia"/>
          <w:color w:themeColor="text1" w:val="000000"/>
          <w:kern w:val="0"/>
          <w:sz w:val="24"/>
        </w:rPr>
        <w:t>金额单位：人民币元</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firstColumn="0" w:firstRow="0" w:lastColumn="0" w:lastRow="0" w:noHBand="0" w:noVBand="0"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B11F31" w:rsidRPr="00414345">
            <w:pPr>
              <w:adjustRightInd w:val="0"/>
              <w:snapToGrid w:val="0"/>
              <w:spacing w:before="29" w:line="288" w:lineRule="auto"/>
              <w:jc w:val="center"/>
              <w:rPr>
                <w:sz w:val="24"/>
                <w:szCs w:val="24"/>
              </w:rPr>
            </w:pPr>
            <w:r>
              <w:rPr>
                <w:sz w:val="24"/>
                <w:szCs w:val="24"/>
              </w:rPr>
              <w:t>公允价值</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370,684.00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442,500.00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4,002,982,133.74</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45.38</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1,607,900.00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0.02</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228,629.12</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28,264.03</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398,394,806.96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4.52</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r w:rsidRPr="00414345">
              <w:rPr>
                <w:sz w:val="24"/>
                <w:szCs w:val="24"/>
              </w:rPr>
              <w:lastRenderedPageBreak/>
              <w:t>-</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758,258,638.45</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8.60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275,227,238.80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3.12</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2,184,027,235.97</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24.76</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412,300.00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47,609,196.54</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0.54</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586,928.37</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223,104,885.08</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2.53</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7,893,281,341.06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89.49</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firstColumn="1" w:firstRow="1" w:lastColumn="0" w:lastRow="0" w:noHBand="0" w:noVBand="1"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000002</w:t>
            </w:r>
          </w:p>
        </w:tc>
        <w:tc>
          <w:tcPr>
            <w:vAlign w:val="center"/>
          </w:tcPr>
          <w:p>
            <w:pPr>
              <w:jc w:val="center"/>
            </w:pPr>
            <w:r>
              <w:rPr>
                <w:color w:val="000000"/>
                <w:sz w:val="24"/>
                <w:szCs w:val="24"/>
              </w:rPr>
              <w:t>万科A</w:t>
            </w:r>
          </w:p>
        </w:tc>
        <w:tc>
          <w:tcPr>
            <w:vAlign w:val="center"/>
          </w:tcPr>
          <w:p>
            <w:pPr>
              <w:jc w:val="right"/>
            </w:pPr>
            <w:r>
              <w:rPr>
                <w:color w:val="000000"/>
                <w:sz w:val="24"/>
                <w:szCs w:val="24"/>
              </w:rPr>
              <w:t>30,281,952</w:t>
            </w:r>
          </w:p>
        </w:tc>
        <w:tc>
          <w:tcPr>
            <w:vAlign w:val="center"/>
          </w:tcPr>
          <w:p>
            <w:pPr>
              <w:jc w:val="right"/>
            </w:pPr>
            <w:r>
              <w:rPr>
                <w:color w:val="000000"/>
                <w:sz w:val="24"/>
                <w:szCs w:val="24"/>
              </w:rPr>
              <w:t>848,500,295.04</w:t>
            </w:r>
          </w:p>
        </w:tc>
        <w:tc>
          <w:tcPr>
            <w:vAlign w:val="center"/>
          </w:tcPr>
          <w:p>
            <w:pPr>
              <w:jc w:val="right"/>
            </w:pPr>
            <w:r>
              <w:rPr>
                <w:color w:val="000000"/>
                <w:sz w:val="24"/>
                <w:szCs w:val="24"/>
              </w:rPr>
              <w:t>9.62</w:t>
            </w:r>
          </w:p>
        </w:tc>
      </w:tr>
      <w:tr>
        <w:tc>
          <w:tcPr>
            <w:vAlign w:val="center"/>
          </w:tcPr>
          <w:p>
            <w:pPr>
              <w:jc w:val="center"/>
            </w:pPr>
            <w:r>
              <w:rPr>
                <w:color w:val="000000"/>
                <w:sz w:val="24"/>
                <w:szCs w:val="24"/>
              </w:rPr>
              <w:t>2</w:t>
            </w:r>
          </w:p>
        </w:tc>
        <w:tc>
          <w:tcPr>
            <w:vAlign w:val="center"/>
          </w:tcPr>
          <w:p>
            <w:pPr>
              <w:jc w:val="center"/>
            </w:pPr>
            <w:r>
              <w:rPr>
                <w:color w:val="000000"/>
                <w:sz w:val="24"/>
                <w:szCs w:val="24"/>
              </w:rPr>
              <w:t>002050</w:t>
            </w:r>
          </w:p>
        </w:tc>
        <w:tc>
          <w:tcPr>
            <w:vAlign w:val="center"/>
          </w:tcPr>
          <w:p>
            <w:pPr>
              <w:jc w:val="center"/>
            </w:pPr>
            <w:r>
              <w:rPr>
                <w:color w:val="000000"/>
                <w:sz w:val="24"/>
                <w:szCs w:val="24"/>
              </w:rPr>
              <w:t>三花智控</w:t>
            </w:r>
          </w:p>
        </w:tc>
        <w:tc>
          <w:tcPr>
            <w:vAlign w:val="center"/>
          </w:tcPr>
          <w:p>
            <w:pPr>
              <w:jc w:val="right"/>
            </w:pPr>
            <w:r>
              <w:rPr>
                <w:color w:val="000000"/>
                <w:sz w:val="24"/>
                <w:szCs w:val="24"/>
              </w:rPr>
              <w:t>29,792,055</w:t>
            </w:r>
          </w:p>
        </w:tc>
        <w:tc>
          <w:tcPr>
            <w:vAlign w:val="center"/>
          </w:tcPr>
          <w:p>
            <w:pPr>
              <w:jc w:val="right"/>
            </w:pPr>
            <w:r>
              <w:rPr>
                <w:color w:val="000000"/>
                <w:sz w:val="24"/>
                <w:szCs w:val="24"/>
              </w:rPr>
              <w:t>661,383,621.00</w:t>
            </w:r>
          </w:p>
        </w:tc>
        <w:tc>
          <w:tcPr>
            <w:vAlign w:val="center"/>
          </w:tcPr>
          <w:p>
            <w:pPr>
              <w:jc w:val="right"/>
            </w:pPr>
            <w:r>
              <w:rPr>
                <w:color w:val="000000"/>
                <w:sz w:val="24"/>
                <w:szCs w:val="24"/>
              </w:rPr>
              <w:t>7.50</w:t>
            </w:r>
          </w:p>
        </w:tc>
      </w:tr>
      <w:tr>
        <w:tc>
          <w:tcPr>
            <w:vAlign w:val="center"/>
          </w:tcPr>
          <w:p>
            <w:pPr>
              <w:jc w:val="center"/>
            </w:pPr>
            <w:r>
              <w:rPr>
                <w:color w:val="000000"/>
                <w:sz w:val="24"/>
                <w:szCs w:val="24"/>
              </w:rPr>
              <w:t>3</w:t>
            </w:r>
          </w:p>
        </w:tc>
        <w:tc>
          <w:tcPr>
            <w:vAlign w:val="center"/>
          </w:tcPr>
          <w:p>
            <w:pPr>
              <w:jc w:val="center"/>
            </w:pPr>
            <w:r>
              <w:rPr>
                <w:color w:val="000000"/>
                <w:sz w:val="24"/>
                <w:szCs w:val="24"/>
              </w:rPr>
              <w:t>600048</w:t>
            </w:r>
          </w:p>
        </w:tc>
        <w:tc>
          <w:tcPr>
            <w:vAlign w:val="center"/>
          </w:tcPr>
          <w:p>
            <w:pPr>
              <w:jc w:val="center"/>
            </w:pPr>
            <w:r>
              <w:rPr>
                <w:color w:val="000000"/>
                <w:sz w:val="24"/>
                <w:szCs w:val="24"/>
              </w:rPr>
              <w:t>保利地产</w:t>
            </w:r>
          </w:p>
        </w:tc>
        <w:tc>
          <w:tcPr>
            <w:vAlign w:val="center"/>
          </w:tcPr>
          <w:p>
            <w:pPr>
              <w:jc w:val="right"/>
            </w:pPr>
            <w:r>
              <w:rPr>
                <w:color w:val="000000"/>
                <w:sz w:val="24"/>
                <w:szCs w:val="24"/>
              </w:rPr>
              <w:t>33,024,560</w:t>
            </w:r>
          </w:p>
        </w:tc>
        <w:tc>
          <w:tcPr>
            <w:vAlign w:val="center"/>
          </w:tcPr>
          <w:p>
            <w:pPr>
              <w:jc w:val="right"/>
            </w:pPr>
            <w:r>
              <w:rPr>
                <w:color w:val="000000"/>
                <w:sz w:val="24"/>
                <w:szCs w:val="24"/>
              </w:rPr>
              <w:t>524,760,258.40</w:t>
            </w:r>
          </w:p>
        </w:tc>
        <w:tc>
          <w:tcPr>
            <w:vAlign w:val="center"/>
          </w:tcPr>
          <w:p>
            <w:pPr>
              <w:jc w:val="right"/>
            </w:pPr>
            <w:r>
              <w:rPr>
                <w:color w:val="000000"/>
                <w:sz w:val="24"/>
                <w:szCs w:val="24"/>
              </w:rPr>
              <w:t>5.95</w:t>
            </w:r>
          </w:p>
        </w:tc>
      </w:tr>
      <w:tr>
        <w:tc>
          <w:tcPr>
            <w:vAlign w:val="center"/>
          </w:tcPr>
          <w:p>
            <w:pPr>
              <w:jc w:val="center"/>
            </w:pPr>
            <w:r>
              <w:rPr>
                <w:color w:val="000000"/>
                <w:sz w:val="24"/>
                <w:szCs w:val="24"/>
              </w:rPr>
              <w:t>4</w:t>
            </w:r>
          </w:p>
        </w:tc>
        <w:tc>
          <w:tcPr>
            <w:vAlign w:val="center"/>
          </w:tcPr>
          <w:p>
            <w:pPr>
              <w:jc w:val="center"/>
            </w:pPr>
            <w:r>
              <w:rPr>
                <w:color w:val="000000"/>
                <w:sz w:val="24"/>
                <w:szCs w:val="24"/>
              </w:rPr>
              <w:t>002049</w:t>
            </w:r>
          </w:p>
        </w:tc>
        <w:tc>
          <w:tcPr>
            <w:vAlign w:val="center"/>
          </w:tcPr>
          <w:p>
            <w:pPr>
              <w:jc w:val="center"/>
            </w:pPr>
            <w:r>
              <w:rPr>
                <w:color w:val="000000"/>
                <w:sz w:val="24"/>
                <w:szCs w:val="24"/>
              </w:rPr>
              <w:t>紫光国微</w:t>
            </w:r>
          </w:p>
        </w:tc>
        <w:tc>
          <w:tcPr>
            <w:vAlign w:val="center"/>
          </w:tcPr>
          <w:p>
            <w:pPr>
              <w:jc w:val="right"/>
            </w:pPr>
            <w:r>
              <w:rPr>
                <w:color w:val="000000"/>
                <w:sz w:val="24"/>
                <w:szCs w:val="24"/>
              </w:rPr>
              <w:t>4,099,269</w:t>
            </w:r>
          </w:p>
        </w:tc>
        <w:tc>
          <w:tcPr>
            <w:vAlign w:val="center"/>
          </w:tcPr>
          <w:p>
            <w:pPr>
              <w:jc w:val="right"/>
            </w:pPr>
            <w:r>
              <w:rPr>
                <w:color w:val="000000"/>
                <w:sz w:val="24"/>
                <w:szCs w:val="24"/>
              </w:rPr>
              <w:t>486,911,171.82</w:t>
            </w:r>
          </w:p>
        </w:tc>
        <w:tc>
          <w:tcPr>
            <w:vAlign w:val="center"/>
          </w:tcPr>
          <w:p>
            <w:pPr>
              <w:jc w:val="right"/>
            </w:pPr>
            <w:r>
              <w:rPr>
                <w:color w:val="000000"/>
                <w:sz w:val="24"/>
                <w:szCs w:val="24"/>
              </w:rPr>
              <w:t>5.52</w:t>
            </w:r>
          </w:p>
        </w:tc>
      </w:tr>
      <w:tr>
        <w:tc>
          <w:tcPr>
            <w:vAlign w:val="center"/>
          </w:tcPr>
          <w:p>
            <w:pPr>
              <w:jc w:val="center"/>
            </w:pPr>
            <w:r>
              <w:rPr>
                <w:color w:val="000000"/>
                <w:sz w:val="24"/>
                <w:szCs w:val="24"/>
              </w:rPr>
              <w:t>5</w:t>
            </w:r>
          </w:p>
        </w:tc>
        <w:tc>
          <w:tcPr>
            <w:vAlign w:val="center"/>
          </w:tcPr>
          <w:p>
            <w:pPr>
              <w:jc w:val="center"/>
            </w:pPr>
            <w:r>
              <w:rPr>
                <w:color w:val="000000"/>
                <w:sz w:val="24"/>
                <w:szCs w:val="24"/>
              </w:rPr>
              <w:t>002831</w:t>
            </w:r>
          </w:p>
        </w:tc>
        <w:tc>
          <w:tcPr>
            <w:vAlign w:val="center"/>
          </w:tcPr>
          <w:p>
            <w:pPr>
              <w:jc w:val="center"/>
            </w:pPr>
            <w:r>
              <w:rPr>
                <w:color w:val="000000"/>
                <w:sz w:val="24"/>
                <w:szCs w:val="24"/>
              </w:rPr>
              <w:t>裕同科技</w:t>
            </w:r>
          </w:p>
        </w:tc>
        <w:tc>
          <w:tcPr>
            <w:vAlign w:val="center"/>
          </w:tcPr>
          <w:p>
            <w:pPr>
              <w:jc w:val="right"/>
            </w:pPr>
            <w:r>
              <w:rPr>
                <w:color w:val="000000"/>
                <w:sz w:val="24"/>
                <w:szCs w:val="24"/>
              </w:rPr>
              <w:t>13,774,974</w:t>
            </w:r>
          </w:p>
        </w:tc>
        <w:tc>
          <w:tcPr>
            <w:vAlign w:val="center"/>
          </w:tcPr>
          <w:p>
            <w:pPr>
              <w:jc w:val="right"/>
            </w:pPr>
            <w:r>
              <w:rPr>
                <w:color w:val="000000"/>
                <w:sz w:val="24"/>
                <w:szCs w:val="24"/>
              </w:rPr>
              <w:t>437,355,424.50</w:t>
            </w:r>
          </w:p>
        </w:tc>
        <w:tc>
          <w:tcPr>
            <w:vAlign w:val="center"/>
          </w:tcPr>
          <w:p>
            <w:pPr>
              <w:jc w:val="right"/>
            </w:pPr>
            <w:r>
              <w:rPr>
                <w:color w:val="000000"/>
                <w:sz w:val="24"/>
                <w:szCs w:val="24"/>
              </w:rPr>
              <w:t>4.96</w:t>
            </w:r>
          </w:p>
        </w:tc>
      </w:tr>
      <w:tr>
        <w:tc>
          <w:tcPr>
            <w:vAlign w:val="center"/>
          </w:tcPr>
          <w:p>
            <w:pPr>
              <w:jc w:val="center"/>
            </w:pPr>
            <w:r>
              <w:rPr>
                <w:color w:val="000000"/>
                <w:sz w:val="24"/>
                <w:szCs w:val="24"/>
              </w:rPr>
              <w:t>6</w:t>
            </w:r>
          </w:p>
        </w:tc>
        <w:tc>
          <w:tcPr>
            <w:vAlign w:val="center"/>
          </w:tcPr>
          <w:p>
            <w:pPr>
              <w:jc w:val="center"/>
            </w:pPr>
            <w:r>
              <w:rPr>
                <w:color w:val="000000"/>
                <w:sz w:val="24"/>
                <w:szCs w:val="24"/>
              </w:rPr>
              <w:t>600383</w:t>
            </w:r>
          </w:p>
        </w:tc>
        <w:tc>
          <w:tcPr>
            <w:vAlign w:val="center"/>
          </w:tcPr>
          <w:p>
            <w:pPr>
              <w:jc w:val="center"/>
            </w:pPr>
            <w:r>
              <w:rPr>
                <w:color w:val="000000"/>
                <w:sz w:val="24"/>
                <w:szCs w:val="24"/>
              </w:rPr>
              <w:t>金地集团</w:t>
            </w:r>
          </w:p>
        </w:tc>
        <w:tc>
          <w:tcPr>
            <w:vAlign w:val="center"/>
          </w:tcPr>
          <w:p>
            <w:pPr>
              <w:jc w:val="right"/>
            </w:pPr>
            <w:r>
              <w:rPr>
                <w:color w:val="000000"/>
                <w:sz w:val="24"/>
                <w:szCs w:val="24"/>
              </w:rPr>
              <w:t>29,708,050</w:t>
            </w:r>
          </w:p>
        </w:tc>
        <w:tc>
          <w:tcPr>
            <w:vAlign w:val="center"/>
          </w:tcPr>
          <w:p>
            <w:pPr>
              <w:jc w:val="right"/>
            </w:pPr>
            <w:r>
              <w:rPr>
                <w:color w:val="000000"/>
                <w:sz w:val="24"/>
                <w:szCs w:val="24"/>
              </w:rPr>
              <w:t>432,252,127.50</w:t>
            </w:r>
          </w:p>
        </w:tc>
        <w:tc>
          <w:tcPr>
            <w:vAlign w:val="center"/>
          </w:tcPr>
          <w:p>
            <w:pPr>
              <w:jc w:val="right"/>
            </w:pPr>
            <w:r>
              <w:rPr>
                <w:color w:val="000000"/>
                <w:sz w:val="24"/>
                <w:szCs w:val="24"/>
              </w:rPr>
              <w:t>4.90</w:t>
            </w:r>
          </w:p>
        </w:tc>
      </w:tr>
      <w:tr>
        <w:tc>
          <w:tcPr>
            <w:vAlign w:val="center"/>
          </w:tcPr>
          <w:p>
            <w:pPr>
              <w:jc w:val="center"/>
            </w:pPr>
            <w:r>
              <w:rPr>
                <w:color w:val="000000"/>
                <w:sz w:val="24"/>
                <w:szCs w:val="24"/>
              </w:rPr>
              <w:t>7</w:t>
            </w:r>
          </w:p>
        </w:tc>
        <w:tc>
          <w:tcPr>
            <w:vAlign w:val="center"/>
          </w:tcPr>
          <w:p>
            <w:pPr>
              <w:jc w:val="center"/>
            </w:pPr>
            <w:r>
              <w:rPr>
                <w:color w:val="000000"/>
                <w:sz w:val="24"/>
                <w:szCs w:val="24"/>
              </w:rPr>
              <w:t>300271</w:t>
            </w:r>
          </w:p>
        </w:tc>
        <w:tc>
          <w:tcPr>
            <w:vAlign w:val="center"/>
          </w:tcPr>
          <w:p>
            <w:pPr>
              <w:jc w:val="center"/>
            </w:pPr>
            <w:r>
              <w:rPr>
                <w:color w:val="000000"/>
                <w:sz w:val="24"/>
                <w:szCs w:val="24"/>
              </w:rPr>
              <w:t>华宇软件</w:t>
            </w:r>
          </w:p>
        </w:tc>
        <w:tc>
          <w:tcPr>
            <w:vAlign w:val="center"/>
          </w:tcPr>
          <w:p>
            <w:pPr>
              <w:jc w:val="right"/>
            </w:pPr>
            <w:r>
              <w:rPr>
                <w:color w:val="000000"/>
                <w:sz w:val="24"/>
                <w:szCs w:val="24"/>
              </w:rPr>
              <w:t>16,955,506</w:t>
            </w:r>
          </w:p>
        </w:tc>
        <w:tc>
          <w:tcPr>
            <w:vAlign w:val="center"/>
          </w:tcPr>
          <w:p>
            <w:pPr>
              <w:jc w:val="right"/>
            </w:pPr>
            <w:r>
              <w:rPr>
                <w:color w:val="000000"/>
                <w:sz w:val="24"/>
                <w:szCs w:val="24"/>
              </w:rPr>
              <w:t>405,067,038.34</w:t>
            </w:r>
          </w:p>
        </w:tc>
        <w:tc>
          <w:tcPr>
            <w:vAlign w:val="center"/>
          </w:tcPr>
          <w:p>
            <w:pPr>
              <w:jc w:val="right"/>
            </w:pPr>
            <w:r>
              <w:rPr>
                <w:color w:val="000000"/>
                <w:sz w:val="24"/>
                <w:szCs w:val="24"/>
              </w:rPr>
              <w:t>4.59</w:t>
            </w:r>
          </w:p>
        </w:tc>
      </w:tr>
      <w:tr>
        <w:tc>
          <w:tcPr>
            <w:vAlign w:val="center"/>
          </w:tcPr>
          <w:p>
            <w:pPr>
              <w:jc w:val="center"/>
            </w:pPr>
            <w:r>
              <w:rPr>
                <w:color w:val="000000"/>
                <w:sz w:val="24"/>
                <w:szCs w:val="24"/>
              </w:rPr>
              <w:t>8</w:t>
            </w:r>
          </w:p>
        </w:tc>
        <w:tc>
          <w:tcPr>
            <w:vAlign w:val="center"/>
          </w:tcPr>
          <w:p>
            <w:pPr>
              <w:jc w:val="center"/>
            </w:pPr>
            <w:r>
              <w:rPr>
                <w:color w:val="000000"/>
                <w:sz w:val="24"/>
                <w:szCs w:val="24"/>
              </w:rPr>
              <w:t>002352</w:t>
            </w:r>
          </w:p>
        </w:tc>
        <w:tc>
          <w:tcPr>
            <w:vAlign w:val="center"/>
          </w:tcPr>
          <w:p>
            <w:pPr>
              <w:jc w:val="center"/>
            </w:pPr>
            <w:r>
              <w:rPr>
                <w:color w:val="000000"/>
                <w:sz w:val="24"/>
                <w:szCs w:val="24"/>
              </w:rPr>
              <w:t>顺丰控股</w:t>
            </w:r>
          </w:p>
        </w:tc>
        <w:tc>
          <w:tcPr>
            <w:vAlign w:val="center"/>
          </w:tcPr>
          <w:p>
            <w:pPr>
              <w:jc w:val="right"/>
            </w:pPr>
            <w:r>
              <w:rPr>
                <w:color w:val="000000"/>
                <w:sz w:val="24"/>
                <w:szCs w:val="24"/>
              </w:rPr>
              <w:t>4,940,903</w:t>
            </w:r>
          </w:p>
        </w:tc>
        <w:tc>
          <w:tcPr>
            <w:vAlign w:val="center"/>
          </w:tcPr>
          <w:p>
            <w:pPr>
              <w:jc w:val="right"/>
            </w:pPr>
            <w:r>
              <w:rPr>
                <w:color w:val="000000"/>
                <w:sz w:val="24"/>
                <w:szCs w:val="24"/>
              </w:rPr>
              <w:t>397,801,323.60</w:t>
            </w:r>
          </w:p>
        </w:tc>
        <w:tc>
          <w:tcPr>
            <w:vAlign w:val="center"/>
          </w:tcPr>
          <w:p>
            <w:pPr>
              <w:jc w:val="right"/>
            </w:pPr>
            <w:r>
              <w:rPr>
                <w:color w:val="000000"/>
                <w:sz w:val="24"/>
                <w:szCs w:val="24"/>
              </w:rPr>
              <w:t>4.51</w:t>
            </w:r>
          </w:p>
        </w:tc>
      </w:tr>
      <w:tr>
        <w:tc>
          <w:tcPr>
            <w:vAlign w:val="center"/>
          </w:tcPr>
          <w:p>
            <w:pPr>
              <w:jc w:val="center"/>
            </w:pPr>
            <w:r>
              <w:rPr>
                <w:color w:val="000000"/>
                <w:sz w:val="24"/>
                <w:szCs w:val="24"/>
              </w:rPr>
              <w:t>9</w:t>
            </w:r>
          </w:p>
        </w:tc>
        <w:tc>
          <w:tcPr>
            <w:vAlign w:val="center"/>
          </w:tcPr>
          <w:p>
            <w:pPr>
              <w:jc w:val="center"/>
            </w:pPr>
            <w:r>
              <w:rPr>
                <w:color w:val="000000"/>
                <w:sz w:val="24"/>
                <w:szCs w:val="24"/>
              </w:rPr>
              <w:t>000961</w:t>
            </w:r>
          </w:p>
        </w:tc>
        <w:tc>
          <w:tcPr>
            <w:vAlign w:val="center"/>
          </w:tcPr>
          <w:p>
            <w:pPr>
              <w:jc w:val="center"/>
            </w:pPr>
            <w:r>
              <w:rPr>
                <w:color w:val="000000"/>
                <w:sz w:val="24"/>
                <w:szCs w:val="24"/>
              </w:rPr>
              <w:t>中南建设</w:t>
            </w:r>
          </w:p>
        </w:tc>
        <w:tc>
          <w:tcPr>
            <w:vAlign w:val="center"/>
          </w:tcPr>
          <w:p>
            <w:pPr>
              <w:jc w:val="right"/>
            </w:pPr>
            <w:r>
              <w:rPr>
                <w:color w:val="000000"/>
                <w:sz w:val="24"/>
                <w:szCs w:val="24"/>
              </w:rPr>
              <w:t>41,258,259</w:t>
            </w:r>
          </w:p>
        </w:tc>
        <w:tc>
          <w:tcPr>
            <w:vAlign w:val="center"/>
          </w:tcPr>
          <w:p>
            <w:pPr>
              <w:jc w:val="right"/>
            </w:pPr>
            <w:r>
              <w:rPr>
                <w:color w:val="000000"/>
                <w:sz w:val="24"/>
                <w:szCs w:val="24"/>
              </w:rPr>
              <w:t>378,338,235.03</w:t>
            </w:r>
          </w:p>
        </w:tc>
        <w:tc>
          <w:tcPr>
            <w:vAlign w:val="center"/>
          </w:tcPr>
          <w:p>
            <w:pPr>
              <w:jc w:val="right"/>
            </w:pPr>
            <w:r>
              <w:rPr>
                <w:color w:val="000000"/>
                <w:sz w:val="24"/>
                <w:szCs w:val="24"/>
              </w:rPr>
              <w:t>4.29</w:t>
            </w:r>
          </w:p>
        </w:tc>
      </w:tr>
      <w:tr>
        <w:tc>
          <w:tcPr>
            <w:vAlign w:val="center"/>
          </w:tcPr>
          <w:p>
            <w:pPr>
              <w:jc w:val="center"/>
            </w:pPr>
            <w:r>
              <w:rPr>
                <w:color w:val="000000"/>
                <w:sz w:val="24"/>
                <w:szCs w:val="24"/>
              </w:rPr>
              <w:t>10</w:t>
            </w:r>
          </w:p>
        </w:tc>
        <w:tc>
          <w:tcPr>
            <w:vAlign w:val="center"/>
          </w:tcPr>
          <w:p>
            <w:pPr>
              <w:jc w:val="center"/>
            </w:pPr>
            <w:r>
              <w:rPr>
                <w:color w:val="000000"/>
                <w:sz w:val="24"/>
                <w:szCs w:val="24"/>
              </w:rPr>
              <w:t>300188</w:t>
            </w:r>
          </w:p>
        </w:tc>
        <w:tc>
          <w:tcPr>
            <w:vAlign w:val="center"/>
          </w:tcPr>
          <w:p>
            <w:pPr>
              <w:jc w:val="center"/>
            </w:pPr>
            <w:r>
              <w:rPr>
                <w:color w:val="000000"/>
                <w:sz w:val="24"/>
                <w:szCs w:val="24"/>
              </w:rPr>
              <w:t>美亚柏科</w:t>
            </w:r>
          </w:p>
        </w:tc>
        <w:tc>
          <w:tcPr>
            <w:vAlign w:val="center"/>
          </w:tcPr>
          <w:p>
            <w:pPr>
              <w:jc w:val="right"/>
            </w:pPr>
            <w:r>
              <w:rPr>
                <w:color w:val="000000"/>
                <w:sz w:val="24"/>
                <w:szCs w:val="24"/>
              </w:rPr>
              <w:t>16,643,500</w:t>
            </w:r>
          </w:p>
        </w:tc>
        <w:tc>
          <w:tcPr>
            <w:vAlign w:val="center"/>
          </w:tcPr>
          <w:p>
            <w:pPr>
              <w:jc w:val="right"/>
            </w:pPr>
            <w:r>
              <w:rPr>
                <w:color w:val="000000"/>
                <w:sz w:val="24"/>
                <w:szCs w:val="24"/>
              </w:rPr>
              <w:t>331,039,215.00</w:t>
            </w:r>
          </w:p>
        </w:tc>
        <w:tc>
          <w:tcPr>
            <w:vAlign w:val="center"/>
          </w:tcPr>
          <w:p>
            <w:pPr>
              <w:jc w:val="right"/>
            </w:pPr>
            <w:r>
              <w:rPr>
                <w:color w:val="000000"/>
                <w:sz w:val="24"/>
                <w:szCs w:val="24"/>
              </w:rPr>
              <w:t>3.75</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9C1009" w:rsidR="00CE7169" w:rsidRDefault="009C1009" w:rsidRPr="00CE716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Look w:firstColumn="1" w:firstRow="1" w:lastColumn="0" w:lastRow="0" w:noHBand="0" w:noVBand="1"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429,026,000.00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4.86</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429,026,000.00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4.86</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62,444.60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0.00</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429,088,444.60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4.86</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9C1009" w:rsidR="005B4C8F" w:rsidRDefault="009C1009" w:rsidRPr="005B4C8F">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w:t>
            </w:r>
            <w:r w:rsidRPr="00414345">
              <w:rPr>
                <w:color w:val="000000"/>
                <w:sz w:val="24"/>
                <w:szCs w:val="24"/>
              </w:rPr>
              <w:lastRenderedPageBreak/>
              <w:t>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190307</w:t>
            </w:r>
          </w:p>
        </w:tc>
        <w:tc>
          <w:tcPr>
            <w:vAlign w:val="center"/>
          </w:tcPr>
          <w:p>
            <w:pPr>
              <w:jc w:val="center"/>
            </w:pPr>
            <w:r>
              <w:rPr>
                <w:color w:val="000000"/>
                <w:sz w:val="24"/>
                <w:szCs w:val="24"/>
              </w:rPr>
              <w:t>19进出07</w:t>
            </w:r>
          </w:p>
        </w:tc>
        <w:tc>
          <w:tcPr>
            <w:vAlign w:val="center"/>
          </w:tcPr>
          <w:p>
            <w:pPr>
              <w:jc w:val="right"/>
            </w:pPr>
            <w:r>
              <w:rPr>
                <w:color w:val="000000"/>
                <w:sz w:val="24"/>
                <w:szCs w:val="24"/>
              </w:rPr>
              <w:t>1,800,000</w:t>
            </w:r>
          </w:p>
        </w:tc>
        <w:tc>
          <w:tcPr>
            <w:vAlign w:val="center"/>
          </w:tcPr>
          <w:p>
            <w:pPr>
              <w:jc w:val="right"/>
            </w:pPr>
            <w:r>
              <w:rPr>
                <w:color w:val="000000"/>
                <w:sz w:val="24"/>
                <w:szCs w:val="24"/>
              </w:rPr>
              <w:t>180,054,000.00</w:t>
            </w:r>
          </w:p>
        </w:tc>
        <w:tc>
          <w:tcPr>
            <w:vAlign w:val="center"/>
          </w:tcPr>
          <w:p>
            <w:pPr>
              <w:jc w:val="right"/>
            </w:pPr>
            <w:r>
              <w:rPr>
                <w:color w:val="000000"/>
                <w:sz w:val="24"/>
                <w:szCs w:val="24"/>
              </w:rPr>
              <w:t>2.04</w:t>
            </w:r>
          </w:p>
        </w:tc>
      </w:tr>
      <w:tr>
        <w:tc>
          <w:tcPr>
            <w:vAlign w:val="center"/>
          </w:tcPr>
          <w:p>
            <w:pPr>
              <w:jc w:val="center"/>
            </w:pPr>
            <w:r>
              <w:rPr>
                <w:color w:val="000000"/>
                <w:sz w:val="24"/>
                <w:szCs w:val="24"/>
              </w:rPr>
              <w:t>2</w:t>
            </w:r>
          </w:p>
        </w:tc>
        <w:tc>
          <w:tcPr>
            <w:vAlign w:val="center"/>
          </w:tcPr>
          <w:p>
            <w:pPr>
              <w:jc w:val="center"/>
            </w:pPr>
            <w:r>
              <w:rPr>
                <w:color w:val="000000"/>
                <w:sz w:val="24"/>
                <w:szCs w:val="24"/>
              </w:rPr>
              <w:t>200406</w:t>
            </w:r>
          </w:p>
        </w:tc>
        <w:tc>
          <w:tcPr>
            <w:vAlign w:val="center"/>
          </w:tcPr>
          <w:p>
            <w:pPr>
              <w:jc w:val="center"/>
            </w:pPr>
            <w:r>
              <w:rPr>
                <w:color w:val="000000"/>
                <w:sz w:val="24"/>
                <w:szCs w:val="24"/>
              </w:rPr>
              <w:t>20农发06</w:t>
            </w:r>
          </w:p>
        </w:tc>
        <w:tc>
          <w:tcPr>
            <w:vAlign w:val="center"/>
          </w:tcPr>
          <w:p>
            <w:pPr>
              <w:jc w:val="right"/>
            </w:pPr>
            <w:r>
              <w:rPr>
                <w:color w:val="000000"/>
                <w:sz w:val="24"/>
                <w:szCs w:val="24"/>
              </w:rPr>
              <w:t>800,000</w:t>
            </w:r>
          </w:p>
        </w:tc>
        <w:tc>
          <w:tcPr>
            <w:vAlign w:val="center"/>
          </w:tcPr>
          <w:p>
            <w:pPr>
              <w:jc w:val="right"/>
            </w:pPr>
            <w:r>
              <w:rPr>
                <w:color w:val="000000"/>
                <w:sz w:val="24"/>
                <w:szCs w:val="24"/>
              </w:rPr>
              <w:t>79,576,000.00</w:t>
            </w:r>
          </w:p>
        </w:tc>
        <w:tc>
          <w:tcPr>
            <w:vAlign w:val="center"/>
          </w:tcPr>
          <w:p>
            <w:pPr>
              <w:jc w:val="right"/>
            </w:pPr>
            <w:r>
              <w:rPr>
                <w:color w:val="000000"/>
                <w:sz w:val="24"/>
                <w:szCs w:val="24"/>
              </w:rPr>
              <w:t>0.90</w:t>
            </w:r>
          </w:p>
        </w:tc>
      </w:tr>
      <w:tr>
        <w:tc>
          <w:tcPr>
            <w:vAlign w:val="center"/>
          </w:tcPr>
          <w:p>
            <w:pPr>
              <w:jc w:val="center"/>
            </w:pPr>
            <w:r>
              <w:rPr>
                <w:color w:val="000000"/>
                <w:sz w:val="24"/>
                <w:szCs w:val="24"/>
              </w:rPr>
              <w:t>3</w:t>
            </w:r>
          </w:p>
        </w:tc>
        <w:tc>
          <w:tcPr>
            <w:vAlign w:val="center"/>
          </w:tcPr>
          <w:p>
            <w:pPr>
              <w:jc w:val="center"/>
            </w:pPr>
            <w:r>
              <w:rPr>
                <w:color w:val="000000"/>
                <w:sz w:val="24"/>
                <w:szCs w:val="24"/>
              </w:rPr>
              <w:t>207703</w:t>
            </w:r>
          </w:p>
        </w:tc>
        <w:tc>
          <w:tcPr>
            <w:vAlign w:val="center"/>
          </w:tcPr>
          <w:p>
            <w:pPr>
              <w:jc w:val="center"/>
            </w:pPr>
            <w:r>
              <w:rPr>
                <w:color w:val="000000"/>
                <w:sz w:val="24"/>
                <w:szCs w:val="24"/>
              </w:rPr>
              <w:t>20贴现国开03</w:t>
            </w:r>
          </w:p>
        </w:tc>
        <w:tc>
          <w:tcPr>
            <w:vAlign w:val="center"/>
          </w:tcPr>
          <w:p>
            <w:pPr>
              <w:jc w:val="right"/>
            </w:pPr>
            <w:r>
              <w:rPr>
                <w:color w:val="000000"/>
                <w:sz w:val="24"/>
                <w:szCs w:val="24"/>
              </w:rPr>
              <w:t>600,000</w:t>
            </w:r>
          </w:p>
        </w:tc>
        <w:tc>
          <w:tcPr>
            <w:vAlign w:val="center"/>
          </w:tcPr>
          <w:p>
            <w:pPr>
              <w:jc w:val="right"/>
            </w:pPr>
            <w:r>
              <w:rPr>
                <w:color w:val="000000"/>
                <w:sz w:val="24"/>
                <w:szCs w:val="24"/>
              </w:rPr>
              <w:t>59,670,000.00</w:t>
            </w:r>
          </w:p>
        </w:tc>
        <w:tc>
          <w:tcPr>
            <w:vAlign w:val="center"/>
          </w:tcPr>
          <w:p>
            <w:pPr>
              <w:jc w:val="right"/>
            </w:pPr>
            <w:r>
              <w:rPr>
                <w:color w:val="000000"/>
                <w:sz w:val="24"/>
                <w:szCs w:val="24"/>
              </w:rPr>
              <w:t>0.68</w:t>
            </w:r>
          </w:p>
        </w:tc>
      </w:tr>
      <w:tr>
        <w:tc>
          <w:tcPr>
            <w:vAlign w:val="center"/>
          </w:tcPr>
          <w:p>
            <w:pPr>
              <w:jc w:val="center"/>
            </w:pPr>
            <w:r>
              <w:rPr>
                <w:color w:val="000000"/>
                <w:sz w:val="24"/>
                <w:szCs w:val="24"/>
              </w:rPr>
              <w:t>4</w:t>
            </w:r>
          </w:p>
        </w:tc>
        <w:tc>
          <w:tcPr>
            <w:vAlign w:val="center"/>
          </w:tcPr>
          <w:p>
            <w:pPr>
              <w:jc w:val="center"/>
            </w:pPr>
            <w:r>
              <w:rPr>
                <w:color w:val="000000"/>
                <w:sz w:val="24"/>
                <w:szCs w:val="24"/>
              </w:rPr>
              <w:t>200201</w:t>
            </w:r>
          </w:p>
        </w:tc>
        <w:tc>
          <w:tcPr>
            <w:vAlign w:val="center"/>
          </w:tcPr>
          <w:p>
            <w:pPr>
              <w:jc w:val="center"/>
            </w:pPr>
            <w:r>
              <w:rPr>
                <w:color w:val="000000"/>
                <w:sz w:val="24"/>
                <w:szCs w:val="24"/>
              </w:rPr>
              <w:t>20国开01</w:t>
            </w:r>
          </w:p>
        </w:tc>
        <w:tc>
          <w:tcPr>
            <w:vAlign w:val="center"/>
          </w:tcPr>
          <w:p>
            <w:pPr>
              <w:jc w:val="right"/>
            </w:pPr>
            <w:r>
              <w:rPr>
                <w:color w:val="000000"/>
                <w:sz w:val="24"/>
                <w:szCs w:val="24"/>
              </w:rPr>
              <w:t>500,000</w:t>
            </w:r>
          </w:p>
        </w:tc>
        <w:tc>
          <w:tcPr>
            <w:vAlign w:val="center"/>
          </w:tcPr>
          <w:p>
            <w:pPr>
              <w:jc w:val="right"/>
            </w:pPr>
            <w:r>
              <w:rPr>
                <w:color w:val="000000"/>
                <w:sz w:val="24"/>
                <w:szCs w:val="24"/>
              </w:rPr>
              <w:t>49,970,000.00</w:t>
            </w:r>
          </w:p>
        </w:tc>
        <w:tc>
          <w:tcPr>
            <w:vAlign w:val="center"/>
          </w:tcPr>
          <w:p>
            <w:pPr>
              <w:jc w:val="right"/>
            </w:pPr>
            <w:r>
              <w:rPr>
                <w:color w:val="000000"/>
                <w:sz w:val="24"/>
                <w:szCs w:val="24"/>
              </w:rPr>
              <w:t>0.57</w:t>
            </w:r>
          </w:p>
        </w:tc>
      </w:tr>
      <w:tr>
        <w:tc>
          <w:tcPr>
            <w:vAlign w:val="center"/>
          </w:tcPr>
          <w:p>
            <w:pPr>
              <w:jc w:val="center"/>
            </w:pPr>
            <w:r>
              <w:rPr>
                <w:color w:val="000000"/>
                <w:sz w:val="24"/>
                <w:szCs w:val="24"/>
              </w:rPr>
              <w:t>5</w:t>
            </w:r>
          </w:p>
        </w:tc>
        <w:tc>
          <w:tcPr>
            <w:vAlign w:val="center"/>
          </w:tcPr>
          <w:p>
            <w:pPr>
              <w:jc w:val="center"/>
            </w:pPr>
            <w:r>
              <w:rPr>
                <w:color w:val="000000"/>
                <w:sz w:val="24"/>
                <w:szCs w:val="24"/>
              </w:rPr>
              <w:t>200304</w:t>
            </w:r>
          </w:p>
        </w:tc>
        <w:tc>
          <w:tcPr>
            <w:vAlign w:val="center"/>
          </w:tcPr>
          <w:p>
            <w:pPr>
              <w:jc w:val="center"/>
            </w:pPr>
            <w:r>
              <w:rPr>
                <w:color w:val="000000"/>
                <w:sz w:val="24"/>
                <w:szCs w:val="24"/>
              </w:rPr>
              <w:t>20进出04</w:t>
            </w:r>
          </w:p>
        </w:tc>
        <w:tc>
          <w:tcPr>
            <w:vAlign w:val="center"/>
          </w:tcPr>
          <w:p>
            <w:pPr>
              <w:jc w:val="right"/>
            </w:pPr>
            <w:r>
              <w:rPr>
                <w:color w:val="000000"/>
                <w:sz w:val="24"/>
                <w:szCs w:val="24"/>
              </w:rPr>
              <w:t>400,000</w:t>
            </w:r>
          </w:p>
        </w:tc>
        <w:tc>
          <w:tcPr>
            <w:vAlign w:val="center"/>
          </w:tcPr>
          <w:p>
            <w:pPr>
              <w:jc w:val="right"/>
            </w:pPr>
            <w:r>
              <w:rPr>
                <w:color w:val="000000"/>
                <w:sz w:val="24"/>
                <w:szCs w:val="24"/>
              </w:rPr>
              <w:t>39,876,000.00</w:t>
            </w:r>
          </w:p>
        </w:tc>
        <w:tc>
          <w:tcPr>
            <w:vAlign w:val="center"/>
          </w:tcPr>
          <w:p>
            <w:pPr>
              <w:jc w:val="right"/>
            </w:pPr>
            <w:r>
              <w:rPr>
                <w:color w:val="000000"/>
                <w:sz w:val="24"/>
                <w:szCs w:val="24"/>
              </w:rPr>
              <w:t>0.45</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34FB5">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P="00E40D31" w:rsidR="00BE5388" w:rsidRDefault="00BE5388" w:rsidRPr="00AA3969">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bookmarkStart w:id="2" w:name="_GoBack"/>
      <w:r w:rsidRPr="00AA3969">
        <w:rPr>
          <w:bCs/>
          <w:color w:val="000000"/>
          <w:kern w:val="0"/>
          <w:sz w:val="24"/>
          <w:szCs w:val="24"/>
        </w:rPr>
        <w:t>本基金投资的前十名股票中，没有超出基金合同规定的备选股票库之外的股票。</w:t>
      </w:r>
    </w:p>
    <w:bookmarkEnd w:id="2"/>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P="00DD7A00" w:rsidR="00DD7A00" w:rsidRDefault="004A0AA9" w:rsidRPr="00414345">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
      </w:r>
      <w:r w:rsidRPr="004A0AA9">
        <w:rPr>
          <w:rFonts w:hint="eastAsia"/>
          <w:bCs/>
          <w:color w:val="000000"/>
          <w:kern w:val="0"/>
          <w:sz w:val="24"/>
          <w:szCs w:val="24"/>
        </w:rPr>
        <w:t>金额单位：人民币元</w:t>
      </w:r>
    </w:p>
    <w:tbl>
      <w:tblPr>
        <w:tblStyle w:val="af7"/>
        <w:tblpPr w:horzAnchor="margin" w:leftFromText="180" w:rightFromText="180" w:tblpXSpec="center" w:tblpY="265" w:vertAnchor="text"/>
        <w:tblW w:type="dxa" w:w="8868"/>
        <w:jc w:val="center"/>
        <w:tblLayout w:type="fixed"/>
        <w:tblCellMar>
          <w:top w:type="dxa" w:w="-1"/>
          <w:bottom w:type="dxa" w:w="-1"/>
        </w:tblCellMar>
        <w:tblLook w:firstColumn="1" w:firstRow="1" w:lastColumn="0" w:lastRow="0" w:noHBand="0" w:noVBand="1"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2,781,441.72</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60,193,684.39</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6,385,783.79</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13,988,543.33</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83,349,453.23</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P="00173B44" w:rsidR="00173B44" w:rsidRDefault="00173B44" w:rsidRPr="00414345">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
      </w:r>
      <w:r w:rsidRPr="00173B44">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1883"/>
        <w:gridCol w:w="1801"/>
        <w:gridCol w:w="1727"/>
        <w:gridCol w:w="1768"/>
        <w:gridCol w:w="1689"/>
      </w:tblGrid>
      <w:tr w:rsidR="003E62FB" w:rsidRPr="00414345" w:rsidTr="00A324F4">
        <w:trPr>
          <w:jc w:val="center"/>
        </w:trPr>
        <w:tc>
          <w:tcPr>
            <w:tcW w:type="dxa" w:w="180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729"/>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65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69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62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9D1BD9">
              <w:rPr>
                <w:rFonts w:hint="eastAsia"/>
                <w:color w:val="000000"/>
                <w:sz w:val="24"/>
                <w:szCs w:val="24"/>
              </w:rPr>
              <w:t>(</w:t>
            </w:r>
            <w:r w:rsidR="009D1BD9">
              <w:rPr>
                <w:color w:val="000000"/>
                <w:sz w:val="24"/>
                <w:szCs w:val="24"/>
              </w:rPr>
              <w:t>%</w:t>
            </w:r>
            <w:r w:rsidR="009D1BD9">
              <w:rPr>
                <w:rFonts w:hint="eastAsia"/>
                <w:color w:val="000000"/>
                <w:sz w:val="24"/>
                <w:szCs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113011</w:t>
            </w:r>
          </w:p>
        </w:tc>
        <w:tc>
          <w:tcPr>
            <w:vAlign w:val="center"/>
          </w:tcPr>
          <w:p>
            <w:pPr>
              <w:jc w:val="center"/>
            </w:pPr>
            <w:r>
              <w:rPr>
                <w:color w:val="000000"/>
                <w:sz w:val="24"/>
                <w:szCs w:val="24"/>
              </w:rPr>
              <w:t>光大转债</w:t>
            </w:r>
          </w:p>
        </w:tc>
        <w:tc>
          <w:tcPr>
            <w:vAlign w:val="center"/>
          </w:tcPr>
          <w:p>
            <w:pPr>
              <w:jc w:val="right"/>
            </w:pPr>
            <w:r>
              <w:rPr>
                <w:color w:val="000000"/>
                <w:sz w:val="24"/>
                <w:szCs w:val="24"/>
              </w:rPr>
              <w:t>62,444.60</w:t>
            </w:r>
          </w:p>
        </w:tc>
        <w:tc>
          <w:tcPr>
            <w:vAlign w:val="center"/>
          </w:tcPr>
          <w:p>
            <w:pPr>
              <w:jc w:val="right"/>
            </w:pPr>
            <w:r>
              <w:rPr>
                <w:color w:val="000000"/>
                <w:sz w:val="24"/>
                <w:szCs w:val="24"/>
              </w:rPr>
              <w:t>0.00</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P="00066A97" w:rsidR="00066A97" w:rsidRDefault="00066A97" w:rsidRPr="00414345">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
      </w:r>
      <w:r w:rsidRPr="00173B44">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1129"/>
        <w:gridCol w:w="1356"/>
        <w:gridCol w:w="1355"/>
        <w:gridCol w:w="1880"/>
        <w:gridCol w:w="1724"/>
        <w:gridCol w:w="1424"/>
      </w:tblGrid>
      <w:tr w:rsidR="003E62FB" w:rsidRPr="00414345" w:rsidTr="00BC216C">
        <w:trPr>
          <w:jc w:val="center"/>
        </w:trPr>
        <w:tc>
          <w:tcPr>
            <w:tcW w:type="dxa" w:w="1083"/>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302"/>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股票代码</w:t>
            </w:r>
          </w:p>
        </w:tc>
        <w:tc>
          <w:tcPr>
            <w:tcW w:type="dxa" w:w="13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股票名称</w:t>
            </w:r>
          </w:p>
        </w:tc>
        <w:tc>
          <w:tcPr>
            <w:tcW w:type="dxa" w:w="1805"/>
            <w:vAlign w:val="center"/>
          </w:tcPr>
          <w:p w:rsidP="00C15CAC" w:rsidR="003E62FB" w:rsidRDefault="003E62FB" w:rsidRPr="005F1F22">
            <w:pPr>
              <w:spacing w:before="29" w:line="288" w:lineRule="auto"/>
              <w:ind w:left="17"/>
              <w:jc w:val="center"/>
              <w:rPr>
                <w:color w:val="000000"/>
                <w:sz w:val="24"/>
                <w:szCs w:val="24"/>
              </w:rPr>
            </w:pPr>
            <w:r w:rsidRPr="00414345">
              <w:rPr>
                <w:color w:val="000000"/>
                <w:sz w:val="24"/>
                <w:szCs w:val="24"/>
              </w:rPr>
              <w:t>流通受限部分的公允价值</w:t>
            </w:r>
          </w:p>
        </w:tc>
        <w:tc>
          <w:tcPr>
            <w:tcW w:type="dxa" w:w="1655"/>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5F1F22">
              <w:rPr>
                <w:color w:val="000000"/>
                <w:sz w:val="24"/>
                <w:szCs w:val="24"/>
              </w:rPr>
              <w:t>(%)</w:t>
            </w:r>
          </w:p>
        </w:tc>
        <w:tc>
          <w:tcPr>
            <w:tcW w:type="dxa" w:w="136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流通受限情况说明</w:t>
            </w:r>
          </w:p>
        </w:tc>
      </w:tr>
      <w:tr>
        <w:tc>
          <w:tcPr>
            <w:vAlign w:val="center"/>
          </w:tcPr>
          <w:p>
            <w:pPr>
              <w:jc w:val="center"/>
            </w:pPr>
            <w:r>
              <w:rPr>
                <w:color w:val="000000"/>
                <w:sz w:val="24"/>
                <w:szCs w:val="24"/>
              </w:rPr>
              <w:t>1</w:t>
            </w:r>
          </w:p>
        </w:tc>
        <w:tc>
          <w:tcPr>
            <w:vAlign w:val="center"/>
          </w:tcPr>
          <w:p>
            <w:pPr>
              <w:jc w:val="center"/>
            </w:pPr>
            <w:r>
              <w:rPr>
                <w:color w:val="000000"/>
                <w:sz w:val="24"/>
                <w:szCs w:val="24"/>
              </w:rPr>
              <w:t>002352</w:t>
            </w:r>
          </w:p>
        </w:tc>
        <w:tc>
          <w:tcPr>
            <w:vAlign w:val="center"/>
          </w:tcPr>
          <w:p>
            <w:pPr>
              <w:jc w:val="center"/>
            </w:pPr>
            <w:r>
              <w:rPr>
                <w:color w:val="000000"/>
                <w:sz w:val="24"/>
                <w:szCs w:val="24"/>
              </w:rPr>
              <w:t>顺丰控股</w:t>
            </w:r>
          </w:p>
        </w:tc>
        <w:tc>
          <w:tcPr>
            <w:vAlign w:val="center"/>
          </w:tcPr>
          <w:p>
            <w:pPr>
              <w:jc w:val="right"/>
            </w:pPr>
            <w:r>
              <w:rPr>
                <w:color w:val="000000"/>
                <w:sz w:val="24"/>
                <w:szCs w:val="24"/>
              </w:rPr>
              <w:t>61,560,000.00</w:t>
            </w:r>
          </w:p>
        </w:tc>
        <w:tc>
          <w:tcPr>
            <w:vAlign w:val="center"/>
          </w:tcPr>
          <w:p>
            <w:pPr>
              <w:jc w:val="right"/>
            </w:pPr>
            <w:r>
              <w:rPr>
                <w:color w:val="000000"/>
                <w:sz w:val="24"/>
                <w:szCs w:val="24"/>
              </w:rPr>
              <w:t>0.70</w:t>
            </w:r>
          </w:p>
        </w:tc>
        <w:tc>
          <w:tcPr>
            <w:vAlign w:val="center"/>
          </w:tcPr>
          <w:p>
            <w:pPr>
              <w:jc w:val="right"/>
            </w:pPr>
            <w:r>
              <w:rPr>
                <w:color w:val="000000"/>
                <w:sz w:val="24"/>
                <w:szCs w:val="24"/>
              </w:rPr>
              <w:t>限售股</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D02347"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
      </w:r>
      <w:r w:rsidR="003259C8"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P="00E40D31" w:rsidR="006B2FF6" w:rsidRDefault="004061AC" w:rsidRPr="00414345">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312" w:afterLines="100" w:before="312" w:beforeLines="100" w:line="360" w:lineRule="auto"/>
        <w:jc w:val="center"/>
        <w:rPr>
          <w:rFonts w:eastAsiaTheme="minorEastAsia"/>
          <w:color w:themeColor="text1" w:val="000000"/>
          <w:kern w:val="0"/>
          <w:sz w:val="24"/>
          <w:szCs w:val="24"/>
        </w:rPr>
      </w:pPr>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6</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firstColumn="0" w:firstRow="0" w:lastColumn="0" w:lastRow="0" w:noHBand="0" w:noVBand="0"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3,337,420,889.61</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829,695,133.93</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1,468,880,629.22</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2,698,235,394.32</w:t>
            </w:r>
          </w:p>
        </w:tc>
      </w:tr>
    </w:tbl>
    <w:p>
      <w:pPr>
        <w:autoSpaceDE w:val="0"/>
        <w:autoSpaceDN w:val="0"/>
        <w:adjustRightInd w:val="0"/>
        <w:spacing w:before="29" w:line="288" w:lineRule="auto"/>
        <w:jc w:val="left"/>
        <w:rPr>
          <w:color w:val="000000"/>
          <w:sz w:val="24"/>
          <w:szCs w:val="24"/>
        </w:rPr>
      </w:pPr>
      <w:r>
        <w:rPr>
          <w:color w:val="000000"/>
          <w:sz w:val="24"/>
          <w:szCs w:val="24"/>
        </w:rPr>
        <w:t>注：1、如果本报告期间发生转换入、红利再投业务，则总申购份额中包含该业务；</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312" w:afterLines="100" w:before="312" w:before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7  </w:t>
      </w:r>
      <w:r w:rsidRPr="00ED2620">
        <w:rPr>
          <w:sz w:val="24"/>
          <w:szCs w:val="24"/>
        </w:rPr>
        <w:t>基金管理人运用固有资金投资本基金情况</w:t>
      </w:r>
    </w:p>
    <w:p w:rsidP="00C15CAC" w:rsidR="00ED2620" w:rsidRDefault="00ED2620" w:rsidRPr="00ED2620">
      <w:pPr>
        <w:spacing w:line="288" w:lineRule="auto"/>
        <w:jc w:val="left"/>
        <w:rPr>
          <w:sz w:val="24"/>
          <w:szCs w:val="24"/>
        </w:rPr>
      </w:pPr>
      <w:r w:rsidRPr="00ED2620">
        <w:rPr>
          <w:b/>
          <w:sz w:val="24"/>
        </w:rPr>
        <w:t xml:space="preserve">7.1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B22DEE" w:rsidRDefault="004061AC" w:rsidRPr="00E02660">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1、中国证监会核准交银施罗德阿尔法核心股票型证券投资基金募集的文件； </w:t>
      </w:r>
    </w:p>
    <w:p>
      <w:pPr>
        <w:spacing w:before="29" w:line="288" w:lineRule="auto"/>
        <w:ind w:firstLine="480" w:firstLineChars="200"/>
        <w:rPr>
          <w:color w:val="000000"/>
          <w:sz w:val="24"/>
          <w:szCs w:val="24"/>
        </w:rPr>
      </w:pPr>
      <w:r>
        <w:rPr>
          <w:color w:val="000000"/>
          <w:sz w:val="24"/>
          <w:szCs w:val="24"/>
        </w:rPr>
        <w:t xml:space="preserve">2、《交银施罗德阿尔法核心混合型证券投资基金基金合同》； </w:t>
      </w:r>
    </w:p>
    <w:p>
      <w:pPr>
        <w:spacing w:before="29" w:line="288" w:lineRule="auto"/>
        <w:ind w:firstLine="480" w:firstLineChars="200"/>
        <w:rPr>
          <w:color w:val="000000"/>
          <w:sz w:val="24"/>
          <w:szCs w:val="24"/>
        </w:rPr>
      </w:pPr>
      <w:r>
        <w:rPr>
          <w:color w:val="000000"/>
          <w:sz w:val="24"/>
          <w:szCs w:val="24"/>
        </w:rPr>
        <w:t xml:space="preserve">3、《交银施罗德阿尔法核心混合型证券投资基金招募说明书》； </w:t>
      </w:r>
    </w:p>
    <w:p>
      <w:pPr>
        <w:spacing w:before="29" w:line="288" w:lineRule="auto"/>
        <w:ind w:firstLine="480" w:firstLineChars="200"/>
        <w:rPr>
          <w:color w:val="000000"/>
          <w:sz w:val="24"/>
          <w:szCs w:val="24"/>
        </w:rPr>
      </w:pPr>
      <w:r>
        <w:rPr>
          <w:color w:val="000000"/>
          <w:sz w:val="24"/>
          <w:szCs w:val="24"/>
        </w:rPr>
        <w:t>4、《交银施罗德阿尔法核心混合型证券投资基金托管协议》；</w:t>
      </w:r>
    </w:p>
    <w:p>
      <w:pPr>
        <w:spacing w:before="29" w:line="288" w:lineRule="auto"/>
        <w:ind w:firstLine="480" w:firstLineChars="200"/>
        <w:rPr>
          <w:color w:val="000000"/>
          <w:sz w:val="24"/>
          <w:szCs w:val="24"/>
        </w:rPr>
      </w:pPr>
      <w:r>
        <w:rPr>
          <w:color w:val="000000"/>
          <w:sz w:val="24"/>
          <w:szCs w:val="24"/>
        </w:rPr>
        <w:t>5、关于募集交银施罗德阿尔法核心股票型证券投资基金之法律意见书；</w:t>
      </w:r>
    </w:p>
    <w:p>
      <w:pPr>
        <w:spacing w:before="29" w:line="288" w:lineRule="auto"/>
        <w:ind w:firstLine="480" w:firstLineChars="200"/>
        <w:rPr>
          <w:color w:val="000000"/>
          <w:sz w:val="24"/>
          <w:szCs w:val="24"/>
        </w:rPr>
      </w:pPr>
      <w:r>
        <w:rPr>
          <w:color w:val="000000"/>
          <w:sz w:val="24"/>
          <w:szCs w:val="24"/>
        </w:rPr>
        <w:t>6、基金管理人业务资格批件、营业执照；</w:t>
      </w:r>
    </w:p>
    <w:p>
      <w:pPr>
        <w:spacing w:before="29" w:line="288" w:lineRule="auto"/>
        <w:ind w:firstLine="480" w:firstLineChars="200"/>
        <w:rPr>
          <w:color w:val="000000"/>
          <w:sz w:val="24"/>
          <w:szCs w:val="24"/>
        </w:rPr>
      </w:pPr>
      <w:r>
        <w:rPr>
          <w:color w:val="000000"/>
          <w:sz w:val="24"/>
          <w:szCs w:val="24"/>
        </w:rPr>
        <w:t>7、基金托管人业务资格批件、营业执照；</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8、报告期内交银施罗德阿尔法核心混合型证券投资基金在指定报刊上各项公告的原稿。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AA3969">
      <w:rPr>
        <w:noProof/>
        <w:kern w:val="0"/>
        <w:szCs w:val="21"/>
      </w:rPr>
      <w:t>17</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AA3969">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76D65" w:rsidR="00C11AA1" w:rsidRDefault="00C11AA1">
      <w:r>
        <w:separator/>
      </w:r>
    </w:p>
  </w:footnote>
  <w:footnote w:id="0" w:type="continuationSeparator">
    <w:p w:rsidP="00876D65" w:rsidR="00C11AA1" w:rsidRDefault="00C11AA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090A26" w:rsidR="00171EF0" w:rsidRDefault="00DC456F" w:rsidRPr="00DC456F">
    <w:pPr>
      <w:pStyle w:val="a9"/>
      <w:pBdr>
        <w:bottom w:color="auto" w:space="0" w:sz="6" w:val="single"/>
      </w:pBdr>
      <w:jc w:val="right"/>
      <w:rPr>
        <w:sz w:val="24"/>
        <w:szCs w:val="24"/>
      </w:rPr>
    </w:pPr>
    <w:r w:rsidRPr="003E676C">
      <w:rPr>
        <w:sz w:val="24"/>
        <w:szCs w:val="24"/>
      </w:rPr>
      <w:t>交银施罗德阿尔法核心混合型证券投资基金2020年第3季度报告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15:restartNumberingAfterBreak="0"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15:restartNumberingAfterBreak="0"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lsdException w:name="heading 2" w:qFormat="1" w:semiHidden="1" w:unhideWhenUsed="1"/>
    <w:lsdException w:name="heading 3" w:qFormat="1" w:semiHidden="1"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4F61-935D-4852-8DB9-16A24A12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24</Pages>
  <Words>3807</Words>
  <Characters>21700</Characters>
  <Application>Microsoft Office Word</Application>
  <DocSecurity>0</DocSecurity>
  <Lines>180</Lines>
  <Paragraphs>50</Paragraphs>
  <ScaleCrop>false</ScaleCrop>
  <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业务系统</cp:lastModifiedBy>
  <dcterms:modified xsi:type="dcterms:W3CDTF">2020-01-17T03:03:00Z</dcterms:modified>
  <cp:revision>600</cp:revision>
</cp:coreProperties>
</file>