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交银施罗德丰享收益债券型证券投资基金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2020年第3季度报告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2020年9月30日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中信银行股份有限公司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二〇二〇年十月二十八日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基金托管人中信银行股份有限公司根据本基金合同规定，于2020年10月27日复核了本报告中的财务指标、净值表现和投资组合报告等内容，保证复核内容不存在虚假记载、误导性陈述或者重大遗漏。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本报告期自2020年7月1日起至9月30日止。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交银丰享收益债券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519748</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契约型，本基金在基金合同生效之日起两年（含两年）的期间内封闭式运作（按照基金合同的约定提前转换基金运作方式的除外），封闭期结束后转为开放式运作</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2015年1月19日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259,717,094.61</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在严格控制风险和追求资产稳健增值的基础上,力求获得高于业绩基准的投资收益。</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pPr>
              <w:adjustRightInd w:val="0"/>
              <w:spacing w:before="29" w:line="288" w:lineRule="auto"/>
              <w:ind w:left="17"/>
              <w:jc w:val="left"/>
              <w:rPr>
                <w:color w:val="000000"/>
                <w:sz w:val="24"/>
              </w:rPr>
            </w:pPr>
            <w:r>
              <w:rPr>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pPr>
              <w:adjustRightInd w:val="0"/>
              <w:spacing w:before="29" w:line="288" w:lineRule="auto"/>
              <w:ind w:left="17"/>
              <w:jc w:val="left"/>
              <w:rPr>
                <w:color w:val="000000"/>
                <w:sz w:val="24"/>
              </w:rPr>
            </w:pPr>
            <w:r>
              <w:rPr>
                <w:color w:val="000000"/>
                <w:kern w:val="0"/>
                <w:sz w:val="24"/>
              </w:rPr>
              <w:t/>
            </w:r>
          </w:p>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pPr>
              <w:adjustRightInd w:val="0"/>
              <w:spacing w:before="29" w:line="288" w:lineRule="auto"/>
              <w:ind w:left="17"/>
              <w:jc w:val="left"/>
              <w:rPr>
                <w:color w:val="000000"/>
                <w:sz w:val="24"/>
              </w:rPr>
            </w:pPr>
            <w:r>
              <w:rPr>
                <w:color w:val="000000"/>
                <w:kern w:val="0"/>
                <w:sz w:val="24"/>
              </w:rPr>
              <w:t>封闭期内业绩比较基准：两年期银行定期存款税后收益率</w:t>
            </w:r>
          </w:p>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开放期内业绩比较基准：中债综合全价指数</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交银丰享收益债券A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交银丰享收益债券C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519746</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519748</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253,699,541.72</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6,017,552.89</w:t>
            </w:r>
            <w:r w:rsidRPr="007F52FA">
              <w:rPr>
                <w:color w:val="000000"/>
                <w:kern w:val="0"/>
                <w:sz w:val="24"/>
              </w:rPr>
              <w:t>份</w:t>
            </w:r>
          </w:p>
        </w:tc>
      </w:tr>
    </w:tbl>
    <w:p w:rsidP="007C14DF" w:rsidR="009238DB" w:rsidRDefault="00A6200E"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注：本基金自2017年1月20日起转为开放式运作。</w:t>
      </w:r>
    </w:p>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(2020年7月1日-2020年9月30日)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交银丰享收益债券A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交银丰享收益债券C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2,536,470.23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9,263.72</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366,119.32</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-5,257.94</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0.0009</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-0.0008</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540,649,638.68</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6,642,536.81</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2.1311</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1.1039</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注：1、上述基金业绩指标不包括持有人认购或交易基金的各项费用，计入费用后的实际收益水平要低于所列数字； </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交银丰享收益债券A</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0.15%</w:t>
            </w:r>
          </w:p>
        </w:tc>
        <w:tc>
          <w:tcPr>
            <w:vAlign w:val="center"/>
          </w:tcPr>
          <w:p>
            <w:pPr>
              <w:jc w:val="center"/>
            </w:pPr>
            <w:r>
              <w:rPr>
                <w:color w:val="000000"/>
                <w:sz w:val="24"/>
              </w:rPr>
              <w:t>0.05%</w:t>
            </w:r>
          </w:p>
        </w:tc>
        <w:tc>
          <w:tcPr>
            <w:vAlign w:val="center"/>
          </w:tcPr>
          <w:p>
            <w:pPr>
              <w:jc w:val="center"/>
            </w:pPr>
            <w:r>
              <w:rPr>
                <w:color w:val="000000"/>
                <w:sz w:val="24"/>
              </w:rPr>
              <w:t>-1.48%</w:t>
            </w:r>
          </w:p>
        </w:tc>
        <w:tc>
          <w:tcPr>
            <w:vAlign w:val="center"/>
          </w:tcPr>
          <w:p>
            <w:pPr>
              <w:jc w:val="center"/>
            </w:pPr>
            <w:r>
              <w:rPr>
                <w:color w:val="000000"/>
                <w:sz w:val="24"/>
              </w:rPr>
              <w:t>0.08%</w:t>
            </w:r>
          </w:p>
        </w:tc>
        <w:tc>
          <w:tcPr>
            <w:vAlign w:val="center"/>
          </w:tcPr>
          <w:p>
            <w:pPr>
              <w:jc w:val="center"/>
            </w:pPr>
            <w:r>
              <w:rPr>
                <w:color w:val="000000"/>
                <w:sz w:val="24"/>
              </w:rPr>
              <w:t>1.63%</w:t>
            </w:r>
          </w:p>
        </w:tc>
        <w:tc>
          <w:tcPr>
            <w:vAlign w:val="center"/>
          </w:tcPr>
          <w:p>
            <w:pPr>
              <w:jc w:val="center"/>
            </w:pPr>
            <w:r>
              <w:rPr>
                <w:color w:val="000000"/>
                <w:sz w:val="24"/>
              </w:rPr>
              <w:t>-0.03%</w:t>
            </w:r>
          </w:p>
        </w:tc>
      </w:tr>
      <w:tr>
        <w:tc>
          <w:tcPr>
            <w:vAlign w:val="center"/>
          </w:tcPr>
          <w:p>
            <w:pPr>
              <w:jc w:val="left"/>
            </w:pPr>
            <w:r>
              <w:rPr>
                <w:color w:val="000000"/>
                <w:sz w:val="24"/>
              </w:rPr>
              <w:t>过去六个月</w:t>
            </w:r>
          </w:p>
        </w:tc>
        <w:tc>
          <w:tcPr>
            <w:vAlign w:val="center"/>
          </w:tcPr>
          <w:p>
            <w:pPr>
              <w:jc w:val="center"/>
            </w:pPr>
            <w:r>
              <w:rPr>
                <w:color w:val="000000"/>
                <w:sz w:val="24"/>
              </w:rPr>
              <w:t>0.38%</w:t>
            </w:r>
          </w:p>
        </w:tc>
        <w:tc>
          <w:tcPr>
            <w:vAlign w:val="center"/>
          </w:tcPr>
          <w:p>
            <w:pPr>
              <w:jc w:val="center"/>
            </w:pPr>
            <w:r>
              <w:rPr>
                <w:color w:val="000000"/>
                <w:sz w:val="24"/>
              </w:rPr>
              <w:t>0.06%</w:t>
            </w:r>
          </w:p>
        </w:tc>
        <w:tc>
          <w:tcPr>
            <w:vAlign w:val="center"/>
          </w:tcPr>
          <w:p>
            <w:pPr>
              <w:jc w:val="center"/>
            </w:pPr>
            <w:r>
              <w:rPr>
                <w:color w:val="000000"/>
                <w:sz w:val="24"/>
              </w:rPr>
              <w:t>-2.50%</w:t>
            </w:r>
          </w:p>
        </w:tc>
        <w:tc>
          <w:tcPr>
            <w:vAlign w:val="center"/>
          </w:tcPr>
          <w:p>
            <w:pPr>
              <w:jc w:val="center"/>
            </w:pPr>
            <w:r>
              <w:rPr>
                <w:color w:val="000000"/>
                <w:sz w:val="24"/>
              </w:rPr>
              <w:t>0.10%</w:t>
            </w:r>
          </w:p>
        </w:tc>
        <w:tc>
          <w:tcPr>
            <w:vAlign w:val="center"/>
          </w:tcPr>
          <w:p>
            <w:pPr>
              <w:jc w:val="center"/>
            </w:pPr>
            <w:r>
              <w:rPr>
                <w:color w:val="000000"/>
                <w:sz w:val="24"/>
              </w:rPr>
              <w:t>2.88%</w:t>
            </w:r>
          </w:p>
        </w:tc>
        <w:tc>
          <w:tcPr>
            <w:vAlign w:val="center"/>
          </w:tcPr>
          <w:p>
            <w:pPr>
              <w:jc w:val="center"/>
            </w:pPr>
            <w:r>
              <w:rPr>
                <w:color w:val="000000"/>
                <w:sz w:val="24"/>
              </w:rPr>
              <w:t>-0.04%</w:t>
            </w:r>
          </w:p>
        </w:tc>
      </w:tr>
      <w:tr>
        <w:tc>
          <w:tcPr>
            <w:vAlign w:val="center"/>
          </w:tcPr>
          <w:p>
            <w:pPr>
              <w:jc w:val="left"/>
            </w:pPr>
            <w:r>
              <w:rPr>
                <w:color w:val="000000"/>
                <w:sz w:val="24"/>
              </w:rPr>
              <w:t>过去一年</w:t>
            </w:r>
          </w:p>
        </w:tc>
        <w:tc>
          <w:tcPr>
            <w:vAlign w:val="center"/>
          </w:tcPr>
          <w:p>
            <w:pPr>
              <w:jc w:val="center"/>
            </w:pPr>
            <w:r>
              <w:rPr>
                <w:color w:val="000000"/>
                <w:sz w:val="24"/>
              </w:rPr>
              <w:t>3.15%</w:t>
            </w:r>
          </w:p>
        </w:tc>
        <w:tc>
          <w:tcPr>
            <w:vAlign w:val="center"/>
          </w:tcPr>
          <w:p>
            <w:pPr>
              <w:jc w:val="center"/>
            </w:pPr>
            <w:r>
              <w:rPr>
                <w:color w:val="000000"/>
                <w:sz w:val="24"/>
              </w:rPr>
              <w:t>0.05%</w:t>
            </w:r>
          </w:p>
        </w:tc>
        <w:tc>
          <w:tcPr>
            <w:vAlign w:val="center"/>
          </w:tcPr>
          <w:p>
            <w:pPr>
              <w:jc w:val="center"/>
            </w:pPr>
            <w:r>
              <w:rPr>
                <w:color w:val="000000"/>
                <w:sz w:val="24"/>
              </w:rPr>
              <w:t>-0.08%</w:t>
            </w:r>
          </w:p>
        </w:tc>
        <w:tc>
          <w:tcPr>
            <w:vAlign w:val="center"/>
          </w:tcPr>
          <w:p>
            <w:pPr>
              <w:jc w:val="center"/>
            </w:pPr>
            <w:r>
              <w:rPr>
                <w:color w:val="000000"/>
                <w:sz w:val="24"/>
              </w:rPr>
              <w:t>0.09%</w:t>
            </w:r>
          </w:p>
        </w:tc>
        <w:tc>
          <w:tcPr>
            <w:vAlign w:val="center"/>
          </w:tcPr>
          <w:p>
            <w:pPr>
              <w:jc w:val="center"/>
            </w:pPr>
            <w:r>
              <w:rPr>
                <w:color w:val="000000"/>
                <w:sz w:val="24"/>
              </w:rPr>
              <w:t>3.23%</w:t>
            </w:r>
          </w:p>
        </w:tc>
        <w:tc>
          <w:tcPr>
            <w:vAlign w:val="center"/>
          </w:tcPr>
          <w:p>
            <w:pPr>
              <w:jc w:val="center"/>
            </w:pPr>
            <w:r>
              <w:rPr>
                <w:color w:val="000000"/>
                <w:sz w:val="24"/>
              </w:rPr>
              <w:t>-0.04%</w:t>
            </w:r>
          </w:p>
        </w:tc>
      </w:tr>
      <w:tr>
        <w:tc>
          <w:tcPr>
            <w:vAlign w:val="center"/>
          </w:tcPr>
          <w:p>
            <w:pPr>
              <w:jc w:val="left"/>
            </w:pPr>
            <w:r>
              <w:rPr>
                <w:color w:val="000000"/>
                <w:sz w:val="24"/>
              </w:rPr>
              <w:t>过去三年</w:t>
            </w:r>
          </w:p>
        </w:tc>
        <w:tc>
          <w:tcPr>
            <w:vAlign w:val="center"/>
          </w:tcPr>
          <w:p>
            <w:pPr>
              <w:jc w:val="center"/>
            </w:pPr>
            <w:r>
              <w:rPr>
                <w:color w:val="000000"/>
                <w:sz w:val="24"/>
              </w:rPr>
              <w:t>11.23%</w:t>
            </w:r>
          </w:p>
        </w:tc>
        <w:tc>
          <w:tcPr>
            <w:vAlign w:val="center"/>
          </w:tcPr>
          <w:p>
            <w:pPr>
              <w:jc w:val="center"/>
            </w:pPr>
            <w:r>
              <w:rPr>
                <w:color w:val="000000"/>
                <w:sz w:val="24"/>
              </w:rPr>
              <w:t>0.04%</w:t>
            </w:r>
          </w:p>
        </w:tc>
        <w:tc>
          <w:tcPr>
            <w:vAlign w:val="center"/>
          </w:tcPr>
          <w:p>
            <w:pPr>
              <w:jc w:val="center"/>
            </w:pPr>
            <w:r>
              <w:rPr>
                <w:color w:val="000000"/>
                <w:sz w:val="24"/>
              </w:rPr>
              <w:t>4.21%</w:t>
            </w:r>
          </w:p>
        </w:tc>
        <w:tc>
          <w:tcPr>
            <w:vAlign w:val="center"/>
          </w:tcPr>
          <w:p>
            <w:pPr>
              <w:jc w:val="center"/>
            </w:pPr>
            <w:r>
              <w:rPr>
                <w:color w:val="000000"/>
                <w:sz w:val="24"/>
              </w:rPr>
              <w:t>0.07%</w:t>
            </w:r>
          </w:p>
        </w:tc>
        <w:tc>
          <w:tcPr>
            <w:vAlign w:val="center"/>
          </w:tcPr>
          <w:p>
            <w:pPr>
              <w:jc w:val="center"/>
            </w:pPr>
            <w:r>
              <w:rPr>
                <w:color w:val="000000"/>
                <w:sz w:val="24"/>
              </w:rPr>
              <w:t>7.02%</w:t>
            </w:r>
          </w:p>
        </w:tc>
        <w:tc>
          <w:tcPr>
            <w:vAlign w:val="center"/>
          </w:tcPr>
          <w:p>
            <w:pPr>
              <w:jc w:val="center"/>
            </w:pPr>
            <w:r>
              <w:rPr>
                <w:color w:val="000000"/>
                <w:sz w:val="24"/>
              </w:rPr>
              <w:t>-0.03%</w:t>
            </w:r>
          </w:p>
        </w:tc>
      </w:tr>
      <w:tr>
        <w:tc>
          <w:tcPr>
            <w:vAlign w:val="center"/>
          </w:tcPr>
          <w:p>
            <w:pPr>
              <w:jc w:val="left"/>
            </w:pPr>
            <w:r>
              <w:rPr>
                <w:color w:val="000000"/>
                <w:sz w:val="24"/>
              </w:rPr>
              <w:t>自基金合同生效起至今</w:t>
            </w:r>
          </w:p>
        </w:tc>
        <w:tc>
          <w:tcPr>
            <w:vAlign w:val="center"/>
          </w:tcPr>
          <w:p>
            <w:pPr>
              <w:jc w:val="center"/>
            </w:pPr>
            <w:r>
              <w:rPr>
                <w:color w:val="000000"/>
                <w:sz w:val="24"/>
              </w:rPr>
              <w:t>124.12%</w:t>
            </w:r>
          </w:p>
        </w:tc>
        <w:tc>
          <w:tcPr>
            <w:vAlign w:val="center"/>
          </w:tcPr>
          <w:p>
            <w:pPr>
              <w:jc w:val="center"/>
            </w:pPr>
            <w:r>
              <w:rPr>
                <w:color w:val="000000"/>
                <w:sz w:val="24"/>
              </w:rPr>
              <w:t>3.23%</w:t>
            </w:r>
          </w:p>
        </w:tc>
        <w:tc>
          <w:tcPr>
            <w:vAlign w:val="center"/>
          </w:tcPr>
          <w:p>
            <w:pPr>
              <w:jc w:val="center"/>
            </w:pPr>
            <w:r>
              <w:rPr>
                <w:color w:val="000000"/>
                <w:sz w:val="24"/>
              </w:rPr>
              <w:t>2.22%</w:t>
            </w:r>
          </w:p>
        </w:tc>
        <w:tc>
          <w:tcPr>
            <w:vAlign w:val="center"/>
          </w:tcPr>
          <w:p>
            <w:pPr>
              <w:jc w:val="center"/>
            </w:pPr>
            <w:r>
              <w:rPr>
                <w:color w:val="000000"/>
                <w:sz w:val="24"/>
              </w:rPr>
              <w:t>0.07%</w:t>
            </w:r>
          </w:p>
        </w:tc>
        <w:tc>
          <w:tcPr>
            <w:vAlign w:val="center"/>
          </w:tcPr>
          <w:p>
            <w:pPr>
              <w:jc w:val="center"/>
            </w:pPr>
            <w:r>
              <w:rPr>
                <w:color w:val="000000"/>
                <w:sz w:val="24"/>
              </w:rPr>
              <w:t>121.90%</w:t>
            </w:r>
          </w:p>
        </w:tc>
        <w:tc>
          <w:tcPr>
            <w:vAlign w:val="center"/>
          </w:tcPr>
          <w:p>
            <w:pPr>
              <w:jc w:val="center"/>
            </w:pPr>
            <w:r>
              <w:rPr>
                <w:color w:val="000000"/>
                <w:sz w:val="24"/>
              </w:rPr>
              <w:t>3.16%</w:t>
            </w:r>
          </w:p>
        </w:tc>
      </w:tr>
    </w:tbl>
    <w:p w:rsidP="007C14DF" w:rsidR="009238DB" w:rsidRDefault="004425E8" w:rsidRPr="007F52FA">
      <w:pPr>
        <w:autoSpaceDE w:val="0"/>
        <w:autoSpaceDN w:val="0"/>
        <w:adjustRightInd w:val="0"/>
        <w:spacing w:before="29" w:line="288" w:lineRule="auto"/>
        <w:jc w:val="left"/>
        <w:rPr>
          <w:color w:val="000000"/>
          <w:sz w:val="24"/>
        </w:rPr>
      </w:pPr>
      <w:r w:rsidRPr="007F52FA">
        <w:rPr>
          <w:color w:val="000000"/>
          <w:sz w:val="24"/>
        </w:rPr>
        <w:t/>
      </w:r>
      <w:r w:rsidR="00243122" w:rsidRPr="007F52FA">
        <w:rPr>
          <w:color w:val="000000"/>
          <w:sz w:val="24"/>
        </w:rPr>
        <w:t/>
      </w:r>
      <w:r w:rsidR="0042785F" w:rsidRPr="007F52FA">
        <w:rPr>
          <w:color w:val="000000"/>
          <w:sz w:val="24"/>
        </w:rPr>
        <w:t/>
      </w:r>
      <w:r w:rsidR="00243122" w:rsidRPr="007F52FA">
        <w:rPr>
          <w:color w:val="000000"/>
          <w:sz w:val="24"/>
        </w:rPr>
        <w:t/>
      </w:r>
      <w:r w:rsidRPr="007F52FA">
        <w:rPr>
          <w:color w:val="000000"/>
          <w:sz w:val="24"/>
        </w:rPr>
        <w:t>注：本基金自2017年1月20日起转为开放式运作，本基金的业绩比较基准由“两年期银行定期存款税后收益率”变更为“中债综合全价指数”，3.2.2同。</w:t>
      </w:r>
    </w:p>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交银丰享收益债券C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-0.01%</w:t>
            </w:r>
          </w:p>
        </w:tc>
        <w:tc>
          <w:tcPr>
            <w:vAlign w:val="center"/>
          </w:tcPr>
          <w:p>
            <w:pPr>
              <w:jc w:val="center"/>
            </w:pPr>
            <w:r>
              <w:rPr>
                <w:color w:val="000000"/>
                <w:sz w:val="24"/>
              </w:rPr>
              <w:t>0.06%</w:t>
            </w:r>
          </w:p>
        </w:tc>
        <w:tc>
          <w:tcPr>
            <w:vAlign w:val="center"/>
          </w:tcPr>
          <w:p>
            <w:pPr>
              <w:jc w:val="center"/>
            </w:pPr>
            <w:r>
              <w:rPr>
                <w:color w:val="000000"/>
                <w:sz w:val="24"/>
              </w:rPr>
              <w:t>-1.48%</w:t>
            </w:r>
          </w:p>
        </w:tc>
        <w:tc>
          <w:tcPr>
            <w:vAlign w:val="center"/>
          </w:tcPr>
          <w:p>
            <w:pPr>
              <w:jc w:val="center"/>
            </w:pPr>
            <w:r>
              <w:rPr>
                <w:color w:val="000000"/>
                <w:sz w:val="24"/>
              </w:rPr>
              <w:t>0.08%</w:t>
            </w:r>
          </w:p>
        </w:tc>
        <w:tc>
          <w:tcPr>
            <w:vAlign w:val="center"/>
          </w:tcPr>
          <w:p>
            <w:pPr>
              <w:jc w:val="center"/>
            </w:pPr>
            <w:r>
              <w:rPr>
                <w:color w:val="000000"/>
                <w:sz w:val="24"/>
              </w:rPr>
              <w:t>1.47%</w:t>
            </w:r>
          </w:p>
        </w:tc>
        <w:tc>
          <w:tcPr>
            <w:vAlign w:val="center"/>
          </w:tcPr>
          <w:p>
            <w:pPr>
              <w:jc w:val="center"/>
            </w:pPr>
            <w:r>
              <w:rPr>
                <w:color w:val="000000"/>
                <w:sz w:val="24"/>
              </w:rPr>
              <w:t>-0.02%</w:t>
            </w:r>
          </w:p>
        </w:tc>
      </w:tr>
      <w:tr>
        <w:tc>
          <w:tcPr>
            <w:vAlign w:val="center"/>
          </w:tcPr>
          <w:p>
            <w:pPr>
              <w:jc w:val="left"/>
            </w:pPr>
            <w:r>
              <w:rPr>
                <w:color w:val="000000"/>
                <w:sz w:val="24"/>
              </w:rPr>
              <w:t>过去六个月</w:t>
            </w:r>
          </w:p>
        </w:tc>
        <w:tc>
          <w:tcPr>
            <w:vAlign w:val="center"/>
          </w:tcPr>
          <w:p>
            <w:pPr>
              <w:jc w:val="center"/>
            </w:pPr>
            <w:r>
              <w:rPr>
                <w:color w:val="000000"/>
                <w:sz w:val="24"/>
              </w:rPr>
              <w:t>0.17%</w:t>
            </w:r>
          </w:p>
        </w:tc>
        <w:tc>
          <w:tcPr>
            <w:vAlign w:val="center"/>
          </w:tcPr>
          <w:p>
            <w:pPr>
              <w:jc w:val="center"/>
            </w:pPr>
            <w:r>
              <w:rPr>
                <w:color w:val="000000"/>
                <w:sz w:val="24"/>
              </w:rPr>
              <w:t>0.06%</w:t>
            </w:r>
          </w:p>
        </w:tc>
        <w:tc>
          <w:tcPr>
            <w:vAlign w:val="center"/>
          </w:tcPr>
          <w:p>
            <w:pPr>
              <w:jc w:val="center"/>
            </w:pPr>
            <w:r>
              <w:rPr>
                <w:color w:val="000000"/>
                <w:sz w:val="24"/>
              </w:rPr>
              <w:t>-2.50%</w:t>
            </w:r>
          </w:p>
        </w:tc>
        <w:tc>
          <w:tcPr>
            <w:vAlign w:val="center"/>
          </w:tcPr>
          <w:p>
            <w:pPr>
              <w:jc w:val="center"/>
            </w:pPr>
            <w:r>
              <w:rPr>
                <w:color w:val="000000"/>
                <w:sz w:val="24"/>
              </w:rPr>
              <w:t>0.10%</w:t>
            </w:r>
          </w:p>
        </w:tc>
        <w:tc>
          <w:tcPr>
            <w:vAlign w:val="center"/>
          </w:tcPr>
          <w:p>
            <w:pPr>
              <w:jc w:val="center"/>
            </w:pPr>
            <w:r>
              <w:rPr>
                <w:color w:val="000000"/>
                <w:sz w:val="24"/>
              </w:rPr>
              <w:t>2.67%</w:t>
            </w:r>
          </w:p>
        </w:tc>
        <w:tc>
          <w:tcPr>
            <w:vAlign w:val="center"/>
          </w:tcPr>
          <w:p>
            <w:pPr>
              <w:jc w:val="center"/>
            </w:pPr>
            <w:r>
              <w:rPr>
                <w:color w:val="000000"/>
                <w:sz w:val="24"/>
              </w:rPr>
              <w:t>-0.04%</w:t>
            </w:r>
          </w:p>
        </w:tc>
      </w:tr>
      <w:tr>
        <w:tc>
          <w:tcPr>
            <w:vAlign w:val="center"/>
          </w:tcPr>
          <w:p>
            <w:pPr>
              <w:jc w:val="left"/>
            </w:pPr>
            <w:r>
              <w:rPr>
                <w:color w:val="000000"/>
                <w:sz w:val="24"/>
              </w:rPr>
              <w:t>过去一年</w:t>
            </w:r>
          </w:p>
        </w:tc>
        <w:tc>
          <w:tcPr>
            <w:vAlign w:val="center"/>
          </w:tcPr>
          <w:p>
            <w:pPr>
              <w:jc w:val="center"/>
            </w:pPr>
            <w:r>
              <w:rPr>
                <w:color w:val="000000"/>
                <w:sz w:val="24"/>
              </w:rPr>
              <w:t>2.78%</w:t>
            </w:r>
          </w:p>
        </w:tc>
        <w:tc>
          <w:tcPr>
            <w:vAlign w:val="center"/>
          </w:tcPr>
          <w:p>
            <w:pPr>
              <w:jc w:val="center"/>
            </w:pPr>
            <w:r>
              <w:rPr>
                <w:color w:val="000000"/>
                <w:sz w:val="24"/>
              </w:rPr>
              <w:t>0.06%</w:t>
            </w:r>
          </w:p>
        </w:tc>
        <w:tc>
          <w:tcPr>
            <w:vAlign w:val="center"/>
          </w:tcPr>
          <w:p>
            <w:pPr>
              <w:jc w:val="center"/>
            </w:pPr>
            <w:r>
              <w:rPr>
                <w:color w:val="000000"/>
                <w:sz w:val="24"/>
              </w:rPr>
              <w:t>-0.08%</w:t>
            </w:r>
          </w:p>
        </w:tc>
        <w:tc>
          <w:tcPr>
            <w:vAlign w:val="center"/>
          </w:tcPr>
          <w:p>
            <w:pPr>
              <w:jc w:val="center"/>
            </w:pPr>
            <w:r>
              <w:rPr>
                <w:color w:val="000000"/>
                <w:sz w:val="24"/>
              </w:rPr>
              <w:t>0.09%</w:t>
            </w:r>
          </w:p>
        </w:tc>
        <w:tc>
          <w:tcPr>
            <w:vAlign w:val="center"/>
          </w:tcPr>
          <w:p>
            <w:pPr>
              <w:jc w:val="center"/>
            </w:pPr>
            <w:r>
              <w:rPr>
                <w:color w:val="000000"/>
                <w:sz w:val="24"/>
              </w:rPr>
              <w:t>2.86%</w:t>
            </w:r>
          </w:p>
        </w:tc>
        <w:tc>
          <w:tcPr>
            <w:vAlign w:val="center"/>
          </w:tcPr>
          <w:p>
            <w:pPr>
              <w:jc w:val="center"/>
            </w:pPr>
            <w:r>
              <w:rPr>
                <w:color w:val="000000"/>
                <w:sz w:val="24"/>
              </w:rPr>
              <w:t>-0.03%</w:t>
            </w:r>
          </w:p>
        </w:tc>
      </w:tr>
      <w:tr>
        <w:tc>
          <w:tcPr>
            <w:vAlign w:val="center"/>
          </w:tcPr>
          <w:p>
            <w:pPr>
              <w:jc w:val="left"/>
            </w:pPr>
            <w:r>
              <w:rPr>
                <w:color w:val="000000"/>
                <w:sz w:val="24"/>
              </w:rPr>
              <w:t>过去三年</w:t>
            </w:r>
          </w:p>
        </w:tc>
        <w:tc>
          <w:tcPr>
            <w:vAlign w:val="center"/>
          </w:tcPr>
          <w:p>
            <w:pPr>
              <w:jc w:val="center"/>
            </w:pPr>
            <w:r>
              <w:rPr>
                <w:color w:val="000000"/>
                <w:sz w:val="24"/>
              </w:rPr>
              <w:t>9.91%</w:t>
            </w:r>
          </w:p>
        </w:tc>
        <w:tc>
          <w:tcPr>
            <w:vAlign w:val="center"/>
          </w:tcPr>
          <w:p>
            <w:pPr>
              <w:jc w:val="center"/>
            </w:pPr>
            <w:r>
              <w:rPr>
                <w:color w:val="000000"/>
                <w:sz w:val="24"/>
              </w:rPr>
              <w:t>0.05%</w:t>
            </w:r>
          </w:p>
        </w:tc>
        <w:tc>
          <w:tcPr>
            <w:vAlign w:val="center"/>
          </w:tcPr>
          <w:p>
            <w:pPr>
              <w:jc w:val="center"/>
            </w:pPr>
            <w:r>
              <w:rPr>
                <w:color w:val="000000"/>
                <w:sz w:val="24"/>
              </w:rPr>
              <w:t>4.21%</w:t>
            </w:r>
          </w:p>
        </w:tc>
        <w:tc>
          <w:tcPr>
            <w:vAlign w:val="center"/>
          </w:tcPr>
          <w:p>
            <w:pPr>
              <w:jc w:val="center"/>
            </w:pPr>
            <w:r>
              <w:rPr>
                <w:color w:val="000000"/>
                <w:sz w:val="24"/>
              </w:rPr>
              <w:t>0.07%</w:t>
            </w:r>
          </w:p>
        </w:tc>
        <w:tc>
          <w:tcPr>
            <w:vAlign w:val="center"/>
          </w:tcPr>
          <w:p>
            <w:pPr>
              <w:jc w:val="center"/>
            </w:pPr>
            <w:r>
              <w:rPr>
                <w:color w:val="000000"/>
                <w:sz w:val="24"/>
              </w:rPr>
              <w:t>5.70%</w:t>
            </w:r>
          </w:p>
        </w:tc>
        <w:tc>
          <w:tcPr>
            <w:vAlign w:val="center"/>
          </w:tcPr>
          <w:p>
            <w:pPr>
              <w:jc w:val="center"/>
            </w:pPr>
            <w:r>
              <w:rPr>
                <w:color w:val="000000"/>
                <w:sz w:val="24"/>
              </w:rPr>
              <w:t>-0.02%</w:t>
            </w:r>
          </w:p>
        </w:tc>
      </w:tr>
      <w:tr>
        <w:tc>
          <w:tcPr>
            <w:vAlign w:val="center"/>
          </w:tcPr>
          <w:p>
            <w:pPr>
              <w:jc w:val="left"/>
            </w:pPr>
            <w:r>
              <w:rPr>
                <w:color w:val="000000"/>
                <w:sz w:val="24"/>
              </w:rPr>
              <w:t>过去五年</w:t>
            </w:r>
          </w:p>
        </w:tc>
        <w:tc>
          <w:tcPr>
            <w:vAlign w:val="center"/>
          </w:tcPr>
          <w:p>
            <w:pPr>
              <w:jc w:val="center"/>
            </w:pPr>
            <w:r>
              <w:rPr>
                <w:color w:val="000000"/>
                <w:sz w:val="24"/>
              </w:rPr>
              <w:t>16.09%</w:t>
            </w:r>
          </w:p>
        </w:tc>
        <w:tc>
          <w:tcPr>
            <w:vAlign w:val="center"/>
          </w:tcPr>
          <w:p>
            <w:pPr>
              <w:jc w:val="center"/>
            </w:pPr>
            <w:r>
              <w:rPr>
                <w:color w:val="000000"/>
                <w:sz w:val="24"/>
              </w:rPr>
              <w:t>0.06%</w:t>
            </w:r>
          </w:p>
        </w:tc>
        <w:tc>
          <w:tcPr>
            <w:vAlign w:val="center"/>
          </w:tcPr>
          <w:p>
            <w:pPr>
              <w:jc w:val="center"/>
            </w:pPr>
            <w:r>
              <w:rPr>
                <w:color w:val="000000"/>
                <w:sz w:val="24"/>
              </w:rPr>
              <w:t>5.04%</w:t>
            </w:r>
          </w:p>
        </w:tc>
        <w:tc>
          <w:tcPr>
            <w:vAlign w:val="center"/>
          </w:tcPr>
          <w:p>
            <w:pPr>
              <w:jc w:val="center"/>
            </w:pPr>
            <w:r>
              <w:rPr>
                <w:color w:val="000000"/>
                <w:sz w:val="24"/>
              </w:rPr>
              <w:t>0.06%</w:t>
            </w:r>
          </w:p>
        </w:tc>
        <w:tc>
          <w:tcPr>
            <w:vAlign w:val="center"/>
          </w:tcPr>
          <w:p>
            <w:pPr>
              <w:jc w:val="center"/>
            </w:pPr>
            <w:r>
              <w:rPr>
                <w:color w:val="000000"/>
                <w:sz w:val="24"/>
              </w:rPr>
              <w:t>11.05%</w:t>
            </w:r>
          </w:p>
        </w:tc>
        <w:tc>
          <w:tcPr>
            <w:vAlign w:val="center"/>
          </w:tcPr>
          <w:p>
            <w:pPr>
              <w:jc w:val="center"/>
            </w:pPr>
            <w:r>
              <w:rPr>
                <w:color w:val="000000"/>
                <w:sz w:val="24"/>
              </w:rPr>
              <w:t>0.00%</w:t>
            </w:r>
          </w:p>
        </w:tc>
      </w:tr>
      <w:tr>
        <w:tc>
          <w:tcPr>
            <w:vAlign w:val="center"/>
          </w:tcPr>
          <w:p>
            <w:pPr>
              <w:jc w:val="left"/>
            </w:pPr>
            <w:r>
              <w:rPr>
                <w:color w:val="000000"/>
                <w:sz w:val="24"/>
              </w:rPr>
              <w:t>自基金合同生效起至今</w:t>
            </w:r>
          </w:p>
        </w:tc>
        <w:tc>
          <w:tcPr>
            <w:vAlign w:val="center"/>
          </w:tcPr>
          <w:p>
            <w:pPr>
              <w:jc w:val="center"/>
            </w:pPr>
            <w:r>
              <w:rPr>
                <w:color w:val="000000"/>
                <w:sz w:val="24"/>
              </w:rPr>
              <w:t>26.31%</w:t>
            </w:r>
          </w:p>
        </w:tc>
        <w:tc>
          <w:tcPr>
            <w:vAlign w:val="center"/>
          </w:tcPr>
          <w:p>
            <w:pPr>
              <w:jc w:val="center"/>
            </w:pPr>
            <w:r>
              <w:rPr>
                <w:color w:val="000000"/>
                <w:sz w:val="24"/>
              </w:rPr>
              <w:t>0.06%</w:t>
            </w:r>
          </w:p>
        </w:tc>
        <w:tc>
          <w:tcPr>
            <w:vAlign w:val="center"/>
          </w:tcPr>
          <w:p>
            <w:pPr>
              <w:jc w:val="center"/>
            </w:pPr>
            <w:r>
              <w:rPr>
                <w:color w:val="000000"/>
                <w:sz w:val="24"/>
              </w:rPr>
              <w:t>7.17%</w:t>
            </w:r>
          </w:p>
        </w:tc>
        <w:tc>
          <w:tcPr>
            <w:vAlign w:val="center"/>
          </w:tcPr>
          <w:p>
            <w:pPr>
              <w:jc w:val="center"/>
            </w:pPr>
            <w:r>
              <w:rPr>
                <w:color w:val="000000"/>
                <w:sz w:val="24"/>
              </w:rPr>
              <w:t>0.06%</w:t>
            </w:r>
          </w:p>
        </w:tc>
        <w:tc>
          <w:tcPr>
            <w:vAlign w:val="center"/>
          </w:tcPr>
          <w:p>
            <w:pPr>
              <w:jc w:val="center"/>
            </w:pPr>
            <w:r>
              <w:rPr>
                <w:color w:val="000000"/>
                <w:sz w:val="24"/>
              </w:rPr>
              <w:t>19.14%</w:t>
            </w:r>
          </w:p>
        </w:tc>
        <w:tc>
          <w:tcPr>
            <w:vAlign w:val="center"/>
          </w:tcPr>
          <w:p>
            <w:pPr>
              <w:jc w:val="center"/>
            </w:pPr>
            <w:r>
              <w:rPr>
                <w:color w:val="000000"/>
                <w:sz w:val="24"/>
              </w:rPr>
              <w:t>0.00%</w:t>
            </w:r>
          </w:p>
        </w:tc>
      </w:tr>
    </w:tbl>
    <w:p w:rsidP="007C14DF" w:rsidR="00E73221" w:rsidRDefault="00E73221" w:rsidRPr="007F52FA">
      <w:pPr>
        <w:autoSpaceDE w:val="0"/>
        <w:autoSpaceDN w:val="0"/>
        <w:adjustRightInd w:val="0"/>
        <w:spacing w:before="29" w:line="288" w:lineRule="auto"/>
        <w:jc w:val="left"/>
        <w:rPr>
          <w:color w:val="000000"/>
          <w:sz w:val="24"/>
        </w:rPr>
      </w:pPr>
      <w:r w:rsidRPr="007F52FA">
        <w:rPr>
          <w:color w:val="000000"/>
          <w:sz w:val="24"/>
        </w:rPr>
        <w:t/>
      </w:r>
      <w:r w:rsidR="004D614E" w:rsidRPr="007F52FA">
        <w:rPr>
          <w:color w:val="000000"/>
          <w:sz w:val="24"/>
        </w:rPr>
        <w:t/>
      </w:r>
      <w:r w:rsidR="00FE7FBD" w:rsidRPr="007F52FA">
        <w:rPr>
          <w:color w:val="000000"/>
          <w:sz w:val="24"/>
        </w:rPr>
        <w:t>注：本基金自2017年1月20日起转为开放式运作，本基金的业绩比较基准由“两年期银行定期存款税后收益率”变更为“中债综合全价指数”，3.2.2同。</w:t>
      </w:r>
    </w:p>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交银施罗德丰享收益债券型证券投资基金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2015年1月19日</w:t>
      </w:r>
      <w:r w:rsidR="009A045B" w:rsidRPr="007F52FA">
        <w:rPr>
          <w:rFonts w:ascii="Times New Roman" w:hAnsi="Times New Roman"/>
          <w:sz w:val="24"/>
          <w:szCs w:val="24"/>
        </w:rPr>
        <w:t>至</w:t>
      </w:r>
      <w:r w:rsidRPr="007F52FA">
        <w:rPr>
          <w:rFonts w:ascii="Times New Roman" w:hAnsi="Times New Roman"/>
          <w:sz w:val="24"/>
          <w:szCs w:val="24"/>
        </w:rPr>
        <w:t>2020年9月30日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交银丰享收益债券A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注：本基金自2017年1月20日起，开始销售A类份额，投资者提交的申购申请于2017年1月25日被确认并将有效份额登记在册。图示日期为2017年1月25日至2020年9月30日。</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交银丰享收益债券C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注：图示日期为2015年1月19日至2020年9月30日。本基金建仓期为自基金合同生效日起的6个月。截至建仓期结束，本基金各项资产配置比例符合基金合同及招募说明书有关投资比例的约定。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交银丰享收益债券、交银活期通货币、交银天利宝货币、交银裕隆纯债债券、交银天益宝货币、交银境尚收益债券、交银稳鑫短债债券、交银稳利中短债债券、交银中高等级信用债债券的基金经理</w:t>
            </w:r>
          </w:p>
        </w:tc>
        <w:tc>
          <w:tcPr>
            <w:vAlign w:val="center"/>
          </w:tcPr>
          <w:p>
            <w:pPr>
              <w:jc w:val="center"/>
            </w:pPr>
            <w:r>
              <w:rPr>
                <w:color w:val="000000"/>
                <w:sz w:val="24"/>
              </w:rPr>
              <w:t>2015-07-25</w:t>
            </w:r>
          </w:p>
        </w:tc>
        <w:tc>
          <w:tcPr>
            <w:vAlign w:val="center"/>
          </w:tcPr>
          <w:p>
            <w:pPr>
              <w:jc w:val="center"/>
            </w:pPr>
            <w:r>
              <w:rPr>
                <w:color w:val="000000"/>
                <w:sz w:val="24"/>
              </w:rPr>
              <w:t>-</w:t>
            </w:r>
          </w:p>
        </w:tc>
        <w:tc>
          <w:tcPr>
            <w:vAlign w:val="center"/>
          </w:tcPr>
          <w:p>
            <w:pPr>
              <w:jc w:val="center"/>
            </w:pPr>
            <w:r>
              <w:rPr>
                <w:color w:val="000000"/>
                <w:sz w:val="24"/>
              </w:rPr>
              <w:t>12年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2015年5月27日至2019年8月2日担任交银施罗德货币市场证券投资基金、交银施罗德现金宝货币市场基金的基金经理。2016年12月7日至2019年8月2日担任交银施罗德天鑫宝货币市场基金的基金经理。2015年12月29日至2019年10月23日担任交银施罗德裕通纯债债券型证券投资基金的基金经理。2015年5月27日至2020年7月27日担任转型前的交银施罗德理财21天债券型证券投资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债券市场主要受到经济复苏预期、货币政策回归常态、债券供给增加的影响，债券收益率整体呈现震荡上行的趋势。十年国债收益率在九月初最高上行直至3.15%附近。九月中旬之后股市风险偏好回落叠加市场预期境外机构加大债市配置，收益率出现小幅下行。</w:t>
      </w:r>
    </w:p>
    <w:p>
      <w:pPr>
        <w:spacing w:before="29" w:line="288" w:lineRule="auto"/>
        <w:ind w:firstLine="480" w:firstLineChars="200"/>
        <w:rPr>
          <w:color w:val="000000"/>
          <w:sz w:val="24"/>
        </w:rPr>
      </w:pPr>
      <w:r>
        <w:rPr>
          <w:color w:val="000000"/>
          <w:sz w:val="24"/>
        </w:rPr>
        <w:t>货币政策方面，虽然央行在八月中下旬开展7000亿MLF，略超市场预期，但在超储率低位、利率债放量发行和缴税、跨季等因素影响下，资金面持续维持平衡偏紧格局直至九月末，同业存单发行利率不断上行，三个月股份制银行的同业存单利率继续上行到2.65%附近，较二季度末有50bp幅度的上行。收益率曲线进一步熊平化。</w:t>
      </w:r>
    </w:p>
    <w:p>
      <w:pPr>
        <w:spacing w:before="29" w:line="288" w:lineRule="auto"/>
        <w:ind w:firstLine="480" w:firstLineChars="200"/>
        <w:rPr>
          <w:color w:val="000000"/>
          <w:sz w:val="24"/>
        </w:rPr>
      </w:pPr>
      <w:r>
        <w:rPr>
          <w:color w:val="000000"/>
          <w:sz w:val="24"/>
        </w:rPr>
        <w:t>基金操作方面，本基金仍然是以信用债票息策略为主，维持一个中性偏防守的久期水平。具体配置方面仍以1-3年中高等级信用债为主。同时适度运用杠杆操作增厚组合收益。</w:t>
      </w:r>
    </w:p>
    <w:p>
      <w:pPr>
        <w:spacing w:before="29" w:line="288" w:lineRule="auto"/>
        <w:ind w:firstLine="480" w:firstLineChars="200"/>
        <w:rPr>
          <w:color w:val="000000"/>
          <w:sz w:val="24"/>
        </w:rPr>
      </w:pPr>
      <w:r>
        <w:rPr>
          <w:color w:val="000000"/>
          <w:sz w:val="24"/>
        </w:rPr>
        <w:t>展望2020年四季度，国内基本面恢复的节奏和货币信用的边际变化将成为影响债市的主要因素。短期来看经济延续改善趋势、央行态度回归中性以及银行负债端压力较大，都不支持债市出现趋势性行情，预计市场会以弱势震荡为主。但随着年末供给压力减弱、信用增速放缓以及中美关系不确定性提升，债券市场或存在波段交易机会。资金面方面，疫情之后随着经济逐步恢复，货币政策也逐步退出总量性宽松模式，整体强调“精准导向”，短期内预计政策难以再度大幅宽松，但在降低融资成本的目标下，资金利率明显收紧概率不大。目前DR007大致在公开市场政策利率2.2%附近波动，预计进一步大幅上行空间有限，但由于超储率处于低位，银行间分层现象或较为明显，时点性因素将对非银机构的整体流动性造成一定影响。</w:t>
      </w:r>
    </w:p>
    <w:p w:rsidP="007C14DF" w:rsidR="00952A72" w:rsidRDefault="00323F25" w:rsidRPr="007F52FA">
      <w:pPr>
        <w:spacing w:before="29" w:line="288" w:lineRule="auto"/>
        <w:ind w:firstLine="480" w:firstLineChars="200"/>
        <w:rPr>
          <w:color w:val="000000"/>
          <w:sz w:val="24"/>
        </w:rPr>
      </w:pPr>
      <w:r w:rsidRPr="007F52FA">
        <w:rPr>
          <w:color w:val="000000"/>
          <w:sz w:val="24"/>
        </w:rPr>
        <w:t>组合操作方面，我们将根据对宏观经济、货币政策的判断，适时调整组合久期，采取票息策略为主的思路。在严控信用风险的基础上，对各类债券品种精耕细作，加强收益挖掘。同时，尽管资金利率明显回升，但随着债券收益率的回升，短端资金和资产收益利差空间仍然较为显著，我们会辅以合理杠杆水平来增厚组合收益。</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711,513,000.00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98.26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711,513,000.00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98.26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1,393,911.79</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0.19</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11,242,462.14</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1.55</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724,149,373.93</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30,078,000.00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5.50</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30,078,000.00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5.50</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681,435,000.00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124.51</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711,513,000.00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130.01</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101763007</w:t>
            </w:r>
          </w:p>
        </w:tc>
        <w:tc>
          <w:tcPr>
            <w:vAlign w:val="center"/>
          </w:tcPr>
          <w:p>
            <w:pPr>
              <w:jc w:val="center"/>
            </w:pPr>
            <w:r>
              <w:rPr>
                <w:color w:val="000000"/>
                <w:sz w:val="24"/>
              </w:rPr>
              <w:t>17即墨城投MTN001</w:t>
            </w:r>
          </w:p>
        </w:tc>
        <w:tc>
          <w:tcPr>
            <w:vAlign w:val="center"/>
          </w:tcPr>
          <w:p>
            <w:pPr>
              <w:jc w:val="right"/>
            </w:pPr>
            <w:r>
              <w:rPr>
                <w:color w:val="000000"/>
                <w:sz w:val="24"/>
              </w:rPr>
              <w:t>500,000</w:t>
            </w:r>
          </w:p>
        </w:tc>
        <w:tc>
          <w:tcPr>
            <w:vAlign w:val="center"/>
          </w:tcPr>
          <w:p>
            <w:pPr>
              <w:jc w:val="right"/>
            </w:pPr>
            <w:r>
              <w:rPr>
                <w:color w:val="000000"/>
                <w:sz w:val="24"/>
              </w:rPr>
              <w:t>51,585,000.00</w:t>
            </w:r>
          </w:p>
        </w:tc>
        <w:tc>
          <w:tcPr>
            <w:vAlign w:val="center"/>
          </w:tcPr>
          <w:p>
            <w:pPr>
              <w:jc w:val="right"/>
            </w:pPr>
            <w:r>
              <w:rPr>
                <w:color w:val="000000"/>
                <w:sz w:val="24"/>
              </w:rPr>
              <w:t>9.43</w:t>
            </w:r>
          </w:p>
        </w:tc>
      </w:tr>
      <w:tr>
        <w:tc>
          <w:tcPr>
            <w:vAlign w:val="center"/>
          </w:tcPr>
          <w:p>
            <w:pPr>
              <w:jc w:val="center"/>
            </w:pPr>
            <w:r>
              <w:rPr>
                <w:color w:val="000000"/>
                <w:sz w:val="24"/>
              </w:rPr>
              <w:t>2</w:t>
            </w:r>
          </w:p>
        </w:tc>
        <w:tc>
          <w:tcPr>
            <w:vAlign w:val="center"/>
          </w:tcPr>
          <w:p>
            <w:pPr>
              <w:jc w:val="center"/>
            </w:pPr>
            <w:r>
              <w:rPr>
                <w:color w:val="000000"/>
                <w:sz w:val="24"/>
              </w:rPr>
              <w:t>101656060</w:t>
            </w:r>
          </w:p>
        </w:tc>
        <w:tc>
          <w:tcPr>
            <w:vAlign w:val="center"/>
          </w:tcPr>
          <w:p>
            <w:pPr>
              <w:jc w:val="center"/>
            </w:pPr>
            <w:r>
              <w:rPr>
                <w:color w:val="000000"/>
                <w:sz w:val="24"/>
              </w:rPr>
              <w:t>16桂铁投MTN003</w:t>
            </w:r>
          </w:p>
        </w:tc>
        <w:tc>
          <w:tcPr>
            <w:vAlign w:val="center"/>
          </w:tcPr>
          <w:p>
            <w:pPr>
              <w:jc w:val="right"/>
            </w:pPr>
            <w:r>
              <w:rPr>
                <w:color w:val="000000"/>
                <w:sz w:val="24"/>
              </w:rPr>
              <w:t>500,000</w:t>
            </w:r>
          </w:p>
        </w:tc>
        <w:tc>
          <w:tcPr>
            <w:vAlign w:val="center"/>
          </w:tcPr>
          <w:p>
            <w:pPr>
              <w:jc w:val="right"/>
            </w:pPr>
            <w:r>
              <w:rPr>
                <w:color w:val="000000"/>
                <w:sz w:val="24"/>
              </w:rPr>
              <w:t>50,750,000.00</w:t>
            </w:r>
          </w:p>
        </w:tc>
        <w:tc>
          <w:tcPr>
            <w:vAlign w:val="center"/>
          </w:tcPr>
          <w:p>
            <w:pPr>
              <w:jc w:val="right"/>
            </w:pPr>
            <w:r>
              <w:rPr>
                <w:color w:val="000000"/>
                <w:sz w:val="24"/>
              </w:rPr>
              <w:t>9.27</w:t>
            </w:r>
          </w:p>
        </w:tc>
      </w:tr>
      <w:tr>
        <w:tc>
          <w:tcPr>
            <w:vAlign w:val="center"/>
          </w:tcPr>
          <w:p>
            <w:pPr>
              <w:jc w:val="center"/>
            </w:pPr>
            <w:r>
              <w:rPr>
                <w:color w:val="000000"/>
                <w:sz w:val="24"/>
              </w:rPr>
              <w:t>3</w:t>
            </w:r>
          </w:p>
        </w:tc>
        <w:tc>
          <w:tcPr>
            <w:vAlign w:val="center"/>
          </w:tcPr>
          <w:p>
            <w:pPr>
              <w:jc w:val="center"/>
            </w:pPr>
            <w:r>
              <w:rPr>
                <w:color w:val="000000"/>
                <w:sz w:val="24"/>
              </w:rPr>
              <w:t>101800640</w:t>
            </w:r>
          </w:p>
        </w:tc>
        <w:tc>
          <w:tcPr>
            <w:vAlign w:val="center"/>
          </w:tcPr>
          <w:p>
            <w:pPr>
              <w:jc w:val="center"/>
            </w:pPr>
            <w:r>
              <w:rPr>
                <w:color w:val="000000"/>
                <w:sz w:val="24"/>
              </w:rPr>
              <w:t>18环球租赁MTN001</w:t>
            </w:r>
          </w:p>
        </w:tc>
        <w:tc>
          <w:tcPr>
            <w:vAlign w:val="center"/>
          </w:tcPr>
          <w:p>
            <w:pPr>
              <w:jc w:val="right"/>
            </w:pPr>
            <w:r>
              <w:rPr>
                <w:color w:val="000000"/>
                <w:sz w:val="24"/>
              </w:rPr>
              <w:t>500,000</w:t>
            </w:r>
          </w:p>
        </w:tc>
        <w:tc>
          <w:tcPr>
            <w:vAlign w:val="center"/>
          </w:tcPr>
          <w:p>
            <w:pPr>
              <w:jc w:val="right"/>
            </w:pPr>
            <w:r>
              <w:rPr>
                <w:color w:val="000000"/>
                <w:sz w:val="24"/>
              </w:rPr>
              <w:t>50,710,000.00</w:t>
            </w:r>
          </w:p>
        </w:tc>
        <w:tc>
          <w:tcPr>
            <w:vAlign w:val="center"/>
          </w:tcPr>
          <w:p>
            <w:pPr>
              <w:jc w:val="right"/>
            </w:pPr>
            <w:r>
              <w:rPr>
                <w:color w:val="000000"/>
                <w:sz w:val="24"/>
              </w:rPr>
              <w:t>9.27</w:t>
            </w:r>
          </w:p>
        </w:tc>
      </w:tr>
      <w:tr>
        <w:tc>
          <w:tcPr>
            <w:vAlign w:val="center"/>
          </w:tcPr>
          <w:p>
            <w:pPr>
              <w:jc w:val="center"/>
            </w:pPr>
            <w:r>
              <w:rPr>
                <w:color w:val="000000"/>
                <w:sz w:val="24"/>
              </w:rPr>
              <w:t>4</w:t>
            </w:r>
          </w:p>
        </w:tc>
        <w:tc>
          <w:tcPr>
            <w:vAlign w:val="center"/>
          </w:tcPr>
          <w:p>
            <w:pPr>
              <w:jc w:val="center"/>
            </w:pPr>
            <w:r>
              <w:rPr>
                <w:color w:val="000000"/>
                <w:sz w:val="24"/>
              </w:rPr>
              <w:t>101901195</w:t>
            </w:r>
          </w:p>
        </w:tc>
        <w:tc>
          <w:tcPr>
            <w:vAlign w:val="center"/>
          </w:tcPr>
          <w:p>
            <w:pPr>
              <w:jc w:val="center"/>
            </w:pPr>
            <w:r>
              <w:rPr>
                <w:color w:val="000000"/>
                <w:sz w:val="24"/>
              </w:rPr>
              <w:t>19乌高新MTN002</w:t>
            </w:r>
          </w:p>
        </w:tc>
        <w:tc>
          <w:tcPr>
            <w:vAlign w:val="center"/>
          </w:tcPr>
          <w:p>
            <w:pPr>
              <w:jc w:val="right"/>
            </w:pPr>
            <w:r>
              <w:rPr>
                <w:color w:val="000000"/>
                <w:sz w:val="24"/>
              </w:rPr>
              <w:t>500,000</w:t>
            </w:r>
          </w:p>
        </w:tc>
        <w:tc>
          <w:tcPr>
            <w:vAlign w:val="center"/>
          </w:tcPr>
          <w:p>
            <w:pPr>
              <w:jc w:val="right"/>
            </w:pPr>
            <w:r>
              <w:rPr>
                <w:color w:val="000000"/>
                <w:sz w:val="24"/>
              </w:rPr>
              <w:t>50,275,000.00</w:t>
            </w:r>
          </w:p>
        </w:tc>
        <w:tc>
          <w:tcPr>
            <w:vAlign w:val="center"/>
          </w:tcPr>
          <w:p>
            <w:pPr>
              <w:jc w:val="right"/>
            </w:pPr>
            <w:r>
              <w:rPr>
                <w:color w:val="000000"/>
                <w:sz w:val="24"/>
              </w:rPr>
              <w:t>9.19</w:t>
            </w:r>
          </w:p>
        </w:tc>
      </w:tr>
      <w:tr>
        <w:tc>
          <w:tcPr>
            <w:vAlign w:val="center"/>
          </w:tcPr>
          <w:p>
            <w:pPr>
              <w:jc w:val="center"/>
            </w:pPr>
            <w:r>
              <w:rPr>
                <w:color w:val="000000"/>
                <w:sz w:val="24"/>
              </w:rPr>
              <w:t>5</w:t>
            </w:r>
          </w:p>
        </w:tc>
        <w:tc>
          <w:tcPr>
            <w:vAlign w:val="center"/>
          </w:tcPr>
          <w:p>
            <w:pPr>
              <w:jc w:val="center"/>
            </w:pPr>
            <w:r>
              <w:rPr>
                <w:color w:val="000000"/>
                <w:sz w:val="24"/>
              </w:rPr>
              <w:t>101800199</w:t>
            </w:r>
          </w:p>
        </w:tc>
        <w:tc>
          <w:tcPr>
            <w:vAlign w:val="center"/>
          </w:tcPr>
          <w:p>
            <w:pPr>
              <w:jc w:val="center"/>
            </w:pPr>
            <w:r>
              <w:rPr>
                <w:color w:val="000000"/>
                <w:sz w:val="24"/>
              </w:rPr>
              <w:t>18福建漳州MTN001</w:t>
            </w:r>
          </w:p>
        </w:tc>
        <w:tc>
          <w:tcPr>
            <w:vAlign w:val="center"/>
          </w:tcPr>
          <w:p>
            <w:pPr>
              <w:jc w:val="right"/>
            </w:pPr>
            <w:r>
              <w:rPr>
                <w:color w:val="000000"/>
                <w:sz w:val="24"/>
              </w:rPr>
              <w:t>400,000</w:t>
            </w:r>
          </w:p>
        </w:tc>
        <w:tc>
          <w:tcPr>
            <w:vAlign w:val="center"/>
          </w:tcPr>
          <w:p>
            <w:pPr>
              <w:jc w:val="right"/>
            </w:pPr>
            <w:r>
              <w:rPr>
                <w:color w:val="000000"/>
                <w:sz w:val="24"/>
              </w:rPr>
              <w:t>42,596,000.00</w:t>
            </w:r>
          </w:p>
        </w:tc>
        <w:tc>
          <w:tcPr>
            <w:vAlign w:val="center"/>
          </w:tcPr>
          <w:p>
            <w:pPr>
              <w:jc w:val="right"/>
            </w:pPr>
            <w:r>
              <w:rPr>
                <w:color w:val="000000"/>
                <w:sz w:val="24"/>
              </w:rPr>
              <w:t>7.78</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bookmarkStart w:id="2" w:name="_GoBack"/>
      <w:r w:rsidRPr="00885AD9">
        <w:rPr>
          <w:b/>
          <w:kern w:val="0"/>
          <w:sz w:val="24"/>
        </w:rPr>
        <w:t>5.11.3</w:t>
      </w:r>
      <w:bookmarkEnd w:id="2"/>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11,230,411.71</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12,050.43</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11,242,462.14</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交银丰享收益债券A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交银丰享收益债券C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504,971,861.45</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8,040,266.72</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1,018,841.98</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132,363.32</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252,291,161.71</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2,155,077.15</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253,699,541.72</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6,017,552.89</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2020/7/1-2020/9/30</w:t>
            </w:r>
          </w:p>
        </w:tc>
        <w:tc>
          <w:tcPr>
            <w:vAlign w:val="center"/>
          </w:tcPr>
          <w:p>
            <w:pPr>
              <w:jc w:val="center"/>
            </w:pPr>
            <w:r>
              <w:rPr>
                <w:rFonts w:ascii="宋体" w:hAnsi="宋体" w:hint="eastAsia"/>
                <w:color w:val="000000"/>
                <w:kern w:val="0"/>
                <w:szCs w:val="21"/>
              </w:rPr>
              <w:t>246,913,086.42</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246,913,086.42</w:t>
            </w:r>
          </w:p>
        </w:tc>
        <w:tc>
          <w:tcPr>
            <w:vAlign w:val="center"/>
          </w:tcPr>
          <w:p>
            <w:pPr>
              <w:jc w:val="center"/>
            </w:pPr>
            <w:r>
              <w:rPr>
                <w:rFonts w:ascii="宋体" w:hAnsi="宋体" w:hint="eastAsia"/>
                <w:color w:val="000000"/>
                <w:kern w:val="0"/>
                <w:szCs w:val="21"/>
              </w:rPr>
              <w:t>95.07%</w:t>
            </w:r>
          </w:p>
        </w:tc>
      </w:tr>
      <w:tr>
        <w:tc>
          <w:tcPr>
            <w:vMerge/>
          </w:tcPr>
          <w:p/>
        </w:tc>
        <w:tc>
          <w:tcPr>
            <w:vAlign w:val="center"/>
          </w:tcPr>
          <w:p>
            <w:pPr>
              <w:jc w:val="center"/>
            </w:pPr>
            <w:r>
              <w:rPr>
                <w:rFonts w:ascii="宋体" w:hAnsi="宋体" w:hint="eastAsia"/>
                <w:color w:val="000000"/>
                <w:kern w:val="0"/>
                <w:szCs w:val="21"/>
              </w:rPr>
              <w:t>2</w:t>
            </w:r>
          </w:p>
        </w:tc>
        <w:tc>
          <w:tcPr>
            <w:vAlign w:val="center"/>
          </w:tcPr>
          <w:p>
            <w:pPr>
              <w:jc w:val="center"/>
            </w:pPr>
            <w:r>
              <w:rPr>
                <w:rFonts w:ascii="宋体" w:hAnsi="宋体" w:hint="eastAsia"/>
                <w:color w:val="000000"/>
                <w:kern w:val="0"/>
                <w:szCs w:val="21"/>
              </w:rPr>
              <w:t>2020/7/1-2020/9/30</w:t>
            </w:r>
          </w:p>
        </w:tc>
        <w:tc>
          <w:tcPr>
            <w:vAlign w:val="center"/>
          </w:tcPr>
          <w:p>
            <w:pPr>
              <w:jc w:val="center"/>
            </w:pPr>
            <w:r>
              <w:rPr>
                <w:rFonts w:ascii="宋体" w:hAnsi="宋体" w:hint="eastAsia"/>
                <w:color w:val="000000"/>
                <w:kern w:val="0"/>
                <w:szCs w:val="21"/>
              </w:rPr>
              <w:t>246,913,580.25</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246,913,580.25</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8.2 影响投资者决策的其他重要信息</w:t>
      </w:r>
    </w:p>
    <w:p w:rsidP="00ED0E09" w:rsidR="00ED0E09" w:rsidRDefault="00ED0E09">
      <w:pPr>
        <w:spacing w:line="360" w:lineRule="auto"/>
        <w:ind w:firstLine="420" w:firstLineChars="200"/>
        <w:rPr>
          <w:rFonts w:ascii="宋体" w:hAnsi="宋体"/>
          <w:color w:val="000000"/>
          <w:szCs w:val="21"/>
        </w:rPr>
      </w:pPr>
      <w:r>
        <w:rPr>
          <w:rFonts w:ascii="宋体" w:hAnsi="宋体" w:hint="eastAsia"/>
          <w:color w:val="000000"/>
          <w:szCs w:val="21"/>
        </w:rPr>
        <w:t>为更好地维护基金份额持有人的利益，提高本基金基金份额净值的精确度，本基金管理人经与基金托管人协商一致，并报中国证券监督管理委员会备案，自2020年7月27日起调整本基金的基金份额净值计算小数点后保留位数，由保留到小数点后3位调整为小数点后4位，小数点后第5位四舍五入，并对本基金的基金合同、托管协议作相应修改。详情请查阅本基金管理人于2020年7月24日发布的《交银施罗德基金管理有限公司关于调整旗下11只公募基金的基金份额净值计算小数点后保留位数并修改基金合同、托管协议的公告》。</w:t>
      </w:r>
    </w:p>
    <w:p w:rsidP="007C14DF" w:rsidR="00BB1033" w:rsidRDefault="00BB1033" w:rsidRPr="007F52FA">
      <w:pPr>
        <w:spacing w:before="29" w:line="288" w:lineRule="auto"/>
        <w:ind w:firstLine="480" w:firstLineChars="200"/>
        <w:rPr>
          <w:rFonts w:eastAsiaTheme="minorEastAsia"/>
          <w:color w:val="000000"/>
          <w:sz w:val="24"/>
        </w:rPr>
      </w:pPr>
    </w:p>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1、中国证监会准予交银施罗德丰享收益债券型证券投资基金募集注册的文件；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2、《交银施罗德丰享收益债券型证券投资基金基金合同》；</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3、《交银施罗德丰享收益债券型证券投资基金招募说明书》；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4、《交银施罗德丰享收益债券型证券投资基金托管协议》；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5、基金管理人业务资格批件、营业执照；</w:t>
      </w:r>
    </w:p>
    <w:p>
      <w:pPr>
        <w:spacing w:before="29" w:line="288" w:lineRule="auto"/>
        <w:ind w:firstLine="480" w:firstLineChars="200"/>
        <w:rPr>
          <w:rFonts w:eastAsiaTheme="minorEastAsia"/>
          <w:color w:val="000000"/>
          <w:sz w:val="24"/>
        </w:rPr>
      </w:pPr>
      <w:r>
        <w:rPr>
          <w:rFonts w:eastAsiaTheme="minorEastAsia"/>
          <w:color w:val="000000"/>
          <w:sz w:val="24"/>
        </w:rPr>
        <w:t>6、基金托管人业务资格批件、营业执照；</w:t>
      </w:r>
    </w:p>
    <w:p>
      <w:pPr>
        <w:spacing w:before="29" w:line="288" w:lineRule="auto"/>
        <w:ind w:firstLine="480" w:firstLineChars="200"/>
        <w:rPr>
          <w:rFonts w:eastAsiaTheme="minorEastAsia"/>
          <w:color w:val="000000"/>
          <w:sz w:val="24"/>
        </w:rPr>
      </w:pPr>
      <w:r>
        <w:rPr>
          <w:rFonts w:eastAsiaTheme="minorEastAsia"/>
          <w:color w:val="000000"/>
          <w:sz w:val="24"/>
        </w:rPr>
        <w:t>7、关于申请募集注册交银施罗德丰享收益债券型证券投资基金的法律意见书；</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8、报告期内交银施罗德丰享收益债券型证券投资基金在指定报刊上各项公告的原稿。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885AD9">
      <w:rPr>
        <w:noProof/>
        <w:kern w:val="0"/>
        <w:szCs w:val="21"/>
      </w:rPr>
      <w:t>19</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885AD9">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685AD1" w:rsidRDefault="00685AD1">
      <w:r>
        <w:separator/>
      </w:r>
    </w:p>
  </w:footnote>
  <w:footnote w:id="0" w:type="continuationSeparator">
    <w:p w:rsidR="00685AD1" w:rsidRDefault="00685AD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交银施罗德丰享收益债券型证券投资基金2020年第3季度报告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82FB8-C167-4963-8B27-9929FDC0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254</TotalTime>
  <Pages>27</Pages>
  <Words>4295</Words>
  <Characters>24488</Characters>
  <Application>Microsoft Office Word</Application>
  <DocSecurity>0</DocSecurity>
  <Lines>204</Lines>
  <Paragraphs>57</Paragraphs>
  <ScaleCrop>false</ScaleCrop>
  <Company>TRT. Ltd. Co.</Company>
  <LinksUpToDate>false</LinksUpToDate>
  <CharactersWithSpaces>28726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2020-03-05T08:23:00Z</dcterms:modified>
  <cp:revision>404</cp:revision>
</cp:coreProperties>
</file>