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交银施罗德科锐科技创新混合型证券投资基金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A17EC" w:rsidRDefault="0066669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A17EC" w:rsidRDefault="00666690">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A17EC" w:rsidRDefault="0066669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w:t>
      </w:r>
      <w:r>
        <w:rPr>
          <w:color w:val="000000"/>
          <w:sz w:val="24"/>
          <w:szCs w:val="24"/>
        </w:rPr>
        <w:t xml:space="preserve"> </w:t>
      </w:r>
    </w:p>
    <w:p w:rsidR="001A17EC" w:rsidRDefault="0066669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A17EC" w:rsidRDefault="0066669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交银科锐科技创新混合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008734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008734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507,802,347.58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在严格控制风险的前提下，追求超越业绩比较基准的投资回报，力争实现基金资产的长期稳健增值。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A17EC" w:rsidRDefault="00666690">
            <w:pPr>
              <w:adjustRightInd w:val="0"/>
              <w:spacing w:before="29" w:line="288" w:lineRule="auto"/>
              <w:ind w:left="17"/>
              <w:jc w:val="left"/>
              <w:rPr>
                <w:color w:val="000000"/>
                <w:sz w:val="24"/>
                <w:szCs w:val="24"/>
              </w:rPr>
            </w:pPr>
            <w:r>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本基金主要运用交银施罗德股票研究分析方法等投资分析工具，在把握宏观经济运行趋势和股票市场行业轮动的基础上，充分发挥公司股票研究团队</w:t>
            </w:r>
            <w:r w:rsidRPr="00414345">
              <w:rPr>
                <w:color w:val="000000"/>
                <w:kern w:val="0"/>
                <w:sz w:val="24"/>
                <w:szCs w:val="24"/>
              </w:rPr>
              <w:t>“</w:t>
            </w:r>
            <w:r w:rsidRPr="00414345">
              <w:rPr>
                <w:color w:val="000000"/>
                <w:kern w:val="0"/>
                <w:sz w:val="24"/>
                <w:szCs w:val="24"/>
              </w:rPr>
              <w:t>自下而</w:t>
            </w:r>
            <w:r w:rsidRPr="00414345">
              <w:rPr>
                <w:color w:val="000000"/>
                <w:kern w:val="0"/>
                <w:sz w:val="24"/>
                <w:szCs w:val="24"/>
              </w:rPr>
              <w:lastRenderedPageBreak/>
              <w:t>上</w:t>
            </w:r>
            <w:r w:rsidRPr="00414345">
              <w:rPr>
                <w:color w:val="000000"/>
                <w:kern w:val="0"/>
                <w:sz w:val="24"/>
                <w:szCs w:val="24"/>
              </w:rPr>
              <w:t>”</w:t>
            </w:r>
            <w:r w:rsidRPr="00414345">
              <w:rPr>
                <w:color w:val="000000"/>
                <w:kern w:val="0"/>
                <w:sz w:val="24"/>
                <w:szCs w:val="24"/>
              </w:rPr>
              <w:t>的主动选股能力，基于对个股深入的基本面研究和细致的实地调研，精选股票构建股票投资组合。科技创新企业主要是指坚持面向世界科技前沿、面向经济主战场、面向国家重大需求，符合国家战略、突破关键核心技术、市场认可度高的科技创新企业。</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中国战略新兴产业成份指数收益率</w:t>
            </w:r>
            <w:r w:rsidRPr="00414345">
              <w:rPr>
                <w:color w:val="000000"/>
                <w:kern w:val="0"/>
                <w:sz w:val="24"/>
                <w:szCs w:val="24"/>
              </w:rPr>
              <w:t>×65%+</w:t>
            </w:r>
            <w:r w:rsidRPr="00414345">
              <w:rPr>
                <w:color w:val="000000"/>
                <w:kern w:val="0"/>
                <w:sz w:val="24"/>
                <w:szCs w:val="24"/>
              </w:rPr>
              <w:t>中证综合债券指数收益率</w:t>
            </w:r>
            <w:r w:rsidRPr="00414345">
              <w:rPr>
                <w:color w:val="000000"/>
                <w:kern w:val="0"/>
                <w:sz w:val="24"/>
                <w:szCs w:val="24"/>
              </w:rPr>
              <w:t>×35%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66690" w:rsidRPr="00414345" w:rsidTr="0066669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66690" w:rsidRPr="00414345" w:rsidTr="0066669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94,969,451.98</w:t>
            </w:r>
          </w:p>
        </w:tc>
      </w:tr>
      <w:tr w:rsidR="00666690" w:rsidRPr="00414345" w:rsidTr="0066669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90,695,588.02</w:t>
            </w:r>
          </w:p>
        </w:tc>
      </w:tr>
      <w:tr w:rsidR="00666690" w:rsidRPr="00414345" w:rsidTr="0066669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0.1568</w:t>
            </w:r>
          </w:p>
        </w:tc>
      </w:tr>
      <w:tr w:rsidR="00666690" w:rsidRPr="00414345" w:rsidTr="0066669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638,597,066.22</w:t>
            </w:r>
          </w:p>
        </w:tc>
      </w:tr>
      <w:tr w:rsidR="00666690" w:rsidRPr="00414345" w:rsidTr="0066669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1.2576</w:t>
            </w:r>
          </w:p>
        </w:tc>
      </w:tr>
    </w:tbl>
    <w:p w:rsidR="001A17EC" w:rsidRDefault="0066669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A17EC">
        <w:trPr>
          <w:jc w:val="center"/>
        </w:trPr>
        <w:tc>
          <w:tcPr>
            <w:tcW w:w="1701" w:type="dxa"/>
            <w:vAlign w:val="center"/>
          </w:tcPr>
          <w:p w:rsidR="001A17EC" w:rsidRDefault="00666690">
            <w:pPr>
              <w:jc w:val="left"/>
            </w:pPr>
            <w:r>
              <w:rPr>
                <w:color w:val="000000"/>
                <w:sz w:val="24"/>
                <w:szCs w:val="24"/>
              </w:rPr>
              <w:t>过去三个月</w:t>
            </w:r>
          </w:p>
        </w:tc>
        <w:tc>
          <w:tcPr>
            <w:tcW w:w="1045" w:type="dxa"/>
            <w:vAlign w:val="center"/>
          </w:tcPr>
          <w:p w:rsidR="001A17EC" w:rsidRDefault="00666690">
            <w:pPr>
              <w:jc w:val="center"/>
            </w:pPr>
            <w:r>
              <w:rPr>
                <w:color w:val="000000"/>
                <w:sz w:val="24"/>
                <w:szCs w:val="24"/>
              </w:rPr>
              <w:t>11.66%</w:t>
            </w:r>
          </w:p>
        </w:tc>
        <w:tc>
          <w:tcPr>
            <w:tcW w:w="1344" w:type="dxa"/>
            <w:vAlign w:val="center"/>
          </w:tcPr>
          <w:p w:rsidR="001A17EC" w:rsidRDefault="00666690">
            <w:pPr>
              <w:jc w:val="center"/>
            </w:pPr>
            <w:r>
              <w:rPr>
                <w:color w:val="000000"/>
                <w:sz w:val="24"/>
                <w:szCs w:val="24"/>
              </w:rPr>
              <w:t>1.68%</w:t>
            </w:r>
          </w:p>
        </w:tc>
        <w:tc>
          <w:tcPr>
            <w:tcW w:w="1194" w:type="dxa"/>
            <w:vAlign w:val="center"/>
          </w:tcPr>
          <w:p w:rsidR="001A17EC" w:rsidRDefault="00666690">
            <w:pPr>
              <w:jc w:val="center"/>
            </w:pPr>
            <w:r>
              <w:rPr>
                <w:color w:val="000000"/>
                <w:sz w:val="24"/>
                <w:szCs w:val="24"/>
              </w:rPr>
              <w:t>4.93%</w:t>
            </w:r>
          </w:p>
        </w:tc>
        <w:tc>
          <w:tcPr>
            <w:tcW w:w="1492" w:type="dxa"/>
            <w:vAlign w:val="center"/>
          </w:tcPr>
          <w:p w:rsidR="001A17EC" w:rsidRDefault="00666690">
            <w:pPr>
              <w:jc w:val="center"/>
            </w:pPr>
            <w:r>
              <w:rPr>
                <w:color w:val="000000"/>
                <w:sz w:val="24"/>
                <w:szCs w:val="24"/>
              </w:rPr>
              <w:t>1.20%</w:t>
            </w:r>
          </w:p>
        </w:tc>
        <w:tc>
          <w:tcPr>
            <w:tcW w:w="1194" w:type="dxa"/>
            <w:vAlign w:val="center"/>
          </w:tcPr>
          <w:p w:rsidR="001A17EC" w:rsidRDefault="00666690">
            <w:pPr>
              <w:jc w:val="center"/>
            </w:pPr>
            <w:r>
              <w:rPr>
                <w:color w:val="000000"/>
                <w:sz w:val="24"/>
                <w:szCs w:val="24"/>
              </w:rPr>
              <w:t>6.73%</w:t>
            </w:r>
          </w:p>
        </w:tc>
        <w:tc>
          <w:tcPr>
            <w:tcW w:w="898" w:type="dxa"/>
            <w:vAlign w:val="center"/>
          </w:tcPr>
          <w:p w:rsidR="001A17EC" w:rsidRDefault="00666690">
            <w:pPr>
              <w:jc w:val="center"/>
            </w:pPr>
            <w:r>
              <w:rPr>
                <w:color w:val="000000"/>
                <w:sz w:val="24"/>
                <w:szCs w:val="24"/>
              </w:rPr>
              <w:t>0.48%</w:t>
            </w:r>
          </w:p>
        </w:tc>
      </w:tr>
      <w:tr w:rsidR="001A17EC">
        <w:trPr>
          <w:jc w:val="center"/>
        </w:trPr>
        <w:tc>
          <w:tcPr>
            <w:tcW w:w="1701" w:type="dxa"/>
            <w:vAlign w:val="center"/>
          </w:tcPr>
          <w:p w:rsidR="001A17EC" w:rsidRDefault="00666690">
            <w:pPr>
              <w:jc w:val="left"/>
            </w:pPr>
            <w:r>
              <w:rPr>
                <w:color w:val="000000"/>
                <w:sz w:val="24"/>
                <w:szCs w:val="24"/>
              </w:rPr>
              <w:lastRenderedPageBreak/>
              <w:t>过去六个月</w:t>
            </w:r>
          </w:p>
        </w:tc>
        <w:tc>
          <w:tcPr>
            <w:tcW w:w="1045" w:type="dxa"/>
            <w:vAlign w:val="center"/>
          </w:tcPr>
          <w:p w:rsidR="001A17EC" w:rsidRDefault="00666690">
            <w:pPr>
              <w:jc w:val="center"/>
            </w:pPr>
            <w:r>
              <w:rPr>
                <w:color w:val="000000"/>
                <w:sz w:val="24"/>
                <w:szCs w:val="24"/>
              </w:rPr>
              <w:t>27.92%</w:t>
            </w:r>
          </w:p>
        </w:tc>
        <w:tc>
          <w:tcPr>
            <w:tcW w:w="1344" w:type="dxa"/>
            <w:vAlign w:val="center"/>
          </w:tcPr>
          <w:p w:rsidR="001A17EC" w:rsidRDefault="00666690">
            <w:pPr>
              <w:jc w:val="center"/>
            </w:pPr>
            <w:r>
              <w:rPr>
                <w:color w:val="000000"/>
                <w:sz w:val="24"/>
                <w:szCs w:val="24"/>
              </w:rPr>
              <w:t>1.28%</w:t>
            </w:r>
          </w:p>
        </w:tc>
        <w:tc>
          <w:tcPr>
            <w:tcW w:w="1194" w:type="dxa"/>
            <w:vAlign w:val="center"/>
          </w:tcPr>
          <w:p w:rsidR="001A17EC" w:rsidRDefault="00666690">
            <w:pPr>
              <w:jc w:val="center"/>
            </w:pPr>
            <w:r>
              <w:rPr>
                <w:color w:val="000000"/>
                <w:sz w:val="24"/>
                <w:szCs w:val="24"/>
              </w:rPr>
              <w:t>23.77%</w:t>
            </w:r>
          </w:p>
        </w:tc>
        <w:tc>
          <w:tcPr>
            <w:tcW w:w="1492" w:type="dxa"/>
            <w:vAlign w:val="center"/>
          </w:tcPr>
          <w:p w:rsidR="001A17EC" w:rsidRDefault="00666690">
            <w:pPr>
              <w:jc w:val="center"/>
            </w:pPr>
            <w:r>
              <w:rPr>
                <w:color w:val="000000"/>
                <w:sz w:val="24"/>
                <w:szCs w:val="24"/>
              </w:rPr>
              <w:t>1.06%</w:t>
            </w:r>
          </w:p>
        </w:tc>
        <w:tc>
          <w:tcPr>
            <w:tcW w:w="1194" w:type="dxa"/>
            <w:vAlign w:val="center"/>
          </w:tcPr>
          <w:p w:rsidR="001A17EC" w:rsidRDefault="00666690">
            <w:pPr>
              <w:jc w:val="center"/>
            </w:pPr>
            <w:r>
              <w:rPr>
                <w:color w:val="000000"/>
                <w:sz w:val="24"/>
                <w:szCs w:val="24"/>
              </w:rPr>
              <w:t>4.15%</w:t>
            </w:r>
          </w:p>
        </w:tc>
        <w:tc>
          <w:tcPr>
            <w:tcW w:w="898" w:type="dxa"/>
            <w:vAlign w:val="center"/>
          </w:tcPr>
          <w:p w:rsidR="001A17EC" w:rsidRDefault="00666690">
            <w:pPr>
              <w:jc w:val="center"/>
            </w:pPr>
            <w:r>
              <w:rPr>
                <w:color w:val="000000"/>
                <w:sz w:val="24"/>
                <w:szCs w:val="24"/>
              </w:rPr>
              <w:t>0.22%</w:t>
            </w:r>
          </w:p>
        </w:tc>
      </w:tr>
      <w:tr w:rsidR="001A17EC">
        <w:trPr>
          <w:jc w:val="center"/>
        </w:trPr>
        <w:tc>
          <w:tcPr>
            <w:tcW w:w="1701" w:type="dxa"/>
            <w:vAlign w:val="center"/>
          </w:tcPr>
          <w:p w:rsidR="001A17EC" w:rsidRDefault="00666690">
            <w:pPr>
              <w:jc w:val="left"/>
            </w:pPr>
            <w:r>
              <w:rPr>
                <w:color w:val="000000"/>
                <w:sz w:val="24"/>
                <w:szCs w:val="24"/>
              </w:rPr>
              <w:t>自基金合同生效至今</w:t>
            </w:r>
          </w:p>
        </w:tc>
        <w:tc>
          <w:tcPr>
            <w:tcW w:w="1045" w:type="dxa"/>
            <w:vAlign w:val="center"/>
          </w:tcPr>
          <w:p w:rsidR="001A17EC" w:rsidRDefault="00666690">
            <w:pPr>
              <w:jc w:val="center"/>
            </w:pPr>
            <w:r>
              <w:rPr>
                <w:color w:val="000000"/>
                <w:sz w:val="24"/>
                <w:szCs w:val="24"/>
              </w:rPr>
              <w:t>25.76%</w:t>
            </w:r>
          </w:p>
        </w:tc>
        <w:tc>
          <w:tcPr>
            <w:tcW w:w="1344" w:type="dxa"/>
            <w:vAlign w:val="center"/>
          </w:tcPr>
          <w:p w:rsidR="001A17EC" w:rsidRDefault="00666690">
            <w:pPr>
              <w:jc w:val="center"/>
            </w:pPr>
            <w:r>
              <w:rPr>
                <w:color w:val="000000"/>
                <w:sz w:val="24"/>
                <w:szCs w:val="24"/>
              </w:rPr>
              <w:t>1.15%</w:t>
            </w:r>
          </w:p>
        </w:tc>
        <w:tc>
          <w:tcPr>
            <w:tcW w:w="1194" w:type="dxa"/>
            <w:vAlign w:val="center"/>
          </w:tcPr>
          <w:p w:rsidR="001A17EC" w:rsidRDefault="00666690">
            <w:pPr>
              <w:jc w:val="center"/>
            </w:pPr>
            <w:r>
              <w:rPr>
                <w:color w:val="000000"/>
                <w:sz w:val="24"/>
                <w:szCs w:val="24"/>
              </w:rPr>
              <w:t>22.09%</w:t>
            </w:r>
          </w:p>
        </w:tc>
        <w:tc>
          <w:tcPr>
            <w:tcW w:w="1492" w:type="dxa"/>
            <w:vAlign w:val="center"/>
          </w:tcPr>
          <w:p w:rsidR="001A17EC" w:rsidRDefault="00666690">
            <w:pPr>
              <w:jc w:val="center"/>
            </w:pPr>
            <w:r>
              <w:rPr>
                <w:color w:val="000000"/>
                <w:sz w:val="24"/>
                <w:szCs w:val="24"/>
              </w:rPr>
              <w:t>1.26%</w:t>
            </w:r>
          </w:p>
        </w:tc>
        <w:tc>
          <w:tcPr>
            <w:tcW w:w="1194" w:type="dxa"/>
            <w:vAlign w:val="center"/>
          </w:tcPr>
          <w:p w:rsidR="001A17EC" w:rsidRDefault="00666690">
            <w:pPr>
              <w:jc w:val="center"/>
            </w:pPr>
            <w:r>
              <w:rPr>
                <w:color w:val="000000"/>
                <w:sz w:val="24"/>
                <w:szCs w:val="24"/>
              </w:rPr>
              <w:t>3.67%</w:t>
            </w:r>
          </w:p>
        </w:tc>
        <w:tc>
          <w:tcPr>
            <w:tcW w:w="898" w:type="dxa"/>
            <w:vAlign w:val="center"/>
          </w:tcPr>
          <w:p w:rsidR="001A17EC" w:rsidRDefault="00666690">
            <w:pPr>
              <w:jc w:val="center"/>
            </w:pPr>
            <w:r>
              <w:rPr>
                <w:color w:val="000000"/>
                <w:sz w:val="24"/>
                <w:szCs w:val="24"/>
              </w:rPr>
              <w:t>-0.11%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交银施罗德科锐科技创新混合型证券投资基金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20</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A17EC">
        <w:trPr>
          <w:jc w:val="center"/>
        </w:trPr>
        <w:tc>
          <w:tcPr>
            <w:tcW w:w="846" w:type="dxa"/>
            <w:vAlign w:val="center"/>
          </w:tcPr>
          <w:p w:rsidR="001A17EC" w:rsidRDefault="00666690">
            <w:pPr>
              <w:jc w:val="center"/>
            </w:pPr>
            <w:r>
              <w:rPr>
                <w:color w:val="000000"/>
                <w:sz w:val="24"/>
                <w:szCs w:val="24"/>
              </w:rPr>
              <w:t>杨浩</w:t>
            </w:r>
          </w:p>
        </w:tc>
        <w:tc>
          <w:tcPr>
            <w:tcW w:w="845" w:type="dxa"/>
            <w:vAlign w:val="center"/>
          </w:tcPr>
          <w:p w:rsidR="001A17EC" w:rsidRDefault="00666690">
            <w:pPr>
              <w:jc w:val="center"/>
            </w:pPr>
            <w:r>
              <w:rPr>
                <w:color w:val="000000"/>
                <w:sz w:val="24"/>
                <w:szCs w:val="24"/>
              </w:rPr>
              <w:t>交银定期支付双息平衡混合、交银新生活力灵活配置混合、交银内核驱动混合、交银科锐科技创新混合的基金经理</w:t>
            </w:r>
          </w:p>
        </w:tc>
        <w:tc>
          <w:tcPr>
            <w:tcW w:w="1549" w:type="dxa"/>
            <w:vAlign w:val="center"/>
          </w:tcPr>
          <w:p w:rsidR="001A17EC" w:rsidRDefault="00666690">
            <w:pPr>
              <w:jc w:val="center"/>
            </w:pPr>
            <w:r>
              <w:rPr>
                <w:color w:val="000000"/>
                <w:sz w:val="24"/>
                <w:szCs w:val="24"/>
              </w:rPr>
              <w:t>2020-01-20</w:t>
            </w:r>
          </w:p>
        </w:tc>
        <w:tc>
          <w:tcPr>
            <w:tcW w:w="1548" w:type="dxa"/>
            <w:vAlign w:val="center"/>
          </w:tcPr>
          <w:p w:rsidR="001A17EC" w:rsidRDefault="00666690">
            <w:pPr>
              <w:jc w:val="center"/>
            </w:pPr>
            <w:r>
              <w:rPr>
                <w:color w:val="000000"/>
                <w:sz w:val="24"/>
                <w:szCs w:val="24"/>
              </w:rPr>
              <w:t>-</w:t>
            </w:r>
          </w:p>
        </w:tc>
        <w:tc>
          <w:tcPr>
            <w:tcW w:w="1407" w:type="dxa"/>
            <w:vAlign w:val="center"/>
          </w:tcPr>
          <w:p w:rsidR="001A17EC" w:rsidRDefault="00666690">
            <w:pPr>
              <w:jc w:val="center"/>
            </w:pPr>
            <w:r>
              <w:rPr>
                <w:color w:val="000000"/>
                <w:sz w:val="24"/>
                <w:szCs w:val="24"/>
              </w:rPr>
              <w:t>10</w:t>
            </w:r>
            <w:r>
              <w:rPr>
                <w:color w:val="000000"/>
                <w:sz w:val="24"/>
                <w:szCs w:val="24"/>
              </w:rPr>
              <w:t>年</w:t>
            </w:r>
          </w:p>
        </w:tc>
        <w:tc>
          <w:tcPr>
            <w:tcW w:w="2673" w:type="dxa"/>
            <w:vAlign w:val="center"/>
          </w:tcPr>
          <w:p w:rsidR="001A17EC" w:rsidRDefault="00666690">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r w:rsidR="001A17EC">
        <w:trPr>
          <w:jc w:val="center"/>
        </w:trPr>
        <w:tc>
          <w:tcPr>
            <w:tcW w:w="846" w:type="dxa"/>
            <w:vAlign w:val="center"/>
          </w:tcPr>
          <w:p w:rsidR="001A17EC" w:rsidRDefault="00666690">
            <w:pPr>
              <w:jc w:val="center"/>
            </w:pPr>
            <w:r>
              <w:rPr>
                <w:color w:val="000000"/>
                <w:sz w:val="24"/>
                <w:szCs w:val="24"/>
              </w:rPr>
              <w:t>田彧龙</w:t>
            </w:r>
          </w:p>
        </w:tc>
        <w:tc>
          <w:tcPr>
            <w:tcW w:w="845" w:type="dxa"/>
            <w:vAlign w:val="center"/>
          </w:tcPr>
          <w:p w:rsidR="001A17EC" w:rsidRDefault="00666690">
            <w:pPr>
              <w:jc w:val="center"/>
            </w:pPr>
            <w:r>
              <w:rPr>
                <w:color w:val="000000"/>
                <w:sz w:val="24"/>
                <w:szCs w:val="24"/>
              </w:rPr>
              <w:t>交银数据产业灵活配置混合、交银科锐科技创新混合、交银产业机遇混合的基金经理</w:t>
            </w:r>
          </w:p>
        </w:tc>
        <w:tc>
          <w:tcPr>
            <w:tcW w:w="1549" w:type="dxa"/>
            <w:vAlign w:val="center"/>
          </w:tcPr>
          <w:p w:rsidR="001A17EC" w:rsidRDefault="00666690">
            <w:pPr>
              <w:jc w:val="center"/>
            </w:pPr>
            <w:r>
              <w:rPr>
                <w:color w:val="000000"/>
                <w:sz w:val="24"/>
                <w:szCs w:val="24"/>
              </w:rPr>
              <w:t>2020-01-20</w:t>
            </w:r>
          </w:p>
        </w:tc>
        <w:tc>
          <w:tcPr>
            <w:tcW w:w="1548" w:type="dxa"/>
            <w:vAlign w:val="center"/>
          </w:tcPr>
          <w:p w:rsidR="001A17EC" w:rsidRDefault="00666690">
            <w:pPr>
              <w:jc w:val="center"/>
            </w:pPr>
            <w:r>
              <w:rPr>
                <w:color w:val="000000"/>
                <w:sz w:val="24"/>
                <w:szCs w:val="24"/>
              </w:rPr>
              <w:t>-</w:t>
            </w:r>
          </w:p>
        </w:tc>
        <w:tc>
          <w:tcPr>
            <w:tcW w:w="1407" w:type="dxa"/>
            <w:vAlign w:val="center"/>
          </w:tcPr>
          <w:p w:rsidR="001A17EC" w:rsidRDefault="00666690">
            <w:pPr>
              <w:jc w:val="center"/>
            </w:pPr>
            <w:r>
              <w:rPr>
                <w:color w:val="000000"/>
                <w:sz w:val="24"/>
                <w:szCs w:val="24"/>
              </w:rPr>
              <w:t>6</w:t>
            </w:r>
            <w:r>
              <w:rPr>
                <w:color w:val="000000"/>
                <w:sz w:val="24"/>
                <w:szCs w:val="24"/>
              </w:rPr>
              <w:t>年</w:t>
            </w:r>
          </w:p>
        </w:tc>
        <w:tc>
          <w:tcPr>
            <w:tcW w:w="2673" w:type="dxa"/>
            <w:vAlign w:val="center"/>
          </w:tcPr>
          <w:p w:rsidR="001A17EC" w:rsidRDefault="00666690">
            <w:r>
              <w:rPr>
                <w:color w:val="000000"/>
                <w:sz w:val="24"/>
                <w:szCs w:val="24"/>
              </w:rPr>
              <w:t>田彧龙先生，上海交通大学金融学硕士，浙江大学光电信息工程学学士。</w:t>
            </w:r>
            <w:r>
              <w:rPr>
                <w:color w:val="000000"/>
                <w:sz w:val="24"/>
                <w:szCs w:val="24"/>
              </w:rPr>
              <w:t>2014</w:t>
            </w:r>
            <w:r>
              <w:rPr>
                <w:color w:val="000000"/>
                <w:sz w:val="24"/>
                <w:szCs w:val="24"/>
              </w:rPr>
              <w:t>年</w:t>
            </w:r>
            <w:r>
              <w:rPr>
                <w:color w:val="000000"/>
                <w:sz w:val="24"/>
                <w:szCs w:val="24"/>
              </w:rPr>
              <w:t>7</w:t>
            </w:r>
            <w:r>
              <w:rPr>
                <w:color w:val="000000"/>
                <w:sz w:val="24"/>
                <w:szCs w:val="24"/>
              </w:rPr>
              <w:t>月加入交银施罗德基金管理有限公司，历任行业分析师、基金经理助理。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A17EC" w:rsidRDefault="0066669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A17EC" w:rsidRDefault="0066669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w:t>
      </w:r>
      <w:r>
        <w:rPr>
          <w:color w:val="000000"/>
          <w:sz w:val="24"/>
          <w:szCs w:val="24"/>
        </w:rPr>
        <w:t>按事前独立确定的投资方案对交易结果进行分配。</w:t>
      </w:r>
    </w:p>
    <w:p w:rsidR="001A17EC" w:rsidRDefault="0066669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A17EC" w:rsidRDefault="00666690">
      <w:pPr>
        <w:spacing w:before="29" w:line="288" w:lineRule="auto"/>
        <w:ind w:firstLineChars="200" w:firstLine="480"/>
        <w:rPr>
          <w:color w:val="000000"/>
          <w:sz w:val="24"/>
          <w:szCs w:val="24"/>
        </w:rPr>
      </w:pPr>
      <w:r>
        <w:rPr>
          <w:color w:val="000000"/>
          <w:sz w:val="24"/>
          <w:szCs w:val="24"/>
        </w:rPr>
        <w:t>2020</w:t>
      </w:r>
      <w:r>
        <w:rPr>
          <w:color w:val="000000"/>
          <w:sz w:val="24"/>
          <w:szCs w:val="24"/>
        </w:rPr>
        <w:t>年三季度，国内有效防范了新冠疫情的反扑，而国外整体疫情控制一般。整体我们看到随着疫苗的研发进展，疫情的影响正在减弱，但是疫情对于生活方式的长期影响值得思考。三季度，在操作层面，我们加配了新能源板块。</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年四季度，我们相对看好经济顺周期等领域，与此同时重点关注以</w:t>
      </w:r>
      <w:r w:rsidRPr="00414345">
        <w:rPr>
          <w:color w:val="000000"/>
          <w:sz w:val="24"/>
          <w:szCs w:val="24"/>
        </w:rPr>
        <w:t>TMT</w:t>
      </w:r>
      <w:r w:rsidRPr="00414345">
        <w:rPr>
          <w:color w:val="000000"/>
          <w:sz w:val="24"/>
          <w:szCs w:val="24"/>
        </w:rPr>
        <w:t>为代表的科技创新领域，在经历外部冲击后，很多公司进行了充分调整。长期来看，在新的一轮科技赋能周期下，中国科技公司仍将大有可为。新基建政策的发力，会给</w:t>
      </w:r>
      <w:r w:rsidRPr="00414345">
        <w:rPr>
          <w:color w:val="000000"/>
          <w:sz w:val="24"/>
          <w:szCs w:val="24"/>
        </w:rPr>
        <w:t>5G</w:t>
      </w:r>
      <w:r w:rsidRPr="00414345">
        <w:rPr>
          <w:color w:val="000000"/>
          <w:sz w:val="24"/>
          <w:szCs w:val="24"/>
        </w:rPr>
        <w:t>、</w:t>
      </w:r>
      <w:r w:rsidRPr="00414345">
        <w:rPr>
          <w:color w:val="000000"/>
          <w:sz w:val="24"/>
          <w:szCs w:val="24"/>
        </w:rPr>
        <w:t>IDC</w:t>
      </w:r>
      <w:r w:rsidRPr="00414345">
        <w:rPr>
          <w:color w:val="000000"/>
          <w:sz w:val="24"/>
          <w:szCs w:val="24"/>
        </w:rPr>
        <w:t>等产业注入活力，同样值得重点关注。在注册制的背景下，将有越来越多的优质公司</w:t>
      </w:r>
      <w:r w:rsidR="00666690">
        <w:rPr>
          <w:rFonts w:hint="eastAsia"/>
          <w:color w:val="000000"/>
          <w:sz w:val="24"/>
          <w:szCs w:val="24"/>
        </w:rPr>
        <w:t>登陆</w:t>
      </w:r>
      <w:bookmarkStart w:id="0" w:name="_GoBack"/>
      <w:bookmarkEnd w:id="0"/>
      <w:r w:rsidRPr="00414345">
        <w:rPr>
          <w:color w:val="000000"/>
          <w:sz w:val="24"/>
          <w:szCs w:val="24"/>
        </w:rPr>
        <w:t>资本市场，主动权益投资有望进入</w:t>
      </w:r>
      <w:r w:rsidRPr="00414345">
        <w:rPr>
          <w:color w:val="000000"/>
          <w:sz w:val="24"/>
          <w:szCs w:val="24"/>
        </w:rPr>
        <w:t>“</w:t>
      </w:r>
      <w:r w:rsidRPr="00414345">
        <w:rPr>
          <w:color w:val="000000"/>
          <w:sz w:val="24"/>
          <w:szCs w:val="24"/>
        </w:rPr>
        <w:t>黄金期</w:t>
      </w:r>
      <w:r w:rsidRPr="00414345">
        <w:rPr>
          <w:color w:val="000000"/>
          <w:sz w:val="24"/>
          <w:szCs w:val="24"/>
        </w:rPr>
        <w:t>”</w:t>
      </w:r>
      <w:r w:rsidRPr="00414345">
        <w:rPr>
          <w:color w:val="000000"/>
          <w:sz w:val="24"/>
          <w:szCs w:val="24"/>
        </w:rPr>
        <w:t>。</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533,858,224.55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83.16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533,858,224.55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83.16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72,727,458.48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11.33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35,392,770.88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5.51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641,978,453.91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6,825,968.00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363,263,835.88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28,264.03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39,621,111.36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53,715,382.95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7,113,610.00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12,105,103.40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70,328.62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16,284,099.39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34,817,491.80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533,858,224.55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83.60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A17EC">
        <w:trPr>
          <w:jc w:val="center"/>
        </w:trPr>
        <w:tc>
          <w:tcPr>
            <w:tcW w:w="855" w:type="dxa"/>
            <w:vAlign w:val="center"/>
          </w:tcPr>
          <w:p w:rsidR="001A17EC" w:rsidRDefault="00666690">
            <w:pPr>
              <w:jc w:val="center"/>
            </w:pPr>
            <w:r>
              <w:rPr>
                <w:color w:val="000000"/>
                <w:sz w:val="24"/>
                <w:szCs w:val="24"/>
              </w:rPr>
              <w:t>1</w:t>
            </w:r>
          </w:p>
        </w:tc>
        <w:tc>
          <w:tcPr>
            <w:tcW w:w="1334" w:type="dxa"/>
            <w:vAlign w:val="center"/>
          </w:tcPr>
          <w:p w:rsidR="001A17EC" w:rsidRDefault="00666690">
            <w:pPr>
              <w:jc w:val="center"/>
            </w:pPr>
            <w:r>
              <w:rPr>
                <w:color w:val="000000"/>
                <w:sz w:val="24"/>
                <w:szCs w:val="24"/>
              </w:rPr>
              <w:t>002049</w:t>
            </w:r>
          </w:p>
        </w:tc>
        <w:tc>
          <w:tcPr>
            <w:tcW w:w="1777" w:type="dxa"/>
            <w:vAlign w:val="center"/>
          </w:tcPr>
          <w:p w:rsidR="001A17EC" w:rsidRDefault="00666690">
            <w:pPr>
              <w:jc w:val="center"/>
            </w:pPr>
            <w:r>
              <w:rPr>
                <w:color w:val="000000"/>
                <w:sz w:val="24"/>
                <w:szCs w:val="24"/>
              </w:rPr>
              <w:t>紫光国微</w:t>
            </w:r>
          </w:p>
        </w:tc>
        <w:tc>
          <w:tcPr>
            <w:tcW w:w="1334" w:type="dxa"/>
            <w:vAlign w:val="center"/>
          </w:tcPr>
          <w:p w:rsidR="001A17EC" w:rsidRDefault="00666690">
            <w:pPr>
              <w:jc w:val="right"/>
            </w:pPr>
            <w:r>
              <w:rPr>
                <w:color w:val="000000"/>
                <w:sz w:val="24"/>
                <w:szCs w:val="24"/>
              </w:rPr>
              <w:t>361,400</w:t>
            </w:r>
          </w:p>
        </w:tc>
        <w:tc>
          <w:tcPr>
            <w:tcW w:w="1924" w:type="dxa"/>
            <w:vAlign w:val="center"/>
          </w:tcPr>
          <w:p w:rsidR="001A17EC" w:rsidRDefault="00666690">
            <w:pPr>
              <w:jc w:val="right"/>
            </w:pPr>
            <w:r>
              <w:rPr>
                <w:color w:val="000000"/>
                <w:sz w:val="24"/>
                <w:szCs w:val="24"/>
              </w:rPr>
              <w:t>42,927,092.00</w:t>
            </w:r>
          </w:p>
        </w:tc>
        <w:tc>
          <w:tcPr>
            <w:tcW w:w="1644" w:type="dxa"/>
            <w:vAlign w:val="center"/>
          </w:tcPr>
          <w:p w:rsidR="001A17EC" w:rsidRDefault="00666690">
            <w:pPr>
              <w:jc w:val="right"/>
            </w:pPr>
            <w:r>
              <w:rPr>
                <w:color w:val="000000"/>
                <w:sz w:val="24"/>
                <w:szCs w:val="24"/>
              </w:rPr>
              <w:t>6.72</w:t>
            </w:r>
          </w:p>
        </w:tc>
      </w:tr>
      <w:tr w:rsidR="001A17EC">
        <w:trPr>
          <w:jc w:val="center"/>
        </w:trPr>
        <w:tc>
          <w:tcPr>
            <w:tcW w:w="855" w:type="dxa"/>
            <w:vAlign w:val="center"/>
          </w:tcPr>
          <w:p w:rsidR="001A17EC" w:rsidRDefault="00666690">
            <w:pPr>
              <w:jc w:val="center"/>
            </w:pPr>
            <w:r>
              <w:rPr>
                <w:color w:val="000000"/>
                <w:sz w:val="24"/>
                <w:szCs w:val="24"/>
              </w:rPr>
              <w:t>2</w:t>
            </w:r>
          </w:p>
        </w:tc>
        <w:tc>
          <w:tcPr>
            <w:tcW w:w="1334" w:type="dxa"/>
            <w:vAlign w:val="center"/>
          </w:tcPr>
          <w:p w:rsidR="001A17EC" w:rsidRDefault="00666690">
            <w:pPr>
              <w:jc w:val="center"/>
            </w:pPr>
            <w:r>
              <w:rPr>
                <w:color w:val="000000"/>
                <w:sz w:val="24"/>
                <w:szCs w:val="24"/>
              </w:rPr>
              <w:t>002352</w:t>
            </w:r>
          </w:p>
        </w:tc>
        <w:tc>
          <w:tcPr>
            <w:tcW w:w="1777" w:type="dxa"/>
            <w:vAlign w:val="center"/>
          </w:tcPr>
          <w:p w:rsidR="001A17EC" w:rsidRDefault="00666690">
            <w:pPr>
              <w:jc w:val="center"/>
            </w:pPr>
            <w:r>
              <w:rPr>
                <w:color w:val="000000"/>
                <w:sz w:val="24"/>
                <w:szCs w:val="24"/>
              </w:rPr>
              <w:t>顺丰控股</w:t>
            </w:r>
          </w:p>
        </w:tc>
        <w:tc>
          <w:tcPr>
            <w:tcW w:w="1334" w:type="dxa"/>
            <w:vAlign w:val="center"/>
          </w:tcPr>
          <w:p w:rsidR="001A17EC" w:rsidRDefault="00666690">
            <w:pPr>
              <w:jc w:val="right"/>
            </w:pPr>
            <w:r>
              <w:rPr>
                <w:color w:val="000000"/>
                <w:sz w:val="24"/>
                <w:szCs w:val="24"/>
              </w:rPr>
              <w:t>487,715</w:t>
            </w:r>
          </w:p>
        </w:tc>
        <w:tc>
          <w:tcPr>
            <w:tcW w:w="1924" w:type="dxa"/>
            <w:vAlign w:val="center"/>
          </w:tcPr>
          <w:p w:rsidR="001A17EC" w:rsidRDefault="00666690">
            <w:pPr>
              <w:jc w:val="right"/>
            </w:pPr>
            <w:r>
              <w:rPr>
                <w:color w:val="000000"/>
                <w:sz w:val="24"/>
                <w:szCs w:val="24"/>
              </w:rPr>
              <w:t>39,602,458.00</w:t>
            </w:r>
          </w:p>
        </w:tc>
        <w:tc>
          <w:tcPr>
            <w:tcW w:w="1644" w:type="dxa"/>
            <w:vAlign w:val="center"/>
          </w:tcPr>
          <w:p w:rsidR="001A17EC" w:rsidRDefault="00666690">
            <w:pPr>
              <w:jc w:val="right"/>
            </w:pPr>
            <w:r>
              <w:rPr>
                <w:color w:val="000000"/>
                <w:sz w:val="24"/>
                <w:szCs w:val="24"/>
              </w:rPr>
              <w:t>6.20</w:t>
            </w:r>
          </w:p>
        </w:tc>
      </w:tr>
      <w:tr w:rsidR="001A17EC">
        <w:trPr>
          <w:jc w:val="center"/>
        </w:trPr>
        <w:tc>
          <w:tcPr>
            <w:tcW w:w="855" w:type="dxa"/>
            <w:vAlign w:val="center"/>
          </w:tcPr>
          <w:p w:rsidR="001A17EC" w:rsidRDefault="00666690">
            <w:pPr>
              <w:jc w:val="center"/>
            </w:pPr>
            <w:r>
              <w:rPr>
                <w:color w:val="000000"/>
                <w:sz w:val="24"/>
                <w:szCs w:val="24"/>
              </w:rPr>
              <w:t>3</w:t>
            </w:r>
          </w:p>
        </w:tc>
        <w:tc>
          <w:tcPr>
            <w:tcW w:w="1334" w:type="dxa"/>
            <w:vAlign w:val="center"/>
          </w:tcPr>
          <w:p w:rsidR="001A17EC" w:rsidRDefault="00666690">
            <w:pPr>
              <w:jc w:val="center"/>
            </w:pPr>
            <w:r>
              <w:rPr>
                <w:color w:val="000000"/>
                <w:sz w:val="24"/>
                <w:szCs w:val="24"/>
              </w:rPr>
              <w:t>002050</w:t>
            </w:r>
          </w:p>
        </w:tc>
        <w:tc>
          <w:tcPr>
            <w:tcW w:w="1777" w:type="dxa"/>
            <w:vAlign w:val="center"/>
          </w:tcPr>
          <w:p w:rsidR="001A17EC" w:rsidRDefault="00666690">
            <w:pPr>
              <w:jc w:val="center"/>
            </w:pPr>
            <w:r>
              <w:rPr>
                <w:color w:val="000000"/>
                <w:sz w:val="24"/>
                <w:szCs w:val="24"/>
              </w:rPr>
              <w:t>三花智控</w:t>
            </w:r>
          </w:p>
        </w:tc>
        <w:tc>
          <w:tcPr>
            <w:tcW w:w="1334" w:type="dxa"/>
            <w:vAlign w:val="center"/>
          </w:tcPr>
          <w:p w:rsidR="001A17EC" w:rsidRDefault="00666690">
            <w:pPr>
              <w:jc w:val="right"/>
            </w:pPr>
            <w:r>
              <w:rPr>
                <w:color w:val="000000"/>
                <w:sz w:val="24"/>
                <w:szCs w:val="24"/>
              </w:rPr>
              <w:t>1,640,029</w:t>
            </w:r>
          </w:p>
        </w:tc>
        <w:tc>
          <w:tcPr>
            <w:tcW w:w="1924" w:type="dxa"/>
            <w:vAlign w:val="center"/>
          </w:tcPr>
          <w:p w:rsidR="001A17EC" w:rsidRDefault="00666690">
            <w:pPr>
              <w:jc w:val="right"/>
            </w:pPr>
            <w:r>
              <w:rPr>
                <w:color w:val="000000"/>
                <w:sz w:val="24"/>
                <w:szCs w:val="24"/>
              </w:rPr>
              <w:t>36,408,643.80</w:t>
            </w:r>
          </w:p>
        </w:tc>
        <w:tc>
          <w:tcPr>
            <w:tcW w:w="1644" w:type="dxa"/>
            <w:vAlign w:val="center"/>
          </w:tcPr>
          <w:p w:rsidR="001A17EC" w:rsidRDefault="00666690">
            <w:pPr>
              <w:jc w:val="right"/>
            </w:pPr>
            <w:r>
              <w:rPr>
                <w:color w:val="000000"/>
                <w:sz w:val="24"/>
                <w:szCs w:val="24"/>
              </w:rPr>
              <w:t>5.70</w:t>
            </w:r>
          </w:p>
        </w:tc>
      </w:tr>
      <w:tr w:rsidR="001A17EC">
        <w:trPr>
          <w:jc w:val="center"/>
        </w:trPr>
        <w:tc>
          <w:tcPr>
            <w:tcW w:w="855" w:type="dxa"/>
            <w:vAlign w:val="center"/>
          </w:tcPr>
          <w:p w:rsidR="001A17EC" w:rsidRDefault="00666690">
            <w:pPr>
              <w:jc w:val="center"/>
            </w:pPr>
            <w:r>
              <w:rPr>
                <w:color w:val="000000"/>
                <w:sz w:val="24"/>
                <w:szCs w:val="24"/>
              </w:rPr>
              <w:t>4</w:t>
            </w:r>
          </w:p>
        </w:tc>
        <w:tc>
          <w:tcPr>
            <w:tcW w:w="1334" w:type="dxa"/>
            <w:vAlign w:val="center"/>
          </w:tcPr>
          <w:p w:rsidR="001A17EC" w:rsidRDefault="00666690">
            <w:pPr>
              <w:jc w:val="center"/>
            </w:pPr>
            <w:r>
              <w:rPr>
                <w:color w:val="000000"/>
                <w:sz w:val="24"/>
                <w:szCs w:val="24"/>
              </w:rPr>
              <w:t>300413</w:t>
            </w:r>
          </w:p>
        </w:tc>
        <w:tc>
          <w:tcPr>
            <w:tcW w:w="1777" w:type="dxa"/>
            <w:vAlign w:val="center"/>
          </w:tcPr>
          <w:p w:rsidR="001A17EC" w:rsidRDefault="00666690">
            <w:pPr>
              <w:jc w:val="center"/>
            </w:pPr>
            <w:r>
              <w:rPr>
                <w:color w:val="000000"/>
                <w:sz w:val="24"/>
                <w:szCs w:val="24"/>
              </w:rPr>
              <w:t>芒果超媒</w:t>
            </w:r>
          </w:p>
        </w:tc>
        <w:tc>
          <w:tcPr>
            <w:tcW w:w="1334" w:type="dxa"/>
            <w:vAlign w:val="center"/>
          </w:tcPr>
          <w:p w:rsidR="001A17EC" w:rsidRDefault="00666690">
            <w:pPr>
              <w:jc w:val="right"/>
            </w:pPr>
            <w:r>
              <w:rPr>
                <w:color w:val="000000"/>
                <w:sz w:val="24"/>
                <w:szCs w:val="24"/>
              </w:rPr>
              <w:t>516,000</w:t>
            </w:r>
          </w:p>
        </w:tc>
        <w:tc>
          <w:tcPr>
            <w:tcW w:w="1924" w:type="dxa"/>
            <w:vAlign w:val="center"/>
          </w:tcPr>
          <w:p w:rsidR="001A17EC" w:rsidRDefault="00666690">
            <w:pPr>
              <w:jc w:val="right"/>
            </w:pPr>
            <w:r>
              <w:rPr>
                <w:color w:val="000000"/>
                <w:sz w:val="24"/>
                <w:szCs w:val="24"/>
              </w:rPr>
              <w:t>34,778,400.00</w:t>
            </w:r>
          </w:p>
        </w:tc>
        <w:tc>
          <w:tcPr>
            <w:tcW w:w="1644" w:type="dxa"/>
            <w:vAlign w:val="center"/>
          </w:tcPr>
          <w:p w:rsidR="001A17EC" w:rsidRDefault="00666690">
            <w:pPr>
              <w:jc w:val="right"/>
            </w:pPr>
            <w:r>
              <w:rPr>
                <w:color w:val="000000"/>
                <w:sz w:val="24"/>
                <w:szCs w:val="24"/>
              </w:rPr>
              <w:t>5.45</w:t>
            </w:r>
          </w:p>
        </w:tc>
      </w:tr>
      <w:tr w:rsidR="001A17EC">
        <w:trPr>
          <w:jc w:val="center"/>
        </w:trPr>
        <w:tc>
          <w:tcPr>
            <w:tcW w:w="855" w:type="dxa"/>
            <w:vAlign w:val="center"/>
          </w:tcPr>
          <w:p w:rsidR="001A17EC" w:rsidRDefault="00666690">
            <w:pPr>
              <w:jc w:val="center"/>
            </w:pPr>
            <w:r>
              <w:rPr>
                <w:color w:val="000000"/>
                <w:sz w:val="24"/>
                <w:szCs w:val="24"/>
              </w:rPr>
              <w:t>5</w:t>
            </w:r>
          </w:p>
        </w:tc>
        <w:tc>
          <w:tcPr>
            <w:tcW w:w="1334" w:type="dxa"/>
            <w:vAlign w:val="center"/>
          </w:tcPr>
          <w:p w:rsidR="001A17EC" w:rsidRDefault="00666690">
            <w:pPr>
              <w:jc w:val="center"/>
            </w:pPr>
            <w:r>
              <w:rPr>
                <w:color w:val="000000"/>
                <w:sz w:val="24"/>
                <w:szCs w:val="24"/>
              </w:rPr>
              <w:t>002475</w:t>
            </w:r>
          </w:p>
        </w:tc>
        <w:tc>
          <w:tcPr>
            <w:tcW w:w="1777" w:type="dxa"/>
            <w:vAlign w:val="center"/>
          </w:tcPr>
          <w:p w:rsidR="001A17EC" w:rsidRDefault="00666690">
            <w:pPr>
              <w:jc w:val="center"/>
            </w:pPr>
            <w:r>
              <w:rPr>
                <w:color w:val="000000"/>
                <w:sz w:val="24"/>
                <w:szCs w:val="24"/>
              </w:rPr>
              <w:t>立讯精密</w:t>
            </w:r>
          </w:p>
        </w:tc>
        <w:tc>
          <w:tcPr>
            <w:tcW w:w="1334" w:type="dxa"/>
            <w:vAlign w:val="center"/>
          </w:tcPr>
          <w:p w:rsidR="001A17EC" w:rsidRDefault="00666690">
            <w:pPr>
              <w:jc w:val="right"/>
            </w:pPr>
            <w:r>
              <w:rPr>
                <w:color w:val="000000"/>
                <w:sz w:val="24"/>
                <w:szCs w:val="24"/>
              </w:rPr>
              <w:t>555,985</w:t>
            </w:r>
          </w:p>
        </w:tc>
        <w:tc>
          <w:tcPr>
            <w:tcW w:w="1924" w:type="dxa"/>
            <w:vAlign w:val="center"/>
          </w:tcPr>
          <w:p w:rsidR="001A17EC" w:rsidRDefault="00666690">
            <w:pPr>
              <w:jc w:val="right"/>
            </w:pPr>
            <w:r>
              <w:rPr>
                <w:color w:val="000000"/>
                <w:sz w:val="24"/>
                <w:szCs w:val="24"/>
              </w:rPr>
              <w:t>31,763,423.05</w:t>
            </w:r>
          </w:p>
        </w:tc>
        <w:tc>
          <w:tcPr>
            <w:tcW w:w="1644" w:type="dxa"/>
            <w:vAlign w:val="center"/>
          </w:tcPr>
          <w:p w:rsidR="001A17EC" w:rsidRDefault="00666690">
            <w:pPr>
              <w:jc w:val="right"/>
            </w:pPr>
            <w:r>
              <w:rPr>
                <w:color w:val="000000"/>
                <w:sz w:val="24"/>
                <w:szCs w:val="24"/>
              </w:rPr>
              <w:t>4.97</w:t>
            </w:r>
          </w:p>
        </w:tc>
      </w:tr>
      <w:tr w:rsidR="001A17EC">
        <w:trPr>
          <w:jc w:val="center"/>
        </w:trPr>
        <w:tc>
          <w:tcPr>
            <w:tcW w:w="855" w:type="dxa"/>
            <w:vAlign w:val="center"/>
          </w:tcPr>
          <w:p w:rsidR="001A17EC" w:rsidRDefault="00666690">
            <w:pPr>
              <w:jc w:val="center"/>
            </w:pPr>
            <w:r>
              <w:rPr>
                <w:color w:val="000000"/>
                <w:sz w:val="24"/>
                <w:szCs w:val="24"/>
              </w:rPr>
              <w:t>6</w:t>
            </w:r>
          </w:p>
        </w:tc>
        <w:tc>
          <w:tcPr>
            <w:tcW w:w="1334" w:type="dxa"/>
            <w:vAlign w:val="center"/>
          </w:tcPr>
          <w:p w:rsidR="001A17EC" w:rsidRDefault="00666690">
            <w:pPr>
              <w:jc w:val="center"/>
            </w:pPr>
            <w:r>
              <w:rPr>
                <w:color w:val="000000"/>
                <w:sz w:val="24"/>
                <w:szCs w:val="24"/>
              </w:rPr>
              <w:t>002555</w:t>
            </w:r>
          </w:p>
        </w:tc>
        <w:tc>
          <w:tcPr>
            <w:tcW w:w="1777" w:type="dxa"/>
            <w:vAlign w:val="center"/>
          </w:tcPr>
          <w:p w:rsidR="001A17EC" w:rsidRDefault="00666690">
            <w:pPr>
              <w:jc w:val="center"/>
            </w:pPr>
            <w:r>
              <w:rPr>
                <w:color w:val="000000"/>
                <w:sz w:val="24"/>
                <w:szCs w:val="24"/>
              </w:rPr>
              <w:t>三七互娱</w:t>
            </w:r>
          </w:p>
        </w:tc>
        <w:tc>
          <w:tcPr>
            <w:tcW w:w="1334" w:type="dxa"/>
            <w:vAlign w:val="center"/>
          </w:tcPr>
          <w:p w:rsidR="001A17EC" w:rsidRDefault="00666690">
            <w:pPr>
              <w:jc w:val="right"/>
            </w:pPr>
            <w:r>
              <w:rPr>
                <w:color w:val="000000"/>
                <w:sz w:val="24"/>
                <w:szCs w:val="24"/>
              </w:rPr>
              <w:t>736,200</w:t>
            </w:r>
          </w:p>
        </w:tc>
        <w:tc>
          <w:tcPr>
            <w:tcW w:w="1924" w:type="dxa"/>
            <w:vAlign w:val="center"/>
          </w:tcPr>
          <w:p w:rsidR="001A17EC" w:rsidRDefault="00666690">
            <w:pPr>
              <w:jc w:val="right"/>
            </w:pPr>
            <w:r>
              <w:rPr>
                <w:color w:val="000000"/>
                <w:sz w:val="24"/>
                <w:szCs w:val="24"/>
              </w:rPr>
              <w:t>29,219,778.00</w:t>
            </w:r>
          </w:p>
        </w:tc>
        <w:tc>
          <w:tcPr>
            <w:tcW w:w="1644" w:type="dxa"/>
            <w:vAlign w:val="center"/>
          </w:tcPr>
          <w:p w:rsidR="001A17EC" w:rsidRDefault="00666690">
            <w:pPr>
              <w:jc w:val="right"/>
            </w:pPr>
            <w:r>
              <w:rPr>
                <w:color w:val="000000"/>
                <w:sz w:val="24"/>
                <w:szCs w:val="24"/>
              </w:rPr>
              <w:t>4.58</w:t>
            </w:r>
          </w:p>
        </w:tc>
      </w:tr>
      <w:tr w:rsidR="001A17EC">
        <w:trPr>
          <w:jc w:val="center"/>
        </w:trPr>
        <w:tc>
          <w:tcPr>
            <w:tcW w:w="855" w:type="dxa"/>
            <w:vAlign w:val="center"/>
          </w:tcPr>
          <w:p w:rsidR="001A17EC" w:rsidRDefault="00666690">
            <w:pPr>
              <w:jc w:val="center"/>
            </w:pPr>
            <w:r>
              <w:rPr>
                <w:color w:val="000000"/>
                <w:sz w:val="24"/>
                <w:szCs w:val="24"/>
              </w:rPr>
              <w:t>7</w:t>
            </w:r>
          </w:p>
        </w:tc>
        <w:tc>
          <w:tcPr>
            <w:tcW w:w="1334" w:type="dxa"/>
            <w:vAlign w:val="center"/>
          </w:tcPr>
          <w:p w:rsidR="001A17EC" w:rsidRDefault="00666690">
            <w:pPr>
              <w:jc w:val="center"/>
            </w:pPr>
            <w:r>
              <w:rPr>
                <w:color w:val="000000"/>
                <w:sz w:val="24"/>
                <w:szCs w:val="24"/>
              </w:rPr>
              <w:t>603517</w:t>
            </w:r>
          </w:p>
        </w:tc>
        <w:tc>
          <w:tcPr>
            <w:tcW w:w="1777" w:type="dxa"/>
            <w:vAlign w:val="center"/>
          </w:tcPr>
          <w:p w:rsidR="001A17EC" w:rsidRDefault="00666690">
            <w:pPr>
              <w:jc w:val="center"/>
            </w:pPr>
            <w:r>
              <w:rPr>
                <w:color w:val="000000"/>
                <w:sz w:val="24"/>
                <w:szCs w:val="24"/>
              </w:rPr>
              <w:t>绝味食品</w:t>
            </w:r>
          </w:p>
        </w:tc>
        <w:tc>
          <w:tcPr>
            <w:tcW w:w="1334" w:type="dxa"/>
            <w:vAlign w:val="center"/>
          </w:tcPr>
          <w:p w:rsidR="001A17EC" w:rsidRDefault="00666690">
            <w:pPr>
              <w:jc w:val="right"/>
            </w:pPr>
            <w:r>
              <w:rPr>
                <w:color w:val="000000"/>
                <w:sz w:val="24"/>
                <w:szCs w:val="24"/>
              </w:rPr>
              <w:t>318,700</w:t>
            </w:r>
          </w:p>
        </w:tc>
        <w:tc>
          <w:tcPr>
            <w:tcW w:w="1924" w:type="dxa"/>
            <w:vAlign w:val="center"/>
          </w:tcPr>
          <w:p w:rsidR="001A17EC" w:rsidRDefault="00666690">
            <w:pPr>
              <w:jc w:val="right"/>
            </w:pPr>
            <w:r>
              <w:rPr>
                <w:color w:val="000000"/>
                <w:sz w:val="24"/>
                <w:szCs w:val="24"/>
              </w:rPr>
              <w:t>26,139,774.00</w:t>
            </w:r>
          </w:p>
        </w:tc>
        <w:tc>
          <w:tcPr>
            <w:tcW w:w="1644" w:type="dxa"/>
            <w:vAlign w:val="center"/>
          </w:tcPr>
          <w:p w:rsidR="001A17EC" w:rsidRDefault="00666690">
            <w:pPr>
              <w:jc w:val="right"/>
            </w:pPr>
            <w:r>
              <w:rPr>
                <w:color w:val="000000"/>
                <w:sz w:val="24"/>
                <w:szCs w:val="24"/>
              </w:rPr>
              <w:t>4.09</w:t>
            </w:r>
          </w:p>
        </w:tc>
      </w:tr>
      <w:tr w:rsidR="001A17EC">
        <w:trPr>
          <w:jc w:val="center"/>
        </w:trPr>
        <w:tc>
          <w:tcPr>
            <w:tcW w:w="855" w:type="dxa"/>
            <w:vAlign w:val="center"/>
          </w:tcPr>
          <w:p w:rsidR="001A17EC" w:rsidRDefault="00666690">
            <w:pPr>
              <w:jc w:val="center"/>
            </w:pPr>
            <w:r>
              <w:rPr>
                <w:color w:val="000000"/>
                <w:sz w:val="24"/>
                <w:szCs w:val="24"/>
              </w:rPr>
              <w:t>8</w:t>
            </w:r>
          </w:p>
        </w:tc>
        <w:tc>
          <w:tcPr>
            <w:tcW w:w="1334" w:type="dxa"/>
            <w:vAlign w:val="center"/>
          </w:tcPr>
          <w:p w:rsidR="001A17EC" w:rsidRDefault="00666690">
            <w:pPr>
              <w:jc w:val="center"/>
            </w:pPr>
            <w:r>
              <w:rPr>
                <w:color w:val="000000"/>
                <w:sz w:val="24"/>
                <w:szCs w:val="24"/>
              </w:rPr>
              <w:t>002271</w:t>
            </w:r>
          </w:p>
        </w:tc>
        <w:tc>
          <w:tcPr>
            <w:tcW w:w="1777" w:type="dxa"/>
            <w:vAlign w:val="center"/>
          </w:tcPr>
          <w:p w:rsidR="001A17EC" w:rsidRDefault="00666690">
            <w:pPr>
              <w:jc w:val="center"/>
            </w:pPr>
            <w:r>
              <w:rPr>
                <w:color w:val="000000"/>
                <w:sz w:val="24"/>
                <w:szCs w:val="24"/>
              </w:rPr>
              <w:t>东方雨虹</w:t>
            </w:r>
          </w:p>
        </w:tc>
        <w:tc>
          <w:tcPr>
            <w:tcW w:w="1334" w:type="dxa"/>
            <w:vAlign w:val="center"/>
          </w:tcPr>
          <w:p w:rsidR="001A17EC" w:rsidRDefault="00666690">
            <w:pPr>
              <w:jc w:val="right"/>
            </w:pPr>
            <w:r>
              <w:rPr>
                <w:color w:val="000000"/>
                <w:sz w:val="24"/>
                <w:szCs w:val="24"/>
              </w:rPr>
              <w:t>480,048</w:t>
            </w:r>
          </w:p>
        </w:tc>
        <w:tc>
          <w:tcPr>
            <w:tcW w:w="1924" w:type="dxa"/>
            <w:vAlign w:val="center"/>
          </w:tcPr>
          <w:p w:rsidR="001A17EC" w:rsidRDefault="00666690">
            <w:pPr>
              <w:jc w:val="right"/>
            </w:pPr>
            <w:r>
              <w:rPr>
                <w:color w:val="000000"/>
                <w:sz w:val="24"/>
                <w:szCs w:val="24"/>
              </w:rPr>
              <w:t>25,874,587.20</w:t>
            </w:r>
          </w:p>
        </w:tc>
        <w:tc>
          <w:tcPr>
            <w:tcW w:w="1644" w:type="dxa"/>
            <w:vAlign w:val="center"/>
          </w:tcPr>
          <w:p w:rsidR="001A17EC" w:rsidRDefault="00666690">
            <w:pPr>
              <w:jc w:val="right"/>
            </w:pPr>
            <w:r>
              <w:rPr>
                <w:color w:val="000000"/>
                <w:sz w:val="24"/>
                <w:szCs w:val="24"/>
              </w:rPr>
              <w:t>4.05</w:t>
            </w:r>
          </w:p>
        </w:tc>
      </w:tr>
      <w:tr w:rsidR="001A17EC">
        <w:trPr>
          <w:jc w:val="center"/>
        </w:trPr>
        <w:tc>
          <w:tcPr>
            <w:tcW w:w="855" w:type="dxa"/>
            <w:vAlign w:val="center"/>
          </w:tcPr>
          <w:p w:rsidR="001A17EC" w:rsidRDefault="00666690">
            <w:pPr>
              <w:jc w:val="center"/>
            </w:pPr>
            <w:r>
              <w:rPr>
                <w:color w:val="000000"/>
                <w:sz w:val="24"/>
                <w:szCs w:val="24"/>
              </w:rPr>
              <w:t>9</w:t>
            </w:r>
          </w:p>
        </w:tc>
        <w:tc>
          <w:tcPr>
            <w:tcW w:w="1334" w:type="dxa"/>
            <w:vAlign w:val="center"/>
          </w:tcPr>
          <w:p w:rsidR="001A17EC" w:rsidRDefault="00666690">
            <w:pPr>
              <w:jc w:val="center"/>
            </w:pPr>
            <w:r>
              <w:rPr>
                <w:color w:val="000000"/>
                <w:sz w:val="24"/>
                <w:szCs w:val="24"/>
              </w:rPr>
              <w:t>688188</w:t>
            </w:r>
          </w:p>
        </w:tc>
        <w:tc>
          <w:tcPr>
            <w:tcW w:w="1777" w:type="dxa"/>
            <w:vAlign w:val="center"/>
          </w:tcPr>
          <w:p w:rsidR="001A17EC" w:rsidRDefault="00666690">
            <w:pPr>
              <w:jc w:val="center"/>
            </w:pPr>
            <w:r>
              <w:rPr>
                <w:color w:val="000000"/>
                <w:sz w:val="24"/>
                <w:szCs w:val="24"/>
              </w:rPr>
              <w:t>柏楚电子</w:t>
            </w:r>
          </w:p>
        </w:tc>
        <w:tc>
          <w:tcPr>
            <w:tcW w:w="1334" w:type="dxa"/>
            <w:vAlign w:val="center"/>
          </w:tcPr>
          <w:p w:rsidR="001A17EC" w:rsidRDefault="00666690">
            <w:pPr>
              <w:jc w:val="right"/>
            </w:pPr>
            <w:r>
              <w:rPr>
                <w:color w:val="000000"/>
                <w:sz w:val="24"/>
                <w:szCs w:val="24"/>
              </w:rPr>
              <w:t>102,237</w:t>
            </w:r>
          </w:p>
        </w:tc>
        <w:tc>
          <w:tcPr>
            <w:tcW w:w="1924" w:type="dxa"/>
            <w:vAlign w:val="center"/>
          </w:tcPr>
          <w:p w:rsidR="001A17EC" w:rsidRDefault="00666690">
            <w:pPr>
              <w:jc w:val="right"/>
            </w:pPr>
            <w:r>
              <w:rPr>
                <w:color w:val="000000"/>
                <w:sz w:val="24"/>
                <w:szCs w:val="24"/>
              </w:rPr>
              <w:t>24,303,779.64</w:t>
            </w:r>
          </w:p>
        </w:tc>
        <w:tc>
          <w:tcPr>
            <w:tcW w:w="1644" w:type="dxa"/>
            <w:vAlign w:val="center"/>
          </w:tcPr>
          <w:p w:rsidR="001A17EC" w:rsidRDefault="00666690">
            <w:pPr>
              <w:jc w:val="right"/>
            </w:pPr>
            <w:r>
              <w:rPr>
                <w:color w:val="000000"/>
                <w:sz w:val="24"/>
                <w:szCs w:val="24"/>
              </w:rPr>
              <w:t>3.81</w:t>
            </w:r>
          </w:p>
        </w:tc>
      </w:tr>
      <w:tr w:rsidR="001A17EC">
        <w:trPr>
          <w:jc w:val="center"/>
        </w:trPr>
        <w:tc>
          <w:tcPr>
            <w:tcW w:w="855" w:type="dxa"/>
            <w:vAlign w:val="center"/>
          </w:tcPr>
          <w:p w:rsidR="001A17EC" w:rsidRDefault="00666690">
            <w:pPr>
              <w:jc w:val="center"/>
            </w:pPr>
            <w:r>
              <w:rPr>
                <w:color w:val="000000"/>
                <w:sz w:val="24"/>
                <w:szCs w:val="24"/>
              </w:rPr>
              <w:t>10</w:t>
            </w:r>
          </w:p>
        </w:tc>
        <w:tc>
          <w:tcPr>
            <w:tcW w:w="1334" w:type="dxa"/>
            <w:vAlign w:val="center"/>
          </w:tcPr>
          <w:p w:rsidR="001A17EC" w:rsidRDefault="00666690">
            <w:pPr>
              <w:jc w:val="center"/>
            </w:pPr>
            <w:r>
              <w:rPr>
                <w:color w:val="000000"/>
                <w:sz w:val="24"/>
                <w:szCs w:val="24"/>
              </w:rPr>
              <w:t>000725</w:t>
            </w:r>
          </w:p>
        </w:tc>
        <w:tc>
          <w:tcPr>
            <w:tcW w:w="1777" w:type="dxa"/>
            <w:vAlign w:val="center"/>
          </w:tcPr>
          <w:p w:rsidR="001A17EC" w:rsidRDefault="00666690">
            <w:pPr>
              <w:jc w:val="center"/>
            </w:pPr>
            <w:r>
              <w:rPr>
                <w:color w:val="000000"/>
                <w:sz w:val="24"/>
                <w:szCs w:val="24"/>
              </w:rPr>
              <w:t>京东方</w:t>
            </w:r>
            <w:r>
              <w:rPr>
                <w:color w:val="000000"/>
                <w:sz w:val="24"/>
                <w:szCs w:val="24"/>
              </w:rPr>
              <w:t>A</w:t>
            </w:r>
          </w:p>
        </w:tc>
        <w:tc>
          <w:tcPr>
            <w:tcW w:w="1334" w:type="dxa"/>
            <w:vAlign w:val="center"/>
          </w:tcPr>
          <w:p w:rsidR="001A17EC" w:rsidRDefault="00666690">
            <w:pPr>
              <w:jc w:val="right"/>
            </w:pPr>
            <w:r>
              <w:rPr>
                <w:color w:val="000000"/>
                <w:sz w:val="24"/>
                <w:szCs w:val="24"/>
              </w:rPr>
              <w:t>3,698,300</w:t>
            </w:r>
          </w:p>
        </w:tc>
        <w:tc>
          <w:tcPr>
            <w:tcW w:w="1924" w:type="dxa"/>
            <w:vAlign w:val="center"/>
          </w:tcPr>
          <w:p w:rsidR="001A17EC" w:rsidRDefault="00666690">
            <w:pPr>
              <w:jc w:val="right"/>
            </w:pPr>
            <w:r>
              <w:rPr>
                <w:color w:val="000000"/>
                <w:sz w:val="24"/>
                <w:szCs w:val="24"/>
              </w:rPr>
              <w:t>18,158,653.00</w:t>
            </w:r>
          </w:p>
        </w:tc>
        <w:tc>
          <w:tcPr>
            <w:tcW w:w="1644" w:type="dxa"/>
            <w:vAlign w:val="center"/>
          </w:tcPr>
          <w:p w:rsidR="001A17EC" w:rsidRDefault="00666690">
            <w:pPr>
              <w:jc w:val="right"/>
            </w:pPr>
            <w:r>
              <w:rPr>
                <w:color w:val="000000"/>
                <w:sz w:val="24"/>
                <w:szCs w:val="24"/>
              </w:rPr>
              <w:t>2.84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262,615.54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35,134,593.26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-4,437.92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35,392,770.88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792,686,410.74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284,884,063.16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507,802,347.58</w:t>
            </w:r>
          </w:p>
        </w:tc>
      </w:tr>
    </w:tbl>
    <w:p w:rsidR="001A17EC" w:rsidRDefault="0066669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A17EC" w:rsidRDefault="0066669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、中国证监会准予交银施罗德科锐科技创新混合型证券投资基金募集注册的文件；</w:t>
      </w:r>
      <w:r>
        <w:rPr>
          <w:color w:val="000000"/>
          <w:sz w:val="24"/>
          <w:szCs w:val="24"/>
        </w:rPr>
        <w:t xml:space="preserve"> </w:t>
      </w:r>
    </w:p>
    <w:p w:rsidR="001A17EC" w:rsidRDefault="0066669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、《交银施罗德科锐科技创新混合型证券投资基金基金合同》；</w:t>
      </w:r>
      <w:r>
        <w:rPr>
          <w:color w:val="000000"/>
          <w:sz w:val="24"/>
          <w:szCs w:val="24"/>
        </w:rPr>
        <w:t xml:space="preserve"> </w:t>
      </w:r>
    </w:p>
    <w:p w:rsidR="001A17EC" w:rsidRDefault="0066669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、《交银施罗德科锐科技创新混合型证券投资基金招募说明书》；</w:t>
      </w:r>
      <w:r>
        <w:rPr>
          <w:color w:val="000000"/>
          <w:sz w:val="24"/>
          <w:szCs w:val="24"/>
        </w:rPr>
        <w:t xml:space="preserve"> </w:t>
      </w:r>
    </w:p>
    <w:p w:rsidR="001A17EC" w:rsidRDefault="0066669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、《交银施罗德科锐科技创新混合型证券投资基金托管协议》；</w:t>
      </w:r>
      <w:r>
        <w:rPr>
          <w:color w:val="000000"/>
          <w:sz w:val="24"/>
          <w:szCs w:val="24"/>
        </w:rPr>
        <w:t xml:space="preserve"> </w:t>
      </w:r>
    </w:p>
    <w:p w:rsidR="001A17EC" w:rsidRDefault="00666690">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、关于申请募集注册交银施罗德科锐科技创新混合型证券投资基金的法律意见书；</w:t>
      </w:r>
      <w:r>
        <w:rPr>
          <w:color w:val="000000"/>
          <w:sz w:val="24"/>
          <w:szCs w:val="24"/>
        </w:rPr>
        <w:t xml:space="preserve"> </w:t>
      </w:r>
    </w:p>
    <w:p w:rsidR="001A17EC" w:rsidRDefault="0066669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A17EC" w:rsidRDefault="0066669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、报告期内交银施罗德科锐科技创新混合型证券投资基金在指定报刊上各项公告的原稿。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A17EC" w:rsidRDefault="0066669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w:t>
      </w:r>
      <w:r>
        <w:rPr>
          <w:color w:val="000000"/>
          <w:sz w:val="24"/>
          <w:szCs w:val="24"/>
        </w:rPr>
        <w:t>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66690">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66690">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交银施罗德科锐科技创新混合型证券投资基金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17E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66690"/>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83986-91EE-4211-8768-9EE293B0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12</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601</cp:revision>
  <dcterms:created xsi:type="dcterms:W3CDTF">2012-10-16T06:07:00Z</dcterms:created>
  <dcterms:modified xsi:type="dcterms:W3CDTF">2020-10-26T02:45:00Z</dcterms:modified>
</cp:coreProperties>
</file>