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交银施罗德活期通货币市场基金</w:t>
      </w:r>
    </w:p>
    <w:p w:rsidP="00281564" w:rsidR="00B60E27" w:rsidRDefault="00B60E27" w:rsidRPr="001E1B20">
      <w:pPr>
        <w:spacing w:before="29" w:line="288" w:lineRule="auto"/>
        <w:jc w:val="center"/>
        <w:rPr>
          <w:b/>
          <w:sz w:val="36"/>
          <w:szCs w:val="36"/>
        </w:rPr>
      </w:pPr>
      <w:r w:rsidRPr="001E1B20">
        <w:rPr>
          <w:b/>
          <w:sz w:val="36"/>
          <w:szCs w:val="36"/>
        </w:rPr>
        <w:t>2020年第3季度报告</w:t>
      </w:r>
    </w:p>
    <w:p w:rsidP="00281564" w:rsidR="002B45A4" w:rsidRDefault="00D87D00" w:rsidRPr="001E1B20">
      <w:pPr>
        <w:spacing w:before="29" w:line="288" w:lineRule="auto"/>
        <w:jc w:val="center"/>
        <w:rPr>
          <w:b/>
          <w:sz w:val="36"/>
          <w:szCs w:val="36"/>
        </w:rPr>
      </w:pPr>
      <w:r w:rsidRPr="001E1B20">
        <w:rPr>
          <w:b/>
          <w:sz w:val="36"/>
          <w:szCs w:val="36"/>
        </w:rPr>
        <w:t>2020年9月30日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中信建投证券股份有限公司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二〇二〇年十月二十八日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基金托管人中信建投证券股份有限公司根据本基金合同规定，于2020年10月27日复核了本报告中的财务指标、净值表现和投资组合报告等内容，保证复核内容不存在虚假记载、误导性陈述或者重大遗漏。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2016年7月27日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30,035,286,390.50</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交银活期通货币A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交银活期通货币E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003042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003043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12,844,960,142.38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17,190,326,248.12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(2020年7月1日-2020年9月30日)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交银活期通货币A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交银活期通货币E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59,808,097.80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93,739,719.37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59,808,097.80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93,739,719.37</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12,844,960,142.38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17,190,326,248.12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交银活期通货币A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0.4518%</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0.3636%</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0.9077%</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0.7322%</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2.1096%</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1.7586%</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8.7798%</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7.7288%</w:t>
            </w:r>
          </w:p>
        </w:tc>
        <w:tc>
          <w:tcPr>
            <w:vAlign w:val="center"/>
          </w:tcPr>
          <w:p>
            <w:pPr>
              <w:jc w:val="center"/>
            </w:pPr>
            <w:r>
              <w:rPr>
                <w:rFonts w:ascii="Times New Roman" w:hAnsi="Times New Roman"/>
                <w:color w:val="000000"/>
              </w:rPr>
              <w:t>0.0024%</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12.9598%</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1.4642%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11.4956%</w:t>
            </w:r>
          </w:p>
        </w:tc>
        <w:tc>
          <w:tcPr>
            <w:vAlign w:val="center"/>
          </w:tcPr>
          <w:p>
            <w:pPr>
              <w:jc w:val="center"/>
            </w:pPr>
            <w:r>
              <w:rPr>
                <w:rFonts w:ascii="Times New Roman" w:hAnsi="Times New Roman"/>
                <w:color w:val="000000"/>
              </w:rPr>
              <w:t>0.0024%</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交银活期通货币E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0.5125%</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0.4243%</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1.0290%</w:t>
            </w:r>
          </w:p>
        </w:tc>
        <w:tc>
          <w:tcPr>
            <w:vAlign w:val="center"/>
          </w:tcPr>
          <w:p>
            <w:pPr>
              <w:jc w:val="center"/>
            </w:pPr>
            <w:r>
              <w:rPr>
                <w:rFonts w:ascii="Times New Roman" w:hAnsi="Times New Roman"/>
                <w:color w:val="000000"/>
              </w:rPr>
              <w:t>0.0020%</w:t>
            </w:r>
          </w:p>
        </w:tc>
        <w:tc>
          <w:tcPr>
            <w:vAlign w:val="center"/>
          </w:tcPr>
          <w:p>
            <w:pPr>
              <w:jc w:val="center"/>
            </w:pPr>
            <w:r>
              <w:rPr>
                <w:rFonts w:ascii="Times New Roman" w:hAnsi="Times New Roman"/>
                <w:color w:val="000000"/>
              </w:rPr>
              <w:t>0.1755%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0.8535%</w:t>
            </w:r>
          </w:p>
        </w:tc>
        <w:tc>
          <w:tcPr>
            <w:vAlign w:val="center"/>
          </w:tcPr>
          <w:p>
            <w:pPr>
              <w:jc w:val="center"/>
            </w:pPr>
            <w:r>
              <w:rPr>
                <w:rFonts w:ascii="Times New Roman" w:hAnsi="Times New Roman"/>
                <w:color w:val="000000"/>
              </w:rPr>
              <w:t>0.0020%</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2.3553%</w:t>
            </w:r>
          </w:p>
        </w:tc>
        <w:tc>
          <w:tcPr>
            <w:vAlign w:val="center"/>
          </w:tcPr>
          <w:p>
            <w:pPr>
              <w:jc w:val="center"/>
            </w:pPr>
            <w:r>
              <w:rPr>
                <w:rFonts w:ascii="Times New Roman" w:hAnsi="Times New Roman"/>
                <w:color w:val="000000"/>
              </w:rPr>
              <w:t>0.0018%</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2.0043%</w:t>
            </w:r>
          </w:p>
        </w:tc>
        <w:tc>
          <w:tcPr>
            <w:vAlign w:val="center"/>
          </w:tcPr>
          <w:p>
            <w:pPr>
              <w:jc w:val="center"/>
            </w:pPr>
            <w:r>
              <w:rPr>
                <w:rFonts w:ascii="Times New Roman" w:hAnsi="Times New Roman"/>
                <w:color w:val="000000"/>
              </w:rPr>
              <w:t>0.0018%</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9.5656%</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8.5146%</w:t>
            </w:r>
          </w:p>
        </w:tc>
        <w:tc>
          <w:tcPr>
            <w:vAlign w:val="center"/>
          </w:tcPr>
          <w:p>
            <w:pPr>
              <w:jc w:val="center"/>
            </w:pPr>
            <w:r>
              <w:rPr>
                <w:rFonts w:ascii="Times New Roman" w:hAnsi="Times New Roman"/>
                <w:color w:val="000000"/>
              </w:rPr>
              <w:t>0.0024%</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14.0904%</w:t>
            </w:r>
          </w:p>
        </w:tc>
        <w:tc>
          <w:tcPr>
            <w:vAlign w:val="center"/>
          </w:tcPr>
          <w:p>
            <w:pPr>
              <w:jc w:val="center"/>
            </w:pPr>
            <w:r>
              <w:rPr>
                <w:rFonts w:ascii="Times New Roman" w:hAnsi="Times New Roman"/>
                <w:color w:val="000000"/>
              </w:rPr>
              <w:t>0.0024%</w:t>
            </w:r>
          </w:p>
        </w:tc>
        <w:tc>
          <w:tcPr>
            <w:vAlign w:val="center"/>
          </w:tcPr>
          <w:p>
            <w:pPr>
              <w:jc w:val="center"/>
            </w:pPr>
            <w:r>
              <w:rPr>
                <w:rFonts w:ascii="Times New Roman" w:hAnsi="Times New Roman"/>
                <w:color w:val="000000"/>
              </w:rPr>
              <w:t>1.4642%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12.6262%</w:t>
            </w:r>
          </w:p>
        </w:tc>
        <w:tc>
          <w:tcPr>
            <w:vAlign w:val="center"/>
          </w:tcPr>
          <w:p>
            <w:pPr>
              <w:jc w:val="center"/>
            </w:pPr>
            <w:r>
              <w:rPr>
                <w:rFonts w:ascii="Times New Roman" w:hAnsi="Times New Roman"/>
                <w:color w:val="000000"/>
              </w:rPr>
              <w:t>0.0024%</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交银施罗德活期通货币市场基金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2016年7月27日</w:t>
      </w:r>
      <w:r w:rsidR="00A7219D" w:rsidRPr="000E4C40">
        <w:rPr>
          <w:rFonts w:hAnsi="宋体"/>
          <w:color w:val="000000"/>
          <w:kern w:val="0"/>
          <w:sz w:val="24"/>
        </w:rPr>
        <w:t>至</w:t>
      </w:r>
      <w:r w:rsidR="00A7219D" w:rsidRPr="000E4C40">
        <w:rPr>
          <w:color w:val="000000"/>
          <w:kern w:val="0"/>
          <w:sz w:val="24"/>
        </w:rPr>
        <w:t>2020年9月30日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交银活期通货币A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交银活期通货币E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交银丰盈收益债券、交银活期通货币、交银裕盈纯债债券、交银裕利纯债债券、交银裕惠纯债债券的基金经理</w:t>
            </w:r>
          </w:p>
        </w:tc>
        <w:tc>
          <w:tcPr>
            <w:vAlign w:val="center"/>
          </w:tcPr>
          <w:p>
            <w:pPr>
              <w:jc w:val="center"/>
            </w:pPr>
            <w:r>
              <w:rPr>
                <w:color w:val="000000"/>
                <w:sz w:val="24"/>
              </w:rPr>
              <w:t>2016-07-27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三季度，主要受出口、房地产与基建等驱动，我国经济继续修复。七、八月我国出口继续较快增长，房地产投资维持较高增速，基建投资增速尽管不及预期，但继续为经济增长发挥托底的作用。同时制造业景气度维持向好势头，三季度中采制造业PMI进一步提升，消费逐步改善。八月社会零售消费总额自新冠疫情爆发以来首次取得正增长，社融新增规模较大，金融条件继续对经济修复提供较大支持。</w:t>
      </w:r>
    </w:p>
    <w:p>
      <w:pPr>
        <w:spacing w:before="29" w:line="288" w:lineRule="auto"/>
        <w:ind w:firstLine="480" w:firstLineChars="200"/>
        <w:rPr>
          <w:color w:val="000000"/>
          <w:sz w:val="24"/>
        </w:rPr>
      </w:pPr>
      <w:r>
        <w:rPr>
          <w:color w:val="000000"/>
          <w:sz w:val="24"/>
        </w:rPr>
        <w:t>货币政策方面，三季度鉴于国内经济逐步修复及资金空转套利等问题，央行货币政策向中性回归，公开市场操作趋于谨慎。尽管三季度央行公开市场净投放3723亿，但是政府债券发行在4万亿以上。资金面上，受央行公开市场操作谨慎，政府债券发行量较大，银行超储率较低及结构性存款压降等因素影响，银行间市场资金面波动显著放大，货币市场利率中枢上移。三季度R001均值较2季度上升48个BP左右，三季度存单存款收益率持续回升，三个月股份行存单收益率在三季度均值较二季度上升90个BP以上。由于国内经济改善超预期，利率债供给较大，央行货币政策宽松预期落空，资金价格中枢不断回升以及股市波动等影响，三季度债市整体上依然处于下跌通道之中。七月上旬，股市大幅上涨引发债市大幅回调，至中下旬股市走弱，叠加中美外交冲突加剧，债市迎来一波反弹行情。但是在上述多重利空因素冲击下，八月以来利率债基本上处于跌跌不休的状态中。三季度末十年期国债YTM较二季度末上升30个BP以上。</w:t>
      </w:r>
    </w:p>
    <w:p>
      <w:pPr>
        <w:spacing w:before="29" w:line="288" w:lineRule="auto"/>
        <w:ind w:firstLine="480" w:firstLineChars="200"/>
        <w:rPr>
          <w:color w:val="000000"/>
          <w:sz w:val="24"/>
        </w:rPr>
      </w:pPr>
      <w:r>
        <w:rPr>
          <w:color w:val="000000"/>
          <w:sz w:val="24"/>
        </w:rPr>
        <w:t>基金操作方面，报告期内本基金提升流动性以期满足基金份额持有人潜在赎回需求，管控信用风险，择机调整组合杠杆与久期。同时考虑央行货币政策与市场资金面有变化，本基金继续控制组合久期，控制存单等投资品种的配置，择机加大存款等品种的投资力度，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2020年四季度，国内经济整体上继续修复的概率更大一些，但房地产等领域走弱的风险也在上升，同时疫苗的进展可能提振经济改善的信心。四季度美国总统大选及其对全球政治与经济的影响，值得关注。鉴于内外形势的不确定性，预计短期内人行货币政策整体上维持中性格局的概率较大。我们将密切关注央行货币政策操作边际上的变化以及疫情防控与疫苗研发进展。组合管理方面，本基金将跟踪研判宏观经济走势与央行货币政策操作，保持较好的流动性，力求把握市场波动机会，控制风险，力争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10,610,701,521.88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35.31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10,497,280,805.05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34.93</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113,420,716.83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0.38</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2,267,432,521.14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7.55</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17,041,700,639.16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56.71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130,044,984.03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0.43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30,049,879,666.21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7.11</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85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85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46</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14.36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20.59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38.35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26.32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99.62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1,135,530,038.68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3.78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468,338,171.10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468,338,171.10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1.56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4,669,919,313.41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15.55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692,200,366.19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2.30</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3,531,292,915.67</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11.76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10,497,280,805.05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34.95</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112095027</w:t>
            </w:r>
          </w:p>
        </w:tc>
        <w:tc>
          <w:tcPr>
            <w:vAlign w:val="center"/>
          </w:tcPr>
          <w:p>
            <w:pPr>
              <w:jc w:val="center"/>
            </w:pPr>
            <w:r>
              <w:rPr>
                <w:color w:val="000000"/>
                <w:sz w:val="24"/>
              </w:rPr>
              <w:t>20上海农商银行CD032</w:t>
            </w:r>
          </w:p>
        </w:tc>
        <w:tc>
          <w:tcPr>
            <w:vAlign w:val="center"/>
          </w:tcPr>
          <w:p>
            <w:pPr>
              <w:jc w:val="right"/>
            </w:pPr>
            <w:r>
              <w:rPr>
                <w:color w:val="000000"/>
                <w:sz w:val="24"/>
              </w:rPr>
              <w:t>5,000,000</w:t>
            </w:r>
          </w:p>
        </w:tc>
        <w:tc>
          <w:tcPr>
            <w:vAlign w:val="center"/>
          </w:tcPr>
          <w:p>
            <w:pPr>
              <w:jc w:val="right"/>
            </w:pPr>
            <w:r>
              <w:rPr>
                <w:color w:val="000000"/>
                <w:sz w:val="24"/>
              </w:rPr>
              <w:t>497,548,870.43</w:t>
            </w:r>
          </w:p>
        </w:tc>
        <w:tc>
          <w:tcPr>
            <w:vAlign w:val="center"/>
          </w:tcPr>
          <w:p>
            <w:pPr>
              <w:jc w:val="right"/>
            </w:pPr>
            <w:r>
              <w:rPr>
                <w:color w:val="000000"/>
                <w:sz w:val="24"/>
              </w:rPr>
              <w:t>1.66</w:t>
            </w:r>
          </w:p>
        </w:tc>
      </w:tr>
      <w:tr>
        <w:tc>
          <w:tcPr>
            <w:vAlign w:val="center"/>
          </w:tcPr>
          <w:p>
            <w:pPr>
              <w:jc w:val="center"/>
            </w:pPr>
            <w:r>
              <w:rPr>
                <w:color w:val="000000"/>
                <w:sz w:val="24"/>
              </w:rPr>
              <w:t>2</w:t>
            </w:r>
          </w:p>
        </w:tc>
        <w:tc>
          <w:tcPr>
            <w:vAlign w:val="center"/>
          </w:tcPr>
          <w:p>
            <w:pPr>
              <w:jc w:val="center"/>
            </w:pPr>
            <w:r>
              <w:rPr>
                <w:color w:val="000000"/>
                <w:sz w:val="24"/>
              </w:rPr>
              <w:t>012002231</w:t>
            </w:r>
          </w:p>
        </w:tc>
        <w:tc>
          <w:tcPr>
            <w:vAlign w:val="center"/>
          </w:tcPr>
          <w:p>
            <w:pPr>
              <w:jc w:val="center"/>
            </w:pPr>
            <w:r>
              <w:rPr>
                <w:color w:val="000000"/>
                <w:sz w:val="24"/>
              </w:rPr>
              <w:t>20南电SCP008</w:t>
            </w:r>
          </w:p>
        </w:tc>
        <w:tc>
          <w:tcPr>
            <w:vAlign w:val="center"/>
          </w:tcPr>
          <w:p>
            <w:pPr>
              <w:jc w:val="right"/>
            </w:pPr>
            <w:r>
              <w:rPr>
                <w:color w:val="000000"/>
                <w:sz w:val="24"/>
              </w:rPr>
              <w:t>4,000,000</w:t>
            </w:r>
          </w:p>
        </w:tc>
        <w:tc>
          <w:tcPr>
            <w:vAlign w:val="center"/>
          </w:tcPr>
          <w:p>
            <w:pPr>
              <w:jc w:val="right"/>
            </w:pPr>
            <w:r>
              <w:rPr>
                <w:color w:val="000000"/>
                <w:sz w:val="24"/>
              </w:rPr>
              <w:t>399,883,878.70</w:t>
            </w:r>
          </w:p>
        </w:tc>
        <w:tc>
          <w:tcPr>
            <w:vAlign w:val="center"/>
          </w:tcPr>
          <w:p>
            <w:pPr>
              <w:jc w:val="right"/>
            </w:pPr>
            <w:r>
              <w:rPr>
                <w:color w:val="000000"/>
                <w:sz w:val="24"/>
              </w:rPr>
              <w:t>1.33</w:t>
            </w:r>
          </w:p>
        </w:tc>
      </w:tr>
      <w:tr>
        <w:tc>
          <w:tcPr>
            <w:vAlign w:val="center"/>
          </w:tcPr>
          <w:p>
            <w:pPr>
              <w:jc w:val="center"/>
            </w:pPr>
            <w:r>
              <w:rPr>
                <w:color w:val="000000"/>
                <w:sz w:val="24"/>
              </w:rPr>
              <w:t>3</w:t>
            </w:r>
          </w:p>
        </w:tc>
        <w:tc>
          <w:tcPr>
            <w:vAlign w:val="center"/>
          </w:tcPr>
          <w:p>
            <w:pPr>
              <w:jc w:val="center"/>
            </w:pPr>
            <w:r>
              <w:rPr>
                <w:color w:val="000000"/>
                <w:sz w:val="24"/>
              </w:rPr>
              <w:t>209942</w:t>
            </w:r>
          </w:p>
        </w:tc>
        <w:tc>
          <w:tcPr>
            <w:vAlign w:val="center"/>
          </w:tcPr>
          <w:p>
            <w:pPr>
              <w:jc w:val="center"/>
            </w:pPr>
            <w:r>
              <w:rPr>
                <w:color w:val="000000"/>
                <w:sz w:val="24"/>
              </w:rPr>
              <w:t>20贴现国债42</w:t>
            </w:r>
          </w:p>
        </w:tc>
        <w:tc>
          <w:tcPr>
            <w:vAlign w:val="center"/>
          </w:tcPr>
          <w:p>
            <w:pPr>
              <w:jc w:val="right"/>
            </w:pPr>
            <w:r>
              <w:rPr>
                <w:color w:val="000000"/>
                <w:sz w:val="24"/>
              </w:rPr>
              <w:t>3,400,000</w:t>
            </w:r>
          </w:p>
        </w:tc>
        <w:tc>
          <w:tcPr>
            <w:vAlign w:val="center"/>
          </w:tcPr>
          <w:p>
            <w:pPr>
              <w:jc w:val="right"/>
            </w:pPr>
            <w:r>
              <w:rPr>
                <w:color w:val="000000"/>
                <w:sz w:val="24"/>
              </w:rPr>
              <w:t>338,550,708.34</w:t>
            </w:r>
          </w:p>
        </w:tc>
        <w:tc>
          <w:tcPr>
            <w:vAlign w:val="center"/>
          </w:tcPr>
          <w:p>
            <w:pPr>
              <w:jc w:val="right"/>
            </w:pPr>
            <w:r>
              <w:rPr>
                <w:color w:val="000000"/>
                <w:sz w:val="24"/>
              </w:rPr>
              <w:t>1.13</w:t>
            </w:r>
          </w:p>
        </w:tc>
      </w:tr>
      <w:tr>
        <w:tc>
          <w:tcPr>
            <w:vAlign w:val="center"/>
          </w:tcPr>
          <w:p>
            <w:pPr>
              <w:jc w:val="center"/>
            </w:pPr>
            <w:r>
              <w:rPr>
                <w:color w:val="000000"/>
                <w:sz w:val="24"/>
              </w:rPr>
              <w:t>4</w:t>
            </w:r>
          </w:p>
        </w:tc>
        <w:tc>
          <w:tcPr>
            <w:vAlign w:val="center"/>
          </w:tcPr>
          <w:p>
            <w:pPr>
              <w:jc w:val="center"/>
            </w:pPr>
            <w:r>
              <w:rPr>
                <w:color w:val="000000"/>
                <w:sz w:val="24"/>
              </w:rPr>
              <w:t>101551081</w:t>
            </w:r>
          </w:p>
        </w:tc>
        <w:tc>
          <w:tcPr>
            <w:vAlign w:val="center"/>
          </w:tcPr>
          <w:p>
            <w:pPr>
              <w:jc w:val="center"/>
            </w:pPr>
            <w:r>
              <w:rPr>
                <w:color w:val="000000"/>
                <w:sz w:val="24"/>
              </w:rPr>
              <w:t>15铁道MTN002</w:t>
            </w:r>
          </w:p>
        </w:tc>
        <w:tc>
          <w:tcPr>
            <w:vAlign w:val="center"/>
          </w:tcPr>
          <w:p>
            <w:pPr>
              <w:jc w:val="right"/>
            </w:pPr>
            <w:r>
              <w:rPr>
                <w:color w:val="000000"/>
                <w:sz w:val="24"/>
              </w:rPr>
              <w:t>3,200,000</w:t>
            </w:r>
          </w:p>
        </w:tc>
        <w:tc>
          <w:tcPr>
            <w:vAlign w:val="center"/>
          </w:tcPr>
          <w:p>
            <w:pPr>
              <w:jc w:val="right"/>
            </w:pPr>
            <w:r>
              <w:rPr>
                <w:color w:val="000000"/>
                <w:sz w:val="24"/>
              </w:rPr>
              <w:t>320,687,037.32</w:t>
            </w:r>
          </w:p>
        </w:tc>
        <w:tc>
          <w:tcPr>
            <w:vAlign w:val="center"/>
          </w:tcPr>
          <w:p>
            <w:pPr>
              <w:jc w:val="right"/>
            </w:pPr>
            <w:r>
              <w:rPr>
                <w:color w:val="000000"/>
                <w:sz w:val="24"/>
              </w:rPr>
              <w:t>1.07</w:t>
            </w:r>
          </w:p>
        </w:tc>
      </w:tr>
      <w:tr>
        <w:tc>
          <w:tcPr>
            <w:vAlign w:val="center"/>
          </w:tcPr>
          <w:p>
            <w:pPr>
              <w:jc w:val="center"/>
            </w:pPr>
            <w:r>
              <w:rPr>
                <w:color w:val="000000"/>
                <w:sz w:val="24"/>
              </w:rPr>
              <w:t>5</w:t>
            </w:r>
          </w:p>
        </w:tc>
        <w:tc>
          <w:tcPr>
            <w:vAlign w:val="center"/>
          </w:tcPr>
          <w:p>
            <w:pPr>
              <w:jc w:val="center"/>
            </w:pPr>
            <w:r>
              <w:rPr>
                <w:color w:val="000000"/>
                <w:sz w:val="24"/>
              </w:rPr>
              <w:t>041900433</w:t>
            </w:r>
          </w:p>
        </w:tc>
        <w:tc>
          <w:tcPr>
            <w:vAlign w:val="center"/>
          </w:tcPr>
          <w:p>
            <w:pPr>
              <w:jc w:val="center"/>
            </w:pPr>
            <w:r>
              <w:rPr>
                <w:color w:val="000000"/>
                <w:sz w:val="24"/>
              </w:rPr>
              <w:t>19电网CP003</w:t>
            </w:r>
          </w:p>
        </w:tc>
        <w:tc>
          <w:tcPr>
            <w:vAlign w:val="center"/>
          </w:tcPr>
          <w:p>
            <w:pPr>
              <w:jc w:val="right"/>
            </w:pPr>
            <w:r>
              <w:rPr>
                <w:color w:val="000000"/>
                <w:sz w:val="24"/>
              </w:rPr>
              <w:t>3,000,000</w:t>
            </w:r>
          </w:p>
        </w:tc>
        <w:tc>
          <w:tcPr>
            <w:vAlign w:val="center"/>
          </w:tcPr>
          <w:p>
            <w:pPr>
              <w:jc w:val="right"/>
            </w:pPr>
            <w:r>
              <w:rPr>
                <w:color w:val="000000"/>
                <w:sz w:val="24"/>
              </w:rPr>
              <w:t>300,184,301.25</w:t>
            </w:r>
          </w:p>
        </w:tc>
        <w:tc>
          <w:tcPr>
            <w:vAlign w:val="center"/>
          </w:tcPr>
          <w:p>
            <w:pPr>
              <w:jc w:val="right"/>
            </w:pPr>
            <w:r>
              <w:rPr>
                <w:color w:val="000000"/>
                <w:sz w:val="24"/>
              </w:rPr>
              <w:t>1.00</w:t>
            </w:r>
          </w:p>
        </w:tc>
      </w:tr>
      <w:tr>
        <w:tc>
          <w:tcPr>
            <w:vAlign w:val="center"/>
          </w:tcPr>
          <w:p>
            <w:pPr>
              <w:jc w:val="center"/>
            </w:pPr>
            <w:r>
              <w:rPr>
                <w:color w:val="000000"/>
                <w:sz w:val="24"/>
              </w:rPr>
              <w:t>6</w:t>
            </w:r>
          </w:p>
        </w:tc>
        <w:tc>
          <w:tcPr>
            <w:vAlign w:val="center"/>
          </w:tcPr>
          <w:p>
            <w:pPr>
              <w:jc w:val="center"/>
            </w:pPr>
            <w:r>
              <w:rPr>
                <w:color w:val="000000"/>
                <w:sz w:val="24"/>
              </w:rPr>
              <w:t>012000532</w:t>
            </w:r>
          </w:p>
        </w:tc>
        <w:tc>
          <w:tcPr>
            <w:vAlign w:val="center"/>
          </w:tcPr>
          <w:p>
            <w:pPr>
              <w:jc w:val="center"/>
            </w:pPr>
            <w:r>
              <w:rPr>
                <w:color w:val="000000"/>
                <w:sz w:val="24"/>
              </w:rPr>
              <w:t>20陕延油SCP003</w:t>
            </w:r>
          </w:p>
        </w:tc>
        <w:tc>
          <w:tcPr>
            <w:vAlign w:val="center"/>
          </w:tcPr>
          <w:p>
            <w:pPr>
              <w:jc w:val="right"/>
            </w:pPr>
            <w:r>
              <w:rPr>
                <w:color w:val="000000"/>
                <w:sz w:val="24"/>
              </w:rPr>
              <w:t>3,000,000</w:t>
            </w:r>
          </w:p>
        </w:tc>
        <w:tc>
          <w:tcPr>
            <w:vAlign w:val="center"/>
          </w:tcPr>
          <w:p>
            <w:pPr>
              <w:jc w:val="right"/>
            </w:pPr>
            <w:r>
              <w:rPr>
                <w:color w:val="000000"/>
                <w:sz w:val="24"/>
              </w:rPr>
              <w:t>300,161,842.45</w:t>
            </w:r>
          </w:p>
        </w:tc>
        <w:tc>
          <w:tcPr>
            <w:vAlign w:val="center"/>
          </w:tcPr>
          <w:p>
            <w:pPr>
              <w:jc w:val="right"/>
            </w:pPr>
            <w:r>
              <w:rPr>
                <w:color w:val="000000"/>
                <w:sz w:val="24"/>
              </w:rPr>
              <w:t>1.00</w:t>
            </w:r>
          </w:p>
        </w:tc>
      </w:tr>
      <w:tr>
        <w:tc>
          <w:tcPr>
            <w:vAlign w:val="center"/>
          </w:tcPr>
          <w:p>
            <w:pPr>
              <w:jc w:val="center"/>
            </w:pPr>
            <w:r>
              <w:rPr>
                <w:color w:val="000000"/>
                <w:sz w:val="24"/>
              </w:rPr>
              <w:t>7</w:t>
            </w:r>
          </w:p>
        </w:tc>
        <w:tc>
          <w:tcPr>
            <w:vAlign w:val="center"/>
          </w:tcPr>
          <w:p>
            <w:pPr>
              <w:jc w:val="center"/>
            </w:pPr>
            <w:r>
              <w:rPr>
                <w:color w:val="000000"/>
                <w:sz w:val="24"/>
              </w:rPr>
              <w:t>012003262</w:t>
            </w:r>
          </w:p>
        </w:tc>
        <w:tc>
          <w:tcPr>
            <w:vAlign w:val="center"/>
          </w:tcPr>
          <w:p>
            <w:pPr>
              <w:jc w:val="center"/>
            </w:pPr>
            <w:r>
              <w:rPr>
                <w:color w:val="000000"/>
                <w:sz w:val="24"/>
              </w:rPr>
              <w:t>20中电信SCP009</w:t>
            </w:r>
          </w:p>
        </w:tc>
        <w:tc>
          <w:tcPr>
            <w:vAlign w:val="center"/>
          </w:tcPr>
          <w:p>
            <w:pPr>
              <w:jc w:val="right"/>
            </w:pPr>
            <w:r>
              <w:rPr>
                <w:color w:val="000000"/>
                <w:sz w:val="24"/>
              </w:rPr>
              <w:t>3,000,000</w:t>
            </w:r>
          </w:p>
        </w:tc>
        <w:tc>
          <w:tcPr>
            <w:vAlign w:val="center"/>
          </w:tcPr>
          <w:p>
            <w:pPr>
              <w:jc w:val="right"/>
            </w:pPr>
            <w:r>
              <w:rPr>
                <w:color w:val="000000"/>
                <w:sz w:val="24"/>
              </w:rPr>
              <w:t>299,018,952.18</w:t>
            </w:r>
          </w:p>
        </w:tc>
        <w:tc>
          <w:tcPr>
            <w:vAlign w:val="center"/>
          </w:tcPr>
          <w:p>
            <w:pPr>
              <w:jc w:val="right"/>
            </w:pPr>
            <w:r>
              <w:rPr>
                <w:color w:val="000000"/>
                <w:sz w:val="24"/>
              </w:rPr>
              <w:t>1.00</w:t>
            </w:r>
          </w:p>
        </w:tc>
      </w:tr>
      <w:tr>
        <w:tc>
          <w:tcPr>
            <w:vAlign w:val="center"/>
          </w:tcPr>
          <w:p>
            <w:pPr>
              <w:jc w:val="center"/>
            </w:pPr>
            <w:r>
              <w:rPr>
                <w:color w:val="000000"/>
                <w:sz w:val="24"/>
              </w:rPr>
              <w:t>8</w:t>
            </w:r>
          </w:p>
        </w:tc>
        <w:tc>
          <w:tcPr>
            <w:vAlign w:val="center"/>
          </w:tcPr>
          <w:p>
            <w:pPr>
              <w:jc w:val="center"/>
            </w:pPr>
            <w:r>
              <w:rPr>
                <w:color w:val="000000"/>
                <w:sz w:val="24"/>
              </w:rPr>
              <w:t>112008025</w:t>
            </w:r>
          </w:p>
        </w:tc>
        <w:tc>
          <w:tcPr>
            <w:vAlign w:val="center"/>
          </w:tcPr>
          <w:p>
            <w:pPr>
              <w:jc w:val="center"/>
            </w:pPr>
            <w:r>
              <w:rPr>
                <w:color w:val="000000"/>
                <w:sz w:val="24"/>
              </w:rPr>
              <w:t>20中信银行CD025</w:t>
            </w:r>
          </w:p>
        </w:tc>
        <w:tc>
          <w:tcPr>
            <w:vAlign w:val="center"/>
          </w:tcPr>
          <w:p>
            <w:pPr>
              <w:jc w:val="right"/>
            </w:pPr>
            <w:r>
              <w:rPr>
                <w:color w:val="000000"/>
                <w:sz w:val="24"/>
              </w:rPr>
              <w:t>3,000,000</w:t>
            </w:r>
          </w:p>
        </w:tc>
        <w:tc>
          <w:tcPr>
            <w:vAlign w:val="center"/>
          </w:tcPr>
          <w:p>
            <w:pPr>
              <w:jc w:val="right"/>
            </w:pPr>
            <w:r>
              <w:rPr>
                <w:color w:val="000000"/>
                <w:sz w:val="24"/>
              </w:rPr>
              <w:t>298,541,630.81</w:t>
            </w:r>
          </w:p>
        </w:tc>
        <w:tc>
          <w:tcPr>
            <w:vAlign w:val="center"/>
          </w:tcPr>
          <w:p>
            <w:pPr>
              <w:jc w:val="right"/>
            </w:pPr>
            <w:r>
              <w:rPr>
                <w:color w:val="000000"/>
                <w:sz w:val="24"/>
              </w:rPr>
              <w:t>0.99</w:t>
            </w:r>
          </w:p>
        </w:tc>
      </w:tr>
      <w:tr>
        <w:tc>
          <w:tcPr>
            <w:vAlign w:val="center"/>
          </w:tcPr>
          <w:p>
            <w:pPr>
              <w:jc w:val="center"/>
            </w:pPr>
            <w:r>
              <w:rPr>
                <w:color w:val="000000"/>
                <w:sz w:val="24"/>
              </w:rPr>
              <w:t>9</w:t>
            </w:r>
          </w:p>
        </w:tc>
        <w:tc>
          <w:tcPr>
            <w:vAlign w:val="center"/>
          </w:tcPr>
          <w:p>
            <w:pPr>
              <w:jc w:val="center"/>
            </w:pPr>
            <w:r>
              <w:rPr>
                <w:color w:val="000000"/>
                <w:sz w:val="24"/>
              </w:rPr>
              <w:t>112087216</w:t>
            </w:r>
          </w:p>
        </w:tc>
        <w:tc>
          <w:tcPr>
            <w:vAlign w:val="center"/>
          </w:tcPr>
          <w:p>
            <w:pPr>
              <w:jc w:val="center"/>
            </w:pPr>
            <w:r>
              <w:rPr>
                <w:color w:val="000000"/>
                <w:sz w:val="24"/>
              </w:rPr>
              <w:t>20青岛农商行CD133</w:t>
            </w:r>
          </w:p>
        </w:tc>
        <w:tc>
          <w:tcPr>
            <w:vAlign w:val="center"/>
          </w:tcPr>
          <w:p>
            <w:pPr>
              <w:jc w:val="right"/>
            </w:pPr>
            <w:r>
              <w:rPr>
                <w:color w:val="000000"/>
                <w:sz w:val="24"/>
              </w:rPr>
              <w:t>3,000,000</w:t>
            </w:r>
          </w:p>
        </w:tc>
        <w:tc>
          <w:tcPr>
            <w:vAlign w:val="center"/>
          </w:tcPr>
          <w:p>
            <w:pPr>
              <w:jc w:val="right"/>
            </w:pPr>
            <w:r>
              <w:rPr>
                <w:color w:val="000000"/>
                <w:sz w:val="24"/>
              </w:rPr>
              <w:t>298,449,861.16</w:t>
            </w:r>
          </w:p>
        </w:tc>
        <w:tc>
          <w:tcPr>
            <w:vAlign w:val="center"/>
          </w:tcPr>
          <w:p>
            <w:pPr>
              <w:jc w:val="right"/>
            </w:pPr>
            <w:r>
              <w:rPr>
                <w:color w:val="000000"/>
                <w:sz w:val="24"/>
              </w:rPr>
              <w:t>0.99</w:t>
            </w:r>
          </w:p>
        </w:tc>
      </w:tr>
      <w:tr>
        <w:tc>
          <w:tcPr>
            <w:vAlign w:val="center"/>
          </w:tcPr>
          <w:p>
            <w:pPr>
              <w:jc w:val="center"/>
            </w:pPr>
            <w:r>
              <w:rPr>
                <w:color w:val="000000"/>
                <w:sz w:val="24"/>
              </w:rPr>
              <w:t>10</w:t>
            </w:r>
          </w:p>
        </w:tc>
        <w:tc>
          <w:tcPr>
            <w:vAlign w:val="center"/>
          </w:tcPr>
          <w:p>
            <w:pPr>
              <w:jc w:val="center"/>
            </w:pPr>
            <w:r>
              <w:rPr>
                <w:color w:val="000000"/>
                <w:sz w:val="24"/>
              </w:rPr>
              <w:t>112015434</w:t>
            </w:r>
          </w:p>
        </w:tc>
        <w:tc>
          <w:tcPr>
            <w:vAlign w:val="center"/>
          </w:tcPr>
          <w:p>
            <w:pPr>
              <w:jc w:val="center"/>
            </w:pPr>
            <w:r>
              <w:rPr>
                <w:color w:val="000000"/>
                <w:sz w:val="24"/>
              </w:rPr>
              <w:t>20民生银行CD434</w:t>
            </w:r>
          </w:p>
        </w:tc>
        <w:tc>
          <w:tcPr>
            <w:vAlign w:val="center"/>
          </w:tcPr>
          <w:p>
            <w:pPr>
              <w:jc w:val="right"/>
            </w:pPr>
            <w:r>
              <w:rPr>
                <w:color w:val="000000"/>
                <w:sz w:val="24"/>
              </w:rPr>
              <w:t>3,000,000</w:t>
            </w:r>
          </w:p>
        </w:tc>
        <w:tc>
          <w:tcPr>
            <w:vAlign w:val="center"/>
          </w:tcPr>
          <w:p>
            <w:pPr>
              <w:jc w:val="right"/>
            </w:pPr>
            <w:r>
              <w:rPr>
                <w:color w:val="000000"/>
                <w:sz w:val="24"/>
              </w:rPr>
              <w:t>298,223,657.04</w:t>
            </w:r>
          </w:p>
        </w:tc>
        <w:tc>
          <w:tcPr>
            <w:vAlign w:val="center"/>
          </w:tcPr>
          <w:p>
            <w:pPr>
              <w:jc w:val="right"/>
            </w:pPr>
            <w:r>
              <w:rPr>
                <w:color w:val="000000"/>
                <w:sz w:val="24"/>
              </w:rPr>
              <w:t>0.99</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0.0633%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0.0155%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0.0381%</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本基金本报告期内未存在正偏离度的绝对值达到0.50%情况。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168649</w:t>
            </w:r>
          </w:p>
        </w:tc>
        <w:tc>
          <w:tcPr>
            <w:vAlign w:val="center"/>
          </w:tcPr>
          <w:p>
            <w:pPr>
              <w:jc w:val="center"/>
            </w:pPr>
            <w:r>
              <w:rPr>
                <w:color w:val="000000"/>
                <w:sz w:val="24"/>
              </w:rPr>
              <w:t>信润03A1</w:t>
            </w:r>
          </w:p>
        </w:tc>
        <w:tc>
          <w:tcPr>
            <w:vAlign w:val="center"/>
          </w:tcPr>
          <w:p>
            <w:pPr>
              <w:jc w:val="right"/>
            </w:pPr>
            <w:r>
              <w:rPr>
                <w:color w:val="000000"/>
                <w:sz w:val="24"/>
              </w:rPr>
              <w:t>1,000,000</w:t>
            </w:r>
          </w:p>
        </w:tc>
        <w:tc>
          <w:tcPr>
            <w:vAlign w:val="center"/>
          </w:tcPr>
          <w:p>
            <w:pPr>
              <w:jc w:val="right"/>
            </w:pPr>
            <w:r>
              <w:rPr>
                <w:color w:val="000000"/>
                <w:sz w:val="24"/>
              </w:rPr>
              <w:t>100,000,000.00</w:t>
            </w:r>
          </w:p>
        </w:tc>
        <w:tc>
          <w:tcPr>
            <w:vAlign w:val="center"/>
          </w:tcPr>
          <w:p>
            <w:pPr>
              <w:jc w:val="right"/>
            </w:pPr>
            <w:r>
              <w:rPr>
                <w:color w:val="000000"/>
                <w:sz w:val="24"/>
              </w:rPr>
              <w:t>0.33</w:t>
            </w:r>
          </w:p>
        </w:tc>
      </w:tr>
      <w:tr>
        <w:tc>
          <w:tcPr>
            <w:vAlign w:val="center"/>
          </w:tcPr>
          <w:p>
            <w:pPr>
              <w:jc w:val="center"/>
            </w:pPr>
            <w:r>
              <w:rPr>
                <w:color w:val="000000"/>
                <w:sz w:val="24"/>
              </w:rPr>
              <w:t>2</w:t>
            </w:r>
          </w:p>
        </w:tc>
        <w:tc>
          <w:tcPr>
            <w:vAlign w:val="center"/>
          </w:tcPr>
          <w:p>
            <w:pPr>
              <w:jc w:val="center"/>
            </w:pPr>
            <w:r>
              <w:rPr>
                <w:color w:val="000000"/>
                <w:sz w:val="24"/>
              </w:rPr>
              <w:t>2089082</w:t>
            </w:r>
          </w:p>
        </w:tc>
        <w:tc>
          <w:tcPr>
            <w:vAlign w:val="center"/>
          </w:tcPr>
          <w:p>
            <w:pPr>
              <w:jc w:val="center"/>
            </w:pPr>
            <w:r>
              <w:rPr>
                <w:color w:val="000000"/>
                <w:sz w:val="24"/>
              </w:rPr>
              <w:t>20上和1A1</w:t>
            </w:r>
          </w:p>
        </w:tc>
        <w:tc>
          <w:tcPr>
            <w:vAlign w:val="center"/>
          </w:tcPr>
          <w:p>
            <w:pPr>
              <w:jc w:val="right"/>
            </w:pPr>
            <w:r>
              <w:rPr>
                <w:color w:val="000000"/>
                <w:sz w:val="24"/>
              </w:rPr>
              <w:t>500,000</w:t>
            </w:r>
          </w:p>
        </w:tc>
        <w:tc>
          <w:tcPr>
            <w:vAlign w:val="center"/>
          </w:tcPr>
          <w:p>
            <w:pPr>
              <w:jc w:val="right"/>
            </w:pPr>
            <w:r>
              <w:rPr>
                <w:color w:val="000000"/>
                <w:sz w:val="24"/>
              </w:rPr>
              <w:t>13,420,716.83</w:t>
            </w:r>
          </w:p>
        </w:tc>
        <w:tc>
          <w:tcPr>
            <w:vAlign w:val="center"/>
          </w:tcPr>
          <w:p>
            <w:pPr>
              <w:jc w:val="right"/>
            </w:pPr>
            <w:r>
              <w:rPr>
                <w:color w:val="000000"/>
                <w:sz w:val="24"/>
              </w:rPr>
              <w:t>0.04</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130,040,817.34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3,906.00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260.69</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130,044,984.03</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交银活期通货币A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交银活期通货币E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13,962,760,107.99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21,166,131,773.27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11,281,601,126.97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6,225,986,619.50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12,399,401,092.58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10,201,792,144.65</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12,844,960,142.38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17,190,326,248.12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1,060,265.44</w:t>
            </w:r>
          </w:p>
        </w:tc>
        <w:tc>
          <w:tcPr>
            <w:vAlign w:val="center"/>
          </w:tcPr>
          <w:p>
            <w:pPr>
              <w:jc w:val="right"/>
            </w:pPr>
            <w:r>
              <w:rPr>
                <w:color w:val="000000"/>
                <w:sz w:val="24"/>
              </w:rPr>
              <w:t>1,060,265.44</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1,060,265.44</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1,060,265.44</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注：1、本基金管理人本报告期末持有本基金E类份额208,267,992.53份，占本基金期末E类基金总份额的1.21%</w:t>
      </w:r>
    </w:p>
    <w:p>
      <w:pPr>
        <w:autoSpaceDE w:val="0"/>
        <w:autoSpaceDN w:val="0"/>
        <w:adjustRightInd w:val="0"/>
        <w:spacing w:before="29" w:line="288" w:lineRule="auto"/>
        <w:jc w:val="left"/>
        <w:rPr>
          <w:color w:val="000000"/>
          <w:sz w:val="24"/>
        </w:rPr>
      </w:pPr>
      <w:r>
        <w:rPr>
          <w:color w:val="000000"/>
          <w:sz w:val="24"/>
        </w:rPr>
        <w:t>，本基金管理人本报告期末持有本基金A类份额0.00份，占本基金期末A类基金总份额的0.00%。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1、中国证监会准予交银施罗德活期通货币市场基金募集注册的文件； </w:t>
      </w:r>
    </w:p>
    <w:p>
      <w:pPr>
        <w:spacing w:before="29" w:line="288" w:lineRule="auto"/>
        <w:ind w:firstLine="480" w:firstLineChars="200"/>
        <w:rPr>
          <w:color w:val="000000"/>
          <w:sz w:val="24"/>
        </w:rPr>
      </w:pPr>
      <w:r>
        <w:rPr>
          <w:color w:val="000000"/>
          <w:sz w:val="24"/>
        </w:rPr>
        <w:t xml:space="preserve">2、《交银施罗德活期通货币市场基金基金合同》； </w:t>
      </w:r>
    </w:p>
    <w:p>
      <w:pPr>
        <w:spacing w:before="29" w:line="288" w:lineRule="auto"/>
        <w:ind w:firstLine="480" w:firstLineChars="200"/>
        <w:rPr>
          <w:color w:val="000000"/>
          <w:sz w:val="24"/>
        </w:rPr>
      </w:pPr>
      <w:r>
        <w:rPr>
          <w:color w:val="000000"/>
          <w:sz w:val="24"/>
        </w:rPr>
        <w:t xml:space="preserve">3、《交银施罗德活期通货币市场基金招募说明书》； </w:t>
      </w:r>
    </w:p>
    <w:p>
      <w:pPr>
        <w:spacing w:before="29" w:line="288" w:lineRule="auto"/>
        <w:ind w:firstLine="480" w:firstLineChars="200"/>
        <w:rPr>
          <w:color w:val="000000"/>
          <w:sz w:val="24"/>
        </w:rPr>
      </w:pPr>
      <w:r>
        <w:rPr>
          <w:color w:val="000000"/>
          <w:sz w:val="24"/>
        </w:rPr>
        <w:t xml:space="preserve">4、《交银施罗德活期通货币市场基金托管协议》； </w:t>
      </w:r>
    </w:p>
    <w:p>
      <w:pPr>
        <w:spacing w:before="29" w:line="288" w:lineRule="auto"/>
        <w:ind w:firstLine="480" w:firstLineChars="200"/>
        <w:rPr>
          <w:color w:val="000000"/>
          <w:sz w:val="24"/>
        </w:rPr>
      </w:pPr>
      <w:r>
        <w:rPr>
          <w:color w:val="000000"/>
          <w:sz w:val="24"/>
        </w:rPr>
        <w:t xml:space="preserve">5、关于申请募集注册交银施罗德活期通货币市场基金的法律意见书；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8、报告期内交银施罗德活期通货币市场基金在指定报刊上各项公告的原稿。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交银施罗德活期通货币市场基金2020年第3季度报告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