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交银施罗德天益宝货币市场基金</w:t>
      </w:r>
    </w:p>
    <w:p w:rsidP="00281564" w:rsidR="00B60E27" w:rsidRDefault="00B60E27" w:rsidRPr="001E1B20">
      <w:pPr>
        <w:spacing w:before="29" w:line="288" w:lineRule="auto"/>
        <w:jc w:val="center"/>
        <w:rPr>
          <w:b/>
          <w:sz w:val="36"/>
          <w:szCs w:val="36"/>
        </w:rPr>
      </w:pPr>
      <w:r w:rsidRPr="001E1B20">
        <w:rPr>
          <w:b/>
          <w:sz w:val="36"/>
          <w:szCs w:val="36"/>
        </w:rPr>
        <w:t>2020年第3季度报告</w:t>
      </w:r>
    </w:p>
    <w:p w:rsidP="00281564" w:rsidR="002B45A4" w:rsidRDefault="00D87D00" w:rsidRPr="001E1B20">
      <w:pPr>
        <w:spacing w:before="29" w:line="288" w:lineRule="auto"/>
        <w:jc w:val="center"/>
        <w:rPr>
          <w:b/>
          <w:sz w:val="36"/>
          <w:szCs w:val="36"/>
        </w:rPr>
      </w:pPr>
      <w:r w:rsidRPr="001E1B20">
        <w:rPr>
          <w:b/>
          <w:sz w:val="36"/>
          <w:szCs w:val="36"/>
        </w:rPr>
        <w:t>2020年9月30日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中国工商银行股份有限公司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二〇二〇年十月二十八日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基金托管人中国工商银行股份有限公司根据本基金合同规定，于2020年10月27日复核了本报告中的财务指标、净值表现和投资组合报告等内容，保证复核内容不存在虚假记载、误导性陈述或者重大遗漏。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本报告期自2020年7月1日起至9月30日止。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交银天益宝货币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2016年12月20日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9,695,017,529.68</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交银天益宝货币A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交银天益宝货币E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003968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003969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42,625,894.33</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9,652,391,635.35</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(2020年7月1日-2020年9月30日)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交银天益宝货币A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交银天益宝货币E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58,475.68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35,671,441.42</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58,475.68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35,671,441.42</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42,625,894.33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9,652,391,635.35</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交银天益宝货币A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0.4952%</w:t>
            </w:r>
          </w:p>
        </w:tc>
        <w:tc>
          <w:tcPr>
            <w:vAlign w:val="center"/>
          </w:tcPr>
          <w:p>
            <w:pPr>
              <w:jc w:val="center"/>
            </w:pPr>
            <w:r>
              <w:rPr>
                <w:rFonts w:ascii="Times New Roman" w:hAnsi="Times New Roman"/>
                <w:color w:val="000000"/>
              </w:rPr>
              <w:t>0.0026%</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0.4070%</w:t>
            </w:r>
          </w:p>
        </w:tc>
        <w:tc>
          <w:tcPr>
            <w:vAlign w:val="center"/>
          </w:tcPr>
          <w:p>
            <w:pPr>
              <w:jc w:val="center"/>
            </w:pPr>
            <w:r>
              <w:rPr>
                <w:rFonts w:ascii="Times New Roman" w:hAnsi="Times New Roman"/>
                <w:color w:val="000000"/>
              </w:rPr>
              <w:t>0.0026%</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0.9120%</w:t>
            </w:r>
          </w:p>
        </w:tc>
        <w:tc>
          <w:tcPr>
            <w:vAlign w:val="center"/>
          </w:tcPr>
          <w:p>
            <w:pPr>
              <w:jc w:val="center"/>
            </w:pPr>
            <w:r>
              <w:rPr>
                <w:rFonts w:ascii="Times New Roman" w:hAnsi="Times New Roman"/>
                <w:color w:val="000000"/>
              </w:rPr>
              <w:t>0.0021%</w:t>
            </w:r>
          </w:p>
        </w:tc>
        <w:tc>
          <w:tcPr>
            <w:vAlign w:val="center"/>
          </w:tcPr>
          <w:p>
            <w:pPr>
              <w:jc w:val="center"/>
            </w:pPr>
            <w:r>
              <w:rPr>
                <w:rFonts w:ascii="Times New Roman" w:hAnsi="Times New Roman"/>
                <w:color w:val="000000"/>
              </w:rPr>
              <w:t>0.1755%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0.7365%</w:t>
            </w:r>
          </w:p>
        </w:tc>
        <w:tc>
          <w:tcPr>
            <w:vAlign w:val="center"/>
          </w:tcPr>
          <w:p>
            <w:pPr>
              <w:jc w:val="center"/>
            </w:pPr>
            <w:r>
              <w:rPr>
                <w:rFonts w:ascii="Times New Roman" w:hAnsi="Times New Roman"/>
                <w:color w:val="000000"/>
              </w:rPr>
              <w:t>0.0021%</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2.1683%</w:t>
            </w:r>
          </w:p>
        </w:tc>
        <w:tc>
          <w:tcPr>
            <w:vAlign w:val="center"/>
          </w:tcPr>
          <w:p>
            <w:pPr>
              <w:jc w:val="center"/>
            </w:pPr>
            <w:r>
              <w:rPr>
                <w:rFonts w:ascii="Times New Roman" w:hAnsi="Times New Roman"/>
                <w:color w:val="000000"/>
              </w:rPr>
              <w:t>0.0019%</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1.8173%</w:t>
            </w:r>
          </w:p>
        </w:tc>
        <w:tc>
          <w:tcPr>
            <w:vAlign w:val="center"/>
          </w:tcPr>
          <w:p>
            <w:pPr>
              <w:jc w:val="center"/>
            </w:pPr>
            <w:r>
              <w:rPr>
                <w:rFonts w:ascii="Times New Roman" w:hAnsi="Times New Roman"/>
                <w:color w:val="000000"/>
              </w:rPr>
              <w:t>0.0019%</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8.7287%</w:t>
            </w:r>
          </w:p>
        </w:tc>
        <w:tc>
          <w:tcPr>
            <w:vAlign w:val="center"/>
          </w:tcPr>
          <w:p>
            <w:pPr>
              <w:jc w:val="center"/>
            </w:pPr>
            <w:r>
              <w:rPr>
                <w:rFonts w:ascii="Times New Roman" w:hAnsi="Times New Roman"/>
                <w:color w:val="000000"/>
              </w:rPr>
              <w:t>0.0026%</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7.6777%</w:t>
            </w:r>
          </w:p>
        </w:tc>
        <w:tc>
          <w:tcPr>
            <w:vAlign w:val="center"/>
          </w:tcPr>
          <w:p>
            <w:pPr>
              <w:jc w:val="center"/>
            </w:pPr>
            <w:r>
              <w:rPr>
                <w:rFonts w:ascii="Times New Roman" w:hAnsi="Times New Roman"/>
                <w:color w:val="000000"/>
              </w:rPr>
              <w:t>0.0026%</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12.0710%</w:t>
            </w:r>
          </w:p>
        </w:tc>
        <w:tc>
          <w:tcPr>
            <w:vAlign w:val="center"/>
          </w:tcPr>
          <w:p>
            <w:pPr>
              <w:jc w:val="center"/>
            </w:pPr>
            <w:r>
              <w:rPr>
                <w:rFonts w:ascii="Times New Roman" w:hAnsi="Times New Roman"/>
                <w:color w:val="000000"/>
              </w:rPr>
              <w:t>0.0027%</w:t>
            </w:r>
          </w:p>
        </w:tc>
        <w:tc>
          <w:tcPr>
            <w:vAlign w:val="center"/>
          </w:tcPr>
          <w:p>
            <w:pPr>
              <w:jc w:val="center"/>
            </w:pPr>
            <w:r>
              <w:rPr>
                <w:rFonts w:ascii="Times New Roman" w:hAnsi="Times New Roman"/>
                <w:color w:val="000000"/>
              </w:rPr>
              <w:t>1.3242%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10.7468%</w:t>
            </w:r>
          </w:p>
        </w:tc>
        <w:tc>
          <w:tcPr>
            <w:vAlign w:val="center"/>
          </w:tcPr>
          <w:p>
            <w:pPr>
              <w:jc w:val="center"/>
            </w:pPr>
            <w:r>
              <w:rPr>
                <w:rFonts w:ascii="Times New Roman" w:hAnsi="Times New Roman"/>
                <w:color w:val="000000"/>
              </w:rPr>
              <w:t>0.0027%</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交银天益宝货币E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0.5547%</w:t>
            </w:r>
          </w:p>
        </w:tc>
        <w:tc>
          <w:tcPr>
            <w:vAlign w:val="center"/>
          </w:tcPr>
          <w:p>
            <w:pPr>
              <w:jc w:val="center"/>
            </w:pPr>
            <w:r>
              <w:rPr>
                <w:rFonts w:ascii="Times New Roman" w:hAnsi="Times New Roman"/>
                <w:color w:val="000000"/>
              </w:rPr>
              <w:t>0.0026%</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0.4665%</w:t>
            </w:r>
          </w:p>
        </w:tc>
        <w:tc>
          <w:tcPr>
            <w:vAlign w:val="center"/>
          </w:tcPr>
          <w:p>
            <w:pPr>
              <w:jc w:val="center"/>
            </w:pPr>
            <w:r>
              <w:rPr>
                <w:rFonts w:ascii="Times New Roman" w:hAnsi="Times New Roman"/>
                <w:color w:val="000000"/>
              </w:rPr>
              <w:t>0.0026%</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1.0321%</w:t>
            </w:r>
          </w:p>
        </w:tc>
        <w:tc>
          <w:tcPr>
            <w:vAlign w:val="center"/>
          </w:tcPr>
          <w:p>
            <w:pPr>
              <w:jc w:val="center"/>
            </w:pPr>
            <w:r>
              <w:rPr>
                <w:rFonts w:ascii="Times New Roman" w:hAnsi="Times New Roman"/>
                <w:color w:val="000000"/>
              </w:rPr>
              <w:t>0.0021%</w:t>
            </w:r>
          </w:p>
        </w:tc>
        <w:tc>
          <w:tcPr>
            <w:vAlign w:val="center"/>
          </w:tcPr>
          <w:p>
            <w:pPr>
              <w:jc w:val="center"/>
            </w:pPr>
            <w:r>
              <w:rPr>
                <w:rFonts w:ascii="Times New Roman" w:hAnsi="Times New Roman"/>
                <w:color w:val="000000"/>
              </w:rPr>
              <w:t>0.1755%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0.8566%</w:t>
            </w:r>
          </w:p>
        </w:tc>
        <w:tc>
          <w:tcPr>
            <w:vAlign w:val="center"/>
          </w:tcPr>
          <w:p>
            <w:pPr>
              <w:jc w:val="center"/>
            </w:pPr>
            <w:r>
              <w:rPr>
                <w:rFonts w:ascii="Times New Roman" w:hAnsi="Times New Roman"/>
                <w:color w:val="000000"/>
              </w:rPr>
              <w:t>0.0021%</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2.4134%</w:t>
            </w:r>
          </w:p>
        </w:tc>
        <w:tc>
          <w:tcPr>
            <w:vAlign w:val="center"/>
          </w:tcPr>
          <w:p>
            <w:pPr>
              <w:jc w:val="center"/>
            </w:pPr>
            <w:r>
              <w:rPr>
                <w:rFonts w:ascii="Times New Roman" w:hAnsi="Times New Roman"/>
                <w:color w:val="000000"/>
              </w:rPr>
              <w:t>0.0019%</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2.0624%</w:t>
            </w:r>
          </w:p>
        </w:tc>
        <w:tc>
          <w:tcPr>
            <w:vAlign w:val="center"/>
          </w:tcPr>
          <w:p>
            <w:pPr>
              <w:jc w:val="center"/>
            </w:pPr>
            <w:r>
              <w:rPr>
                <w:rFonts w:ascii="Times New Roman" w:hAnsi="Times New Roman"/>
                <w:color w:val="000000"/>
              </w:rPr>
              <w:t>0.0019%</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9.5204%</w:t>
            </w:r>
          </w:p>
        </w:tc>
        <w:tc>
          <w:tcPr>
            <w:vAlign w:val="center"/>
          </w:tcPr>
          <w:p>
            <w:pPr>
              <w:jc w:val="center"/>
            </w:pPr>
            <w:r>
              <w:rPr>
                <w:rFonts w:ascii="Times New Roman" w:hAnsi="Times New Roman"/>
                <w:color w:val="000000"/>
              </w:rPr>
              <w:t>0.0026%</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8.4694%</w:t>
            </w:r>
          </w:p>
        </w:tc>
        <w:tc>
          <w:tcPr>
            <w:vAlign w:val="center"/>
          </w:tcPr>
          <w:p>
            <w:pPr>
              <w:jc w:val="center"/>
            </w:pPr>
            <w:r>
              <w:rPr>
                <w:rFonts w:ascii="Times New Roman" w:hAnsi="Times New Roman"/>
                <w:color w:val="000000"/>
              </w:rPr>
              <w:t>0.0026%</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13.0943%</w:t>
            </w:r>
          </w:p>
        </w:tc>
        <w:tc>
          <w:tcPr>
            <w:vAlign w:val="center"/>
          </w:tcPr>
          <w:p>
            <w:pPr>
              <w:jc w:val="center"/>
            </w:pPr>
            <w:r>
              <w:rPr>
                <w:rFonts w:ascii="Times New Roman" w:hAnsi="Times New Roman"/>
                <w:color w:val="000000"/>
              </w:rPr>
              <w:t>0.0027%</w:t>
            </w:r>
          </w:p>
        </w:tc>
        <w:tc>
          <w:tcPr>
            <w:vAlign w:val="center"/>
          </w:tcPr>
          <w:p>
            <w:pPr>
              <w:jc w:val="center"/>
            </w:pPr>
            <w:r>
              <w:rPr>
                <w:rFonts w:ascii="Times New Roman" w:hAnsi="Times New Roman"/>
                <w:color w:val="000000"/>
              </w:rPr>
              <w:t>1.3242%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11.7701%</w:t>
            </w:r>
          </w:p>
        </w:tc>
        <w:tc>
          <w:tcPr>
            <w:vAlign w:val="center"/>
          </w:tcPr>
          <w:p>
            <w:pPr>
              <w:jc w:val="center"/>
            </w:pPr>
            <w:r>
              <w:rPr>
                <w:rFonts w:ascii="Times New Roman" w:hAnsi="Times New Roman"/>
                <w:color w:val="000000"/>
              </w:rPr>
              <w:t>0.0027%</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交银施罗德天益宝货币市场基金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2016年12月20日</w:t>
      </w:r>
      <w:r w:rsidR="00A7219D" w:rsidRPr="000E4C40">
        <w:rPr>
          <w:rFonts w:hAnsi="宋体"/>
          <w:color w:val="000000"/>
          <w:kern w:val="0"/>
          <w:sz w:val="24"/>
        </w:rPr>
        <w:t>至</w:t>
      </w:r>
      <w:r w:rsidR="00A7219D" w:rsidRPr="000E4C40">
        <w:rPr>
          <w:color w:val="000000"/>
          <w:kern w:val="0"/>
          <w:sz w:val="24"/>
        </w:rPr>
        <w:t>2020年9月30日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交银天益宝货币A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交银天益宝货币E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2016-12-20</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主要受到经济复苏预期、货币政策回归常态、债券供给增加的影响，债券收益率整体呈现震荡上行的趋势。十年国债收益率在九月初最高上行直至3.15%附近。九月中旬之后股市风险偏好回落叠加市场预期境外机构加大债市配置，收益率出现小幅下行。</w:t>
      </w:r>
    </w:p>
    <w:p>
      <w:pPr>
        <w:spacing w:before="29" w:line="288" w:lineRule="auto"/>
        <w:ind w:firstLine="480" w:firstLineChars="200"/>
        <w:rPr>
          <w:color w:val="000000"/>
          <w:sz w:val="24"/>
        </w:rPr>
      </w:pPr>
      <w:r>
        <w:rPr>
          <w:color w:val="000000"/>
          <w:sz w:val="24"/>
        </w:rPr>
        <w:t>货币政策方面，虽然央行在八月中下旬开展7000亿MLF，略超市场预期，但在超储率低位、利率债放量发行和缴税、跨季等因素影响下，资金面持续维持平衡偏紧格局直至九月末，同业存单发行利率不断上行，三个月股份制银行的同业存单利率继续上行到2.65%附近，较二季度末有50bp幅度的上行。收益率曲线进一步熊平化。</w:t>
      </w:r>
    </w:p>
    <w:p>
      <w:pPr>
        <w:spacing w:before="29" w:line="288" w:lineRule="auto"/>
        <w:ind w:firstLine="480" w:firstLineChars="200"/>
        <w:rPr>
          <w:color w:val="000000"/>
          <w:sz w:val="24"/>
        </w:rPr>
      </w:pPr>
      <w:r>
        <w:rPr>
          <w:color w:val="000000"/>
          <w:sz w:val="24"/>
        </w:rPr>
        <w:t>基金操作方面，随着货币市场收益率的逐渐回升，我们认为货币市场工具逐渐具有了一定的配置价值，逐渐降低了短期回购融资的配置比例，增加了存款、存单的配置比例。但考虑到年末时点流动性的不确定性，我们仍旧保持短久期的操作思路，主要以配置年底前到期的资产为主，整体组合运作平稳。在季度末资产价格相对较好的时点适当运用杠杆增配资产增厚组合收益。</w:t>
      </w:r>
    </w:p>
    <w:p>
      <w:pPr>
        <w:spacing w:before="29" w:line="288" w:lineRule="auto"/>
        <w:ind w:firstLine="480" w:firstLineChars="200"/>
        <w:rPr>
          <w:color w:val="000000"/>
          <w:sz w:val="24"/>
        </w:rPr>
      </w:pPr>
      <w:r>
        <w:rPr>
          <w:color w:val="000000"/>
          <w:sz w:val="24"/>
        </w:rPr>
        <w:t>展望2020年四季度，国内基本面恢复的节奏和货币信用的边际变化将成为影响债市的主要因素。短期来看经济延续改善趋势、央行态度回归中性、以及银行负债端压力较大，都不支持债市出现趋势性行情，预计市场会以弱势震荡为主。但随着年末供给压力减弱、信用增速放缓以及中美关系不确定性提升，债券市场或存在波段交易机会。资金面方面，疫情之后随着经济逐步恢复，货币政策也逐步退出总量性宽松模式，整体强调“精准导向”，短期内预计政策难以再度大幅宽松，但在降低融资成本的目标下，资金利率明显收紧概率不大。目前DR007大致在公开市场政策利率2.2%附近波动，预计进一步大幅上行空间有限，但由于超储率处于低位，银行间分层现象或较为明显，时点性因素将对非银机构的整体流动性造成一定影响。</w:t>
      </w:r>
    </w:p>
    <w:p w:rsidP="00281564" w:rsidR="00C4627A" w:rsidRDefault="00C4627A" w:rsidRPr="000E4C40">
      <w:pPr>
        <w:spacing w:before="29" w:line="288" w:lineRule="auto"/>
        <w:ind w:firstLine="480" w:firstLineChars="20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4,638,314,505.22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43.38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4,527,577,918.73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42.35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110,736,586.49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1.04</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2,837,388,976.08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26.54</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3,200,958,120.45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29.94</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15,082,459.54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0.14</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10,691,744,061.29</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12.75</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994,052,628.92</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10.25</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57</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61</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32</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30.66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10.25</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24.55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47.72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7.20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110.13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10.25</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129,498,813.89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1.34</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368,987,650.55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3.81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368,987,650.55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3.81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249,786,249.44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2.58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3,779,305,204.85</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38.98</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4,527,577,918.73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46.70</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112019337</w:t>
            </w:r>
          </w:p>
        </w:tc>
        <w:tc>
          <w:tcPr>
            <w:vAlign w:val="center"/>
          </w:tcPr>
          <w:p>
            <w:pPr>
              <w:jc w:val="center"/>
            </w:pPr>
            <w:r>
              <w:rPr>
                <w:color w:val="000000"/>
                <w:sz w:val="24"/>
              </w:rPr>
              <w:t>20恒丰银行CD337</w:t>
            </w:r>
          </w:p>
        </w:tc>
        <w:tc>
          <w:tcPr>
            <w:vAlign w:val="center"/>
          </w:tcPr>
          <w:p>
            <w:pPr>
              <w:jc w:val="right"/>
            </w:pPr>
            <w:r>
              <w:rPr>
                <w:color w:val="000000"/>
                <w:sz w:val="24"/>
              </w:rPr>
              <w:t>3,800,000</w:t>
            </w:r>
          </w:p>
        </w:tc>
        <w:tc>
          <w:tcPr>
            <w:vAlign w:val="center"/>
          </w:tcPr>
          <w:p>
            <w:pPr>
              <w:jc w:val="right"/>
            </w:pPr>
            <w:r>
              <w:rPr>
                <w:color w:val="000000"/>
                <w:sz w:val="24"/>
              </w:rPr>
              <w:t>377,610,985.29</w:t>
            </w:r>
          </w:p>
        </w:tc>
        <w:tc>
          <w:tcPr>
            <w:vAlign w:val="center"/>
          </w:tcPr>
          <w:p>
            <w:pPr>
              <w:jc w:val="right"/>
            </w:pPr>
            <w:r>
              <w:rPr>
                <w:color w:val="000000"/>
                <w:sz w:val="24"/>
              </w:rPr>
              <w:t>3.89</w:t>
            </w:r>
          </w:p>
        </w:tc>
      </w:tr>
      <w:tr>
        <w:tc>
          <w:tcPr>
            <w:vAlign w:val="center"/>
          </w:tcPr>
          <w:p>
            <w:pPr>
              <w:jc w:val="center"/>
            </w:pPr>
            <w:r>
              <w:rPr>
                <w:color w:val="000000"/>
                <w:sz w:val="24"/>
              </w:rPr>
              <w:t>2</w:t>
            </w:r>
          </w:p>
        </w:tc>
        <w:tc>
          <w:tcPr>
            <w:vAlign w:val="center"/>
          </w:tcPr>
          <w:p>
            <w:pPr>
              <w:jc w:val="center"/>
            </w:pPr>
            <w:r>
              <w:rPr>
                <w:color w:val="000000"/>
                <w:sz w:val="24"/>
              </w:rPr>
              <w:t>112086190</w:t>
            </w:r>
          </w:p>
        </w:tc>
        <w:tc>
          <w:tcPr>
            <w:vAlign w:val="center"/>
          </w:tcPr>
          <w:p>
            <w:pPr>
              <w:jc w:val="center"/>
            </w:pPr>
            <w:r>
              <w:rPr>
                <w:color w:val="000000"/>
                <w:sz w:val="24"/>
              </w:rPr>
              <w:t>20重庆农村商行CD187</w:t>
            </w:r>
          </w:p>
        </w:tc>
        <w:tc>
          <w:tcPr>
            <w:vAlign w:val="center"/>
          </w:tcPr>
          <w:p>
            <w:pPr>
              <w:jc w:val="right"/>
            </w:pPr>
            <w:r>
              <w:rPr>
                <w:color w:val="000000"/>
                <w:sz w:val="24"/>
              </w:rPr>
              <w:t>3,000,000</w:t>
            </w:r>
          </w:p>
        </w:tc>
        <w:tc>
          <w:tcPr>
            <w:vAlign w:val="center"/>
          </w:tcPr>
          <w:p>
            <w:pPr>
              <w:jc w:val="right"/>
            </w:pPr>
            <w:r>
              <w:rPr>
                <w:color w:val="000000"/>
                <w:sz w:val="24"/>
              </w:rPr>
              <w:t>298,767,597.22</w:t>
            </w:r>
          </w:p>
        </w:tc>
        <w:tc>
          <w:tcPr>
            <w:vAlign w:val="center"/>
          </w:tcPr>
          <w:p>
            <w:pPr>
              <w:jc w:val="right"/>
            </w:pPr>
            <w:r>
              <w:rPr>
                <w:color w:val="000000"/>
                <w:sz w:val="24"/>
              </w:rPr>
              <w:t>3.08</w:t>
            </w:r>
          </w:p>
        </w:tc>
      </w:tr>
      <w:tr>
        <w:tc>
          <w:tcPr>
            <w:vAlign w:val="center"/>
          </w:tcPr>
          <w:p>
            <w:pPr>
              <w:jc w:val="center"/>
            </w:pPr>
            <w:r>
              <w:rPr>
                <w:color w:val="000000"/>
                <w:sz w:val="24"/>
              </w:rPr>
              <w:t>3</w:t>
            </w:r>
          </w:p>
        </w:tc>
        <w:tc>
          <w:tcPr>
            <w:vAlign w:val="center"/>
          </w:tcPr>
          <w:p>
            <w:pPr>
              <w:jc w:val="center"/>
            </w:pPr>
            <w:r>
              <w:rPr>
                <w:color w:val="000000"/>
                <w:sz w:val="24"/>
              </w:rPr>
              <w:t>112099765</w:t>
            </w:r>
          </w:p>
        </w:tc>
        <w:tc>
          <w:tcPr>
            <w:vAlign w:val="center"/>
          </w:tcPr>
          <w:p>
            <w:pPr>
              <w:jc w:val="center"/>
            </w:pPr>
            <w:r>
              <w:rPr>
                <w:color w:val="000000"/>
                <w:sz w:val="24"/>
              </w:rPr>
              <w:t>20徽商银行CD039</w:t>
            </w:r>
          </w:p>
        </w:tc>
        <w:tc>
          <w:tcPr>
            <w:vAlign w:val="center"/>
          </w:tcPr>
          <w:p>
            <w:pPr>
              <w:jc w:val="right"/>
            </w:pPr>
            <w:r>
              <w:rPr>
                <w:color w:val="000000"/>
                <w:sz w:val="24"/>
              </w:rPr>
              <w:t>3,000,000</w:t>
            </w:r>
          </w:p>
        </w:tc>
        <w:tc>
          <w:tcPr>
            <w:vAlign w:val="center"/>
          </w:tcPr>
          <w:p>
            <w:pPr>
              <w:jc w:val="right"/>
            </w:pPr>
            <w:r>
              <w:rPr>
                <w:color w:val="000000"/>
                <w:sz w:val="24"/>
              </w:rPr>
              <w:t>298,763,465.94</w:t>
            </w:r>
          </w:p>
        </w:tc>
        <w:tc>
          <w:tcPr>
            <w:vAlign w:val="center"/>
          </w:tcPr>
          <w:p>
            <w:pPr>
              <w:jc w:val="right"/>
            </w:pPr>
            <w:r>
              <w:rPr>
                <w:color w:val="000000"/>
                <w:sz w:val="24"/>
              </w:rPr>
              <w:t>3.08</w:t>
            </w:r>
          </w:p>
        </w:tc>
      </w:tr>
      <w:tr>
        <w:tc>
          <w:tcPr>
            <w:vAlign w:val="center"/>
          </w:tcPr>
          <w:p>
            <w:pPr>
              <w:jc w:val="center"/>
            </w:pPr>
            <w:r>
              <w:rPr>
                <w:color w:val="000000"/>
                <w:sz w:val="24"/>
              </w:rPr>
              <w:t>4</w:t>
            </w:r>
          </w:p>
        </w:tc>
        <w:tc>
          <w:tcPr>
            <w:vAlign w:val="center"/>
          </w:tcPr>
          <w:p>
            <w:pPr>
              <w:jc w:val="center"/>
            </w:pPr>
            <w:r>
              <w:rPr>
                <w:color w:val="000000"/>
                <w:sz w:val="24"/>
              </w:rPr>
              <w:t>112019318</w:t>
            </w:r>
          </w:p>
        </w:tc>
        <w:tc>
          <w:tcPr>
            <w:vAlign w:val="center"/>
          </w:tcPr>
          <w:p>
            <w:pPr>
              <w:jc w:val="center"/>
            </w:pPr>
            <w:r>
              <w:rPr>
                <w:color w:val="000000"/>
                <w:sz w:val="24"/>
              </w:rPr>
              <w:t>20恒丰银行CD318</w:t>
            </w:r>
          </w:p>
        </w:tc>
        <w:tc>
          <w:tcPr>
            <w:vAlign w:val="center"/>
          </w:tcPr>
          <w:p>
            <w:pPr>
              <w:jc w:val="right"/>
            </w:pPr>
            <w:r>
              <w:rPr>
                <w:color w:val="000000"/>
                <w:sz w:val="24"/>
              </w:rPr>
              <w:t>2,000,000</w:t>
            </w:r>
          </w:p>
        </w:tc>
        <w:tc>
          <w:tcPr>
            <w:vAlign w:val="center"/>
          </w:tcPr>
          <w:p>
            <w:pPr>
              <w:jc w:val="right"/>
            </w:pPr>
            <w:r>
              <w:rPr>
                <w:color w:val="000000"/>
                <w:sz w:val="24"/>
              </w:rPr>
              <w:t>198,879,030.37</w:t>
            </w:r>
          </w:p>
        </w:tc>
        <w:tc>
          <w:tcPr>
            <w:vAlign w:val="center"/>
          </w:tcPr>
          <w:p>
            <w:pPr>
              <w:jc w:val="right"/>
            </w:pPr>
            <w:r>
              <w:rPr>
                <w:color w:val="000000"/>
                <w:sz w:val="24"/>
              </w:rPr>
              <w:t>2.05</w:t>
            </w:r>
          </w:p>
        </w:tc>
      </w:tr>
      <w:tr>
        <w:tc>
          <w:tcPr>
            <w:vAlign w:val="center"/>
          </w:tcPr>
          <w:p>
            <w:pPr>
              <w:jc w:val="center"/>
            </w:pPr>
            <w:r>
              <w:rPr>
                <w:color w:val="000000"/>
                <w:sz w:val="24"/>
              </w:rPr>
              <w:t>5</w:t>
            </w:r>
          </w:p>
        </w:tc>
        <w:tc>
          <w:tcPr>
            <w:vAlign w:val="center"/>
          </w:tcPr>
          <w:p>
            <w:pPr>
              <w:jc w:val="center"/>
            </w:pPr>
            <w:r>
              <w:rPr>
                <w:color w:val="000000"/>
                <w:sz w:val="24"/>
              </w:rPr>
              <w:t>112088523</w:t>
            </w:r>
          </w:p>
        </w:tc>
        <w:tc>
          <w:tcPr>
            <w:vAlign w:val="center"/>
          </w:tcPr>
          <w:p>
            <w:pPr>
              <w:jc w:val="center"/>
            </w:pPr>
            <w:r>
              <w:rPr>
                <w:color w:val="000000"/>
                <w:sz w:val="24"/>
              </w:rPr>
              <w:t>20河北银行CD061</w:t>
            </w:r>
          </w:p>
        </w:tc>
        <w:tc>
          <w:tcPr>
            <w:vAlign w:val="center"/>
          </w:tcPr>
          <w:p>
            <w:pPr>
              <w:jc w:val="right"/>
            </w:pPr>
            <w:r>
              <w:rPr>
                <w:color w:val="000000"/>
                <w:sz w:val="24"/>
              </w:rPr>
              <w:t>2,000,000</w:t>
            </w:r>
          </w:p>
        </w:tc>
        <w:tc>
          <w:tcPr>
            <w:vAlign w:val="center"/>
          </w:tcPr>
          <w:p>
            <w:pPr>
              <w:jc w:val="right"/>
            </w:pPr>
            <w:r>
              <w:rPr>
                <w:color w:val="000000"/>
                <w:sz w:val="24"/>
              </w:rPr>
              <w:t>198,751,674.73</w:t>
            </w:r>
          </w:p>
        </w:tc>
        <w:tc>
          <w:tcPr>
            <w:vAlign w:val="center"/>
          </w:tcPr>
          <w:p>
            <w:pPr>
              <w:jc w:val="right"/>
            </w:pPr>
            <w:r>
              <w:rPr>
                <w:color w:val="000000"/>
                <w:sz w:val="24"/>
              </w:rPr>
              <w:t>2.05</w:t>
            </w:r>
          </w:p>
        </w:tc>
      </w:tr>
      <w:tr>
        <w:tc>
          <w:tcPr>
            <w:vAlign w:val="center"/>
          </w:tcPr>
          <w:p>
            <w:pPr>
              <w:jc w:val="center"/>
            </w:pPr>
            <w:r>
              <w:rPr>
                <w:color w:val="000000"/>
                <w:sz w:val="24"/>
              </w:rPr>
              <w:t>6</w:t>
            </w:r>
          </w:p>
        </w:tc>
        <w:tc>
          <w:tcPr>
            <w:vAlign w:val="center"/>
          </w:tcPr>
          <w:p>
            <w:pPr>
              <w:jc w:val="center"/>
            </w:pPr>
            <w:r>
              <w:rPr>
                <w:color w:val="000000"/>
                <w:sz w:val="24"/>
              </w:rPr>
              <w:t>112088791</w:t>
            </w:r>
          </w:p>
        </w:tc>
        <w:tc>
          <w:tcPr>
            <w:vAlign w:val="center"/>
          </w:tcPr>
          <w:p>
            <w:pPr>
              <w:jc w:val="center"/>
            </w:pPr>
            <w:r>
              <w:rPr>
                <w:color w:val="000000"/>
                <w:sz w:val="24"/>
              </w:rPr>
              <w:t>20苏州银行CD243</w:t>
            </w:r>
          </w:p>
        </w:tc>
        <w:tc>
          <w:tcPr>
            <w:vAlign w:val="center"/>
          </w:tcPr>
          <w:p>
            <w:pPr>
              <w:jc w:val="right"/>
            </w:pPr>
            <w:r>
              <w:rPr>
                <w:color w:val="000000"/>
                <w:sz w:val="24"/>
              </w:rPr>
              <w:t>2,000,000</w:t>
            </w:r>
          </w:p>
        </w:tc>
        <w:tc>
          <w:tcPr>
            <w:vAlign w:val="center"/>
          </w:tcPr>
          <w:p>
            <w:pPr>
              <w:jc w:val="right"/>
            </w:pPr>
            <w:r>
              <w:rPr>
                <w:color w:val="000000"/>
                <w:sz w:val="24"/>
              </w:rPr>
              <w:t>198,693,109.73</w:t>
            </w:r>
          </w:p>
        </w:tc>
        <w:tc>
          <w:tcPr>
            <w:vAlign w:val="center"/>
          </w:tcPr>
          <w:p>
            <w:pPr>
              <w:jc w:val="right"/>
            </w:pPr>
            <w:r>
              <w:rPr>
                <w:color w:val="000000"/>
                <w:sz w:val="24"/>
              </w:rPr>
              <w:t>2.05</w:t>
            </w:r>
          </w:p>
        </w:tc>
      </w:tr>
      <w:tr>
        <w:tc>
          <w:tcPr>
            <w:vAlign w:val="center"/>
          </w:tcPr>
          <w:p>
            <w:pPr>
              <w:jc w:val="center"/>
            </w:pPr>
            <w:r>
              <w:rPr>
                <w:color w:val="000000"/>
                <w:sz w:val="24"/>
              </w:rPr>
              <w:t>7</w:t>
            </w:r>
          </w:p>
        </w:tc>
        <w:tc>
          <w:tcPr>
            <w:vAlign w:val="center"/>
          </w:tcPr>
          <w:p>
            <w:pPr>
              <w:jc w:val="center"/>
            </w:pPr>
            <w:r>
              <w:rPr>
                <w:color w:val="000000"/>
                <w:sz w:val="24"/>
              </w:rPr>
              <w:t>112088897</w:t>
            </w:r>
          </w:p>
        </w:tc>
        <w:tc>
          <w:tcPr>
            <w:vAlign w:val="center"/>
          </w:tcPr>
          <w:p>
            <w:pPr>
              <w:jc w:val="center"/>
            </w:pPr>
            <w:r>
              <w:rPr>
                <w:color w:val="000000"/>
                <w:sz w:val="24"/>
              </w:rPr>
              <w:t>20厦门银行CD190</w:t>
            </w:r>
          </w:p>
        </w:tc>
        <w:tc>
          <w:tcPr>
            <w:vAlign w:val="center"/>
          </w:tcPr>
          <w:p>
            <w:pPr>
              <w:jc w:val="right"/>
            </w:pPr>
            <w:r>
              <w:rPr>
                <w:color w:val="000000"/>
                <w:sz w:val="24"/>
              </w:rPr>
              <w:t>2,000,000</w:t>
            </w:r>
          </w:p>
        </w:tc>
        <w:tc>
          <w:tcPr>
            <w:vAlign w:val="center"/>
          </w:tcPr>
          <w:p>
            <w:pPr>
              <w:jc w:val="right"/>
            </w:pPr>
            <w:r>
              <w:rPr>
                <w:color w:val="000000"/>
                <w:sz w:val="24"/>
              </w:rPr>
              <w:t>198,668,029.78</w:t>
            </w:r>
          </w:p>
        </w:tc>
        <w:tc>
          <w:tcPr>
            <w:vAlign w:val="center"/>
          </w:tcPr>
          <w:p>
            <w:pPr>
              <w:jc w:val="right"/>
            </w:pPr>
            <w:r>
              <w:rPr>
                <w:color w:val="000000"/>
                <w:sz w:val="24"/>
              </w:rPr>
              <w:t>2.05</w:t>
            </w:r>
          </w:p>
        </w:tc>
      </w:tr>
      <w:tr>
        <w:tc>
          <w:tcPr>
            <w:vAlign w:val="center"/>
          </w:tcPr>
          <w:p>
            <w:pPr>
              <w:jc w:val="center"/>
            </w:pPr>
            <w:r>
              <w:rPr>
                <w:color w:val="000000"/>
                <w:sz w:val="24"/>
              </w:rPr>
              <w:t>8</w:t>
            </w:r>
          </w:p>
        </w:tc>
        <w:tc>
          <w:tcPr>
            <w:vAlign w:val="center"/>
          </w:tcPr>
          <w:p>
            <w:pPr>
              <w:jc w:val="center"/>
            </w:pPr>
            <w:r>
              <w:rPr>
                <w:color w:val="000000"/>
                <w:sz w:val="24"/>
              </w:rPr>
              <w:t>112099283</w:t>
            </w:r>
          </w:p>
        </w:tc>
        <w:tc>
          <w:tcPr>
            <w:vAlign w:val="center"/>
          </w:tcPr>
          <w:p>
            <w:pPr>
              <w:jc w:val="center"/>
            </w:pPr>
            <w:r>
              <w:rPr>
                <w:color w:val="000000"/>
                <w:sz w:val="24"/>
              </w:rPr>
              <w:t>20宁波银行CD087</w:t>
            </w:r>
          </w:p>
        </w:tc>
        <w:tc>
          <w:tcPr>
            <w:vAlign w:val="center"/>
          </w:tcPr>
          <w:p>
            <w:pPr>
              <w:jc w:val="right"/>
            </w:pPr>
            <w:r>
              <w:rPr>
                <w:color w:val="000000"/>
                <w:sz w:val="24"/>
              </w:rPr>
              <w:t>1,500,000</w:t>
            </w:r>
          </w:p>
        </w:tc>
        <w:tc>
          <w:tcPr>
            <w:vAlign w:val="center"/>
          </w:tcPr>
          <w:p>
            <w:pPr>
              <w:jc w:val="right"/>
            </w:pPr>
            <w:r>
              <w:rPr>
                <w:color w:val="000000"/>
                <w:sz w:val="24"/>
              </w:rPr>
              <w:t>149,417,176.90</w:t>
            </w:r>
          </w:p>
        </w:tc>
        <w:tc>
          <w:tcPr>
            <w:vAlign w:val="center"/>
          </w:tcPr>
          <w:p>
            <w:pPr>
              <w:jc w:val="right"/>
            </w:pPr>
            <w:r>
              <w:rPr>
                <w:color w:val="000000"/>
                <w:sz w:val="24"/>
              </w:rPr>
              <w:t>1.54</w:t>
            </w:r>
          </w:p>
        </w:tc>
      </w:tr>
      <w:tr>
        <w:tc>
          <w:tcPr>
            <w:vAlign w:val="center"/>
          </w:tcPr>
          <w:p>
            <w:pPr>
              <w:jc w:val="center"/>
            </w:pPr>
            <w:r>
              <w:rPr>
                <w:color w:val="000000"/>
                <w:sz w:val="24"/>
              </w:rPr>
              <w:t>9</w:t>
            </w:r>
          </w:p>
        </w:tc>
        <w:tc>
          <w:tcPr>
            <w:vAlign w:val="center"/>
          </w:tcPr>
          <w:p>
            <w:pPr>
              <w:jc w:val="center"/>
            </w:pPr>
            <w:r>
              <w:rPr>
                <w:color w:val="000000"/>
                <w:sz w:val="24"/>
              </w:rPr>
              <w:t>112021340</w:t>
            </w:r>
          </w:p>
        </w:tc>
        <w:tc>
          <w:tcPr>
            <w:vAlign w:val="center"/>
          </w:tcPr>
          <w:p>
            <w:pPr>
              <w:jc w:val="center"/>
            </w:pPr>
            <w:r>
              <w:rPr>
                <w:color w:val="000000"/>
                <w:sz w:val="24"/>
              </w:rPr>
              <w:t>20渤海银行CD340</w:t>
            </w:r>
          </w:p>
        </w:tc>
        <w:tc>
          <w:tcPr>
            <w:vAlign w:val="center"/>
          </w:tcPr>
          <w:p>
            <w:pPr>
              <w:jc w:val="right"/>
            </w:pPr>
            <w:r>
              <w:rPr>
                <w:color w:val="000000"/>
                <w:sz w:val="24"/>
              </w:rPr>
              <w:t>1,200,000</w:t>
            </w:r>
          </w:p>
        </w:tc>
        <w:tc>
          <w:tcPr>
            <w:vAlign w:val="center"/>
          </w:tcPr>
          <w:p>
            <w:pPr>
              <w:jc w:val="right"/>
            </w:pPr>
            <w:r>
              <w:rPr>
                <w:color w:val="000000"/>
                <w:sz w:val="24"/>
              </w:rPr>
              <w:t>119,514,411.90</w:t>
            </w:r>
          </w:p>
        </w:tc>
        <w:tc>
          <w:tcPr>
            <w:vAlign w:val="center"/>
          </w:tcPr>
          <w:p>
            <w:pPr>
              <w:jc w:val="right"/>
            </w:pPr>
            <w:r>
              <w:rPr>
                <w:color w:val="000000"/>
                <w:sz w:val="24"/>
              </w:rPr>
              <w:t>1.23</w:t>
            </w:r>
          </w:p>
        </w:tc>
      </w:tr>
      <w:tr>
        <w:tc>
          <w:tcPr>
            <w:vAlign w:val="center"/>
          </w:tcPr>
          <w:p>
            <w:pPr>
              <w:jc w:val="center"/>
            </w:pPr>
            <w:r>
              <w:rPr>
                <w:color w:val="000000"/>
                <w:sz w:val="24"/>
              </w:rPr>
              <w:t>10</w:t>
            </w:r>
          </w:p>
        </w:tc>
        <w:tc>
          <w:tcPr>
            <w:vAlign w:val="center"/>
          </w:tcPr>
          <w:p>
            <w:pPr>
              <w:jc w:val="center"/>
            </w:pPr>
            <w:r>
              <w:rPr>
                <w:color w:val="000000"/>
                <w:sz w:val="24"/>
              </w:rPr>
              <w:t>111974577</w:t>
            </w:r>
          </w:p>
        </w:tc>
        <w:tc>
          <w:tcPr>
            <w:vAlign w:val="center"/>
          </w:tcPr>
          <w:p>
            <w:pPr>
              <w:jc w:val="center"/>
            </w:pPr>
            <w:r>
              <w:rPr>
                <w:color w:val="000000"/>
                <w:sz w:val="24"/>
              </w:rPr>
              <w:t>19长沙银行CD259</w:t>
            </w:r>
          </w:p>
        </w:tc>
        <w:tc>
          <w:tcPr>
            <w:vAlign w:val="center"/>
          </w:tcPr>
          <w:p>
            <w:pPr>
              <w:jc w:val="right"/>
            </w:pPr>
            <w:r>
              <w:rPr>
                <w:color w:val="000000"/>
                <w:sz w:val="24"/>
              </w:rPr>
              <w:t>1,200,000</w:t>
            </w:r>
          </w:p>
        </w:tc>
        <w:tc>
          <w:tcPr>
            <w:vAlign w:val="center"/>
          </w:tcPr>
          <w:p>
            <w:pPr>
              <w:jc w:val="right"/>
            </w:pPr>
            <w:r>
              <w:rPr>
                <w:color w:val="000000"/>
                <w:sz w:val="24"/>
              </w:rPr>
              <w:t>119,494,352.45</w:t>
            </w:r>
          </w:p>
        </w:tc>
        <w:tc>
          <w:tcPr>
            <w:vAlign w:val="center"/>
          </w:tcPr>
          <w:p>
            <w:pPr>
              <w:jc w:val="right"/>
            </w:pPr>
            <w:r>
              <w:rPr>
                <w:color w:val="000000"/>
                <w:sz w:val="24"/>
              </w:rPr>
              <w:t>1.23</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0.0428%</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-0.0096%</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0.0171%</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w:t>
      </w:r>
      <w:bookmarkStart w:id="2" w:name="_GoBack"/>
      <w:r w:rsidR="00615DAC" w:rsidRPr="00615DAC">
        <w:rPr>
          <w:rFonts w:hAnsi="宋体" w:hint="eastAsia"/>
          <w:b/>
          <w:color w:val="000000"/>
          <w:kern w:val="0"/>
          <w:sz w:val="24"/>
        </w:rPr>
        <w:t>摊余成本</w:t>
      </w:r>
      <w:bookmarkEnd w:id="2"/>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470"/>
        <w:gridCol w:w="1469"/>
        <w:gridCol w:w="1469"/>
        <w:gridCol w:w="1646"/>
        <w:gridCol w:w="1580"/>
        <w:gridCol w:w="1668"/>
      </w:tblGrid>
      <w:tr w:rsidR="00BF1111" w:rsidRPr="000E4C40" w:rsidTr="008F34CE">
        <w:trPr>
          <w:jc w:val="center"/>
        </w:trPr>
        <w:tc>
          <w:tcPr>
            <w:tcW w:type="dxa" w:w="1503"/>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60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08"/>
            <w:vAlign w:val="center"/>
          </w:tcPr>
          <w:p w:rsidP="00B34175" w:rsidR="00BF1111" w:rsidRDefault="00BD3669" w:rsidRPr="000E4C40">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type="dxa" w:w="1681"/>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168649</w:t>
            </w:r>
          </w:p>
        </w:tc>
        <w:tc>
          <w:tcPr>
            <w:vAlign w:val="center"/>
          </w:tcPr>
          <w:p>
            <w:pPr>
              <w:jc w:val="center"/>
            </w:pPr>
            <w:r>
              <w:rPr>
                <w:color w:val="000000"/>
                <w:sz w:val="24"/>
              </w:rPr>
              <w:t>信润03A1</w:t>
            </w:r>
          </w:p>
        </w:tc>
        <w:tc>
          <w:tcPr>
            <w:vAlign w:val="center"/>
          </w:tcPr>
          <w:p>
            <w:pPr>
              <w:jc w:val="right"/>
            </w:pPr>
            <w:r>
              <w:rPr>
                <w:color w:val="000000"/>
                <w:sz w:val="24"/>
              </w:rPr>
              <w:t>500,000</w:t>
            </w:r>
          </w:p>
        </w:tc>
        <w:tc>
          <w:tcPr>
            <w:vAlign w:val="center"/>
          </w:tcPr>
          <w:p>
            <w:pPr>
              <w:jc w:val="right"/>
            </w:pPr>
            <w:r>
              <w:rPr>
                <w:color w:val="000000"/>
                <w:sz w:val="24"/>
              </w:rPr>
              <w:t>50,000,000.00</w:t>
            </w:r>
          </w:p>
        </w:tc>
        <w:tc>
          <w:tcPr>
            <w:vAlign w:val="center"/>
          </w:tcPr>
          <w:p>
            <w:pPr>
              <w:jc w:val="right"/>
            </w:pPr>
            <w:r>
              <w:rPr>
                <w:color w:val="000000"/>
                <w:sz w:val="24"/>
              </w:rPr>
              <w:t>0.52</w:t>
            </w:r>
          </w:p>
        </w:tc>
      </w:tr>
      <w:tr>
        <w:tc>
          <w:tcPr>
            <w:vAlign w:val="center"/>
          </w:tcPr>
          <w:p>
            <w:pPr>
              <w:jc w:val="center"/>
            </w:pPr>
            <w:r>
              <w:rPr>
                <w:color w:val="000000"/>
                <w:sz w:val="24"/>
              </w:rPr>
              <w:t>2</w:t>
            </w:r>
          </w:p>
        </w:tc>
        <w:tc>
          <w:tcPr>
            <w:vAlign w:val="center"/>
          </w:tcPr>
          <w:p>
            <w:pPr>
              <w:jc w:val="center"/>
            </w:pPr>
            <w:r>
              <w:rPr>
                <w:color w:val="000000"/>
                <w:sz w:val="24"/>
              </w:rPr>
              <w:t>168789</w:t>
            </w:r>
          </w:p>
        </w:tc>
        <w:tc>
          <w:tcPr>
            <w:vAlign w:val="center"/>
          </w:tcPr>
          <w:p>
            <w:pPr>
              <w:jc w:val="center"/>
            </w:pPr>
            <w:r>
              <w:rPr>
                <w:color w:val="000000"/>
                <w:sz w:val="24"/>
              </w:rPr>
              <w:t>信润04A1</w:t>
            </w:r>
          </w:p>
        </w:tc>
        <w:tc>
          <w:tcPr>
            <w:vAlign w:val="center"/>
          </w:tcPr>
          <w:p>
            <w:pPr>
              <w:jc w:val="right"/>
            </w:pPr>
            <w:r>
              <w:rPr>
                <w:color w:val="000000"/>
                <w:sz w:val="24"/>
              </w:rPr>
              <w:t>500,000</w:t>
            </w:r>
          </w:p>
        </w:tc>
        <w:tc>
          <w:tcPr>
            <w:vAlign w:val="center"/>
          </w:tcPr>
          <w:p>
            <w:pPr>
              <w:jc w:val="right"/>
            </w:pPr>
            <w:r>
              <w:rPr>
                <w:color w:val="000000"/>
                <w:sz w:val="24"/>
              </w:rPr>
              <w:t>50,000,000.00</w:t>
            </w:r>
          </w:p>
        </w:tc>
        <w:tc>
          <w:tcPr>
            <w:vAlign w:val="center"/>
          </w:tcPr>
          <w:p>
            <w:pPr>
              <w:jc w:val="right"/>
            </w:pPr>
            <w:r>
              <w:rPr>
                <w:color w:val="000000"/>
                <w:sz w:val="24"/>
              </w:rPr>
              <w:t>0.52</w:t>
            </w:r>
          </w:p>
        </w:tc>
      </w:tr>
      <w:tr>
        <w:tc>
          <w:tcPr>
            <w:vAlign w:val="center"/>
          </w:tcPr>
          <w:p>
            <w:pPr>
              <w:jc w:val="center"/>
            </w:pPr>
            <w:r>
              <w:rPr>
                <w:color w:val="000000"/>
                <w:sz w:val="24"/>
              </w:rPr>
              <w:t>3</w:t>
            </w:r>
          </w:p>
        </w:tc>
        <w:tc>
          <w:tcPr>
            <w:vAlign w:val="center"/>
          </w:tcPr>
          <w:p>
            <w:pPr>
              <w:jc w:val="center"/>
            </w:pPr>
            <w:r>
              <w:rPr>
                <w:color w:val="000000"/>
                <w:sz w:val="24"/>
              </w:rPr>
              <w:t>2089082</w:t>
            </w:r>
          </w:p>
        </w:tc>
        <w:tc>
          <w:tcPr>
            <w:vAlign w:val="center"/>
          </w:tcPr>
          <w:p>
            <w:pPr>
              <w:jc w:val="center"/>
            </w:pPr>
            <w:r>
              <w:rPr>
                <w:color w:val="000000"/>
                <w:sz w:val="24"/>
              </w:rPr>
              <w:t>20上和1A1</w:t>
            </w:r>
          </w:p>
        </w:tc>
        <w:tc>
          <w:tcPr>
            <w:vAlign w:val="center"/>
          </w:tcPr>
          <w:p>
            <w:pPr>
              <w:jc w:val="right"/>
            </w:pPr>
            <w:r>
              <w:rPr>
                <w:color w:val="000000"/>
                <w:sz w:val="24"/>
              </w:rPr>
              <w:t>400,000</w:t>
            </w:r>
          </w:p>
        </w:tc>
        <w:tc>
          <w:tcPr>
            <w:vAlign w:val="center"/>
          </w:tcPr>
          <w:p>
            <w:pPr>
              <w:jc w:val="right"/>
            </w:pPr>
            <w:r>
              <w:rPr>
                <w:color w:val="000000"/>
                <w:sz w:val="24"/>
              </w:rPr>
              <w:t>10,736,586.49</w:t>
            </w:r>
          </w:p>
        </w:tc>
        <w:tc>
          <w:tcPr>
            <w:vAlign w:val="center"/>
          </w:tcPr>
          <w:p>
            <w:pPr>
              <w:jc w:val="right"/>
            </w:pPr>
            <w:r>
              <w:rPr>
                <w:color w:val="000000"/>
                <w:sz w:val="24"/>
              </w:rPr>
              <w:t>0.11</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13,698,310.36</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1,383,775.00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374.18</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15,082,459.54</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交银天益宝货币A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交银天益宝货币E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3,360,114.65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7,427,910,540.20</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41,258,204.30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7,860,713,409.26</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1,992,424.62</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5,636,232,314.11</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42,625,894.33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9,652,391,635.35</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589,836.76</w:t>
            </w:r>
          </w:p>
        </w:tc>
        <w:tc>
          <w:tcPr>
            <w:vAlign w:val="center"/>
          </w:tcPr>
          <w:p>
            <w:pPr>
              <w:jc w:val="right"/>
            </w:pPr>
            <w:r>
              <w:rPr>
                <w:color w:val="000000"/>
                <w:sz w:val="24"/>
              </w:rPr>
              <w:t>589,836.76</w:t>
            </w:r>
          </w:p>
        </w:tc>
        <w:tc>
          <w:tcPr>
            <w:vAlign w:val="center"/>
          </w:tcPr>
          <w:p>
            <w:pPr>
              <w:jc w:val="center"/>
            </w:pPr>
            <w:r>
              <w:rPr>
                <w:color w:val="000000"/>
                <w:sz w:val="24"/>
              </w:rPr>
              <w:t>-</w:t>
            </w:r>
          </w:p>
        </w:tc>
      </w:tr>
      <w:tr>
        <w:tc>
          <w:tcPr>
            <w:vAlign w:val="center"/>
          </w:tcPr>
          <w:p>
            <w:pPr>
              <w:jc w:val="center"/>
            </w:pPr>
            <w:r>
              <w:rPr>
                <w:color w:val="000000"/>
                <w:sz w:val="24"/>
              </w:rPr>
              <w:t>2</w:t>
            </w:r>
          </w:p>
        </w:tc>
        <w:tc>
          <w:tcPr>
            <w:vAlign w:val="center"/>
          </w:tcPr>
          <w:p>
            <w:pPr>
              <w:jc w:val="center"/>
            </w:pPr>
            <w:r>
              <w:rPr>
                <w:color w:val="000000"/>
                <w:sz w:val="24"/>
              </w:rPr>
              <w:t>申购</w:t>
            </w:r>
          </w:p>
        </w:tc>
        <w:tc>
          <w:tcPr>
            <w:vAlign w:val="center"/>
          </w:tcPr>
          <w:p>
            <w:pPr>
              <w:jc w:val="center"/>
            </w:pPr>
            <w:r>
              <w:rPr>
                <w:color w:val="000000"/>
                <w:sz w:val="24"/>
              </w:rPr>
              <w:t>2020-08-28</w:t>
            </w:r>
          </w:p>
        </w:tc>
        <w:tc>
          <w:tcPr>
            <w:vAlign w:val="center"/>
          </w:tcPr>
          <w:p>
            <w:pPr>
              <w:jc w:val="right"/>
            </w:pPr>
            <w:r>
              <w:rPr>
                <w:color w:val="000000"/>
                <w:sz w:val="24"/>
              </w:rPr>
              <w:t>120,000,000.00</w:t>
            </w:r>
          </w:p>
        </w:tc>
        <w:tc>
          <w:tcPr>
            <w:vAlign w:val="center"/>
          </w:tcPr>
          <w:p>
            <w:pPr>
              <w:jc w:val="right"/>
            </w:pPr>
            <w:r>
              <w:rPr>
                <w:color w:val="000000"/>
                <w:sz w:val="24"/>
              </w:rPr>
              <w:t>120,000,000.00</w:t>
            </w:r>
          </w:p>
        </w:tc>
        <w:tc>
          <w:tcPr>
            <w:vAlign w:val="center"/>
          </w:tcPr>
          <w:p>
            <w:pPr>
              <w:jc w:val="center"/>
            </w:pPr>
            <w:r>
              <w:rPr>
                <w:color w:val="000000"/>
                <w:sz w:val="24"/>
              </w:rPr>
              <w:t>-</w:t>
            </w:r>
          </w:p>
        </w:tc>
      </w:tr>
      <w:tr>
        <w:tc>
          <w:tcPr>
            <w:vAlign w:val="center"/>
          </w:tcPr>
          <w:p>
            <w:pPr>
              <w:jc w:val="center"/>
            </w:pPr>
            <w:r>
              <w:rPr>
                <w:color w:val="000000"/>
                <w:sz w:val="24"/>
              </w:rPr>
              <w:t>3</w:t>
            </w:r>
          </w:p>
        </w:tc>
        <w:tc>
          <w:tcPr>
            <w:vAlign w:val="center"/>
          </w:tcPr>
          <w:p>
            <w:pPr>
              <w:jc w:val="center"/>
            </w:pPr>
            <w:r>
              <w:rPr>
                <w:color w:val="000000"/>
                <w:sz w:val="24"/>
              </w:rPr>
              <w:t>申购</w:t>
            </w:r>
          </w:p>
        </w:tc>
        <w:tc>
          <w:tcPr>
            <w:vAlign w:val="center"/>
          </w:tcPr>
          <w:p>
            <w:pPr>
              <w:jc w:val="center"/>
            </w:pPr>
            <w:r>
              <w:rPr>
                <w:color w:val="000000"/>
                <w:sz w:val="24"/>
              </w:rPr>
              <w:t>2020-09-28</w:t>
            </w:r>
          </w:p>
        </w:tc>
        <w:tc>
          <w:tcPr>
            <w:vAlign w:val="center"/>
          </w:tcPr>
          <w:p>
            <w:pPr>
              <w:jc w:val="right"/>
            </w:pPr>
            <w:r>
              <w:rPr>
                <w:color w:val="000000"/>
                <w:sz w:val="24"/>
              </w:rPr>
              <w:t>30,000,000.00</w:t>
            </w:r>
          </w:p>
        </w:tc>
        <w:tc>
          <w:tcPr>
            <w:vAlign w:val="center"/>
          </w:tcPr>
          <w:p>
            <w:pPr>
              <w:jc w:val="right"/>
            </w:pPr>
            <w:r>
              <w:rPr>
                <w:color w:val="000000"/>
                <w:sz w:val="24"/>
              </w:rPr>
              <w:t>30,000,000.00</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150,589,836.76</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150,589,836.76</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注：1、本基金管理人本报告期末持有本基金E类份额202,015,323.80份，占本基金期末E类基金总份额的2.09%，本基金管理人本报告期末持有本基金A类份额0.00份，占本基金期末A类基金总份额的0.00%。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1,296,850,266.29</w:t>
            </w:r>
          </w:p>
        </w:tc>
        <w:tc>
          <w:tcPr>
            <w:vAlign w:val="center"/>
          </w:tcPr>
          <w:p>
            <w:pPr>
              <w:jc w:val="center"/>
            </w:pPr>
            <w:r>
              <w:rPr>
                <w:rFonts w:ascii="宋体" w:hAnsi="宋体" w:hint="eastAsia"/>
                <w:color w:val="000000"/>
                <w:kern w:val="0"/>
                <w:szCs w:val="21"/>
              </w:rPr>
              <w:t>7,213,683.19</w:t>
            </w:r>
          </w:p>
        </w:tc>
        <w:tc>
          <w:tcPr>
            <w:vAlign w:val="center"/>
          </w:tcPr>
          <w:p>
            <w:pPr>
              <w:jc w:val="center"/>
            </w:pPr>
            <w:r>
              <w:rPr>
                <w:rFonts w:ascii="宋体" w:hAnsi="宋体" w:hint="eastAsia"/>
                <w:color w:val="000000"/>
                <w:kern w:val="0"/>
                <w:szCs w:val="21"/>
              </w:rPr>
              <w:t>74,341.56</w:t>
            </w:r>
          </w:p>
        </w:tc>
        <w:tc>
          <w:tcPr>
            <w:vAlign w:val="center"/>
          </w:tcPr>
          <w:p>
            <w:pPr>
              <w:jc w:val="center"/>
            </w:pPr>
            <w:r>
              <w:rPr>
                <w:rFonts w:ascii="宋体" w:hAnsi="宋体" w:hint="eastAsia"/>
                <w:color w:val="000000"/>
                <w:kern w:val="0"/>
                <w:szCs w:val="21"/>
              </w:rPr>
              <w:t>1,303,989,607.92</w:t>
            </w:r>
          </w:p>
        </w:tc>
        <w:tc>
          <w:tcPr>
            <w:vAlign w:val="center"/>
          </w:tcPr>
          <w:p>
            <w:pPr>
              <w:jc w:val="center"/>
            </w:pPr>
            <w:r>
              <w:rPr>
                <w:rFonts w:ascii="宋体" w:hAnsi="宋体" w:hint="eastAsia"/>
                <w:color w:val="000000"/>
                <w:kern w:val="0"/>
                <w:szCs w:val="21"/>
              </w:rPr>
              <w:t>13.45%</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1、中国证监会准予交银施罗德天益宝货币市场基金募集注册的文件； </w:t>
      </w:r>
    </w:p>
    <w:p>
      <w:pPr>
        <w:spacing w:before="29" w:line="288" w:lineRule="auto"/>
        <w:ind w:firstLine="480" w:firstLineChars="200"/>
        <w:rPr>
          <w:color w:val="000000"/>
          <w:sz w:val="24"/>
        </w:rPr>
      </w:pPr>
      <w:r>
        <w:rPr>
          <w:color w:val="000000"/>
          <w:sz w:val="24"/>
        </w:rPr>
        <w:t xml:space="preserve">2、《交银施罗德天益宝货币市场基金基金合同》； </w:t>
      </w:r>
    </w:p>
    <w:p>
      <w:pPr>
        <w:spacing w:before="29" w:line="288" w:lineRule="auto"/>
        <w:ind w:firstLine="480" w:firstLineChars="200"/>
        <w:rPr>
          <w:color w:val="000000"/>
          <w:sz w:val="24"/>
        </w:rPr>
      </w:pPr>
      <w:r>
        <w:rPr>
          <w:color w:val="000000"/>
          <w:sz w:val="24"/>
        </w:rPr>
        <w:t xml:space="preserve">3、《交银施罗德天益宝货币市场基金招募说明书》； </w:t>
      </w:r>
    </w:p>
    <w:p>
      <w:pPr>
        <w:spacing w:before="29" w:line="288" w:lineRule="auto"/>
        <w:ind w:firstLine="480" w:firstLineChars="200"/>
        <w:rPr>
          <w:color w:val="000000"/>
          <w:sz w:val="24"/>
        </w:rPr>
      </w:pPr>
      <w:r>
        <w:rPr>
          <w:color w:val="000000"/>
          <w:sz w:val="24"/>
        </w:rPr>
        <w:t xml:space="preserve">4、《交银施罗德天益宝货币市场基金托管协议》； </w:t>
      </w:r>
    </w:p>
    <w:p>
      <w:pPr>
        <w:spacing w:before="29" w:line="288" w:lineRule="auto"/>
        <w:ind w:firstLine="480" w:firstLineChars="200"/>
        <w:rPr>
          <w:color w:val="000000"/>
          <w:sz w:val="24"/>
        </w:rPr>
      </w:pPr>
      <w:r>
        <w:rPr>
          <w:color w:val="000000"/>
          <w:sz w:val="24"/>
        </w:rPr>
        <w:t xml:space="preserve">5、关于申请募集注册交银施罗德天益宝货币市场基金的法律意见书；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8、报告期内交银施罗德天益宝货币市场基金在指定报刊上各项公告的原稿。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D6" w:rsidRDefault="00F079D6">
      <w:r>
        <w:separator/>
      </w:r>
    </w:p>
  </w:endnote>
  <w:endnote w:type="continuationSeparator" w:id="0">
    <w:p w:rsidR="00F079D6" w:rsidRDefault="00F0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15DAC">
      <w:rPr>
        <w:noProof/>
        <w:kern w:val="0"/>
        <w:szCs w:val="21"/>
      </w:rPr>
      <w:t>17</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615DAC">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F079D6" w:rsidRDefault="00F079D6">
      <w:r>
        <w:separator/>
      </w:r>
    </w:p>
  </w:footnote>
  <w:footnote w:id="0" w:type="continuationSeparator">
    <w:p w:rsidR="00F079D6" w:rsidRDefault="00F079D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交银施罗德天益宝货币市场基金2020年第3季度报告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5DAC"/>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079D6"/>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46AF8F-3886-48C3-B4A6-13B4F36E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2020-08-06T06:44:00Z</dcterms:modified>
  <cp:revision>337</cp:revision>
</cp:coreProperties>
</file>