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二〇二〇年十月二十八日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D6BEE" w:rsidRDefault="0057127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D6BEE" w:rsidRDefault="00571278">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D6BEE" w:rsidRDefault="0057127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D6BEE" w:rsidRDefault="00571278">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D6BEE" w:rsidRDefault="00571278">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398,140,698.00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224,662,289.02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173,478,408.98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921,872.71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802,025.12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921,872.71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802,025.12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224,662,289.02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173,478,408.98</w:t>
            </w:r>
          </w:p>
        </w:tc>
      </w:tr>
    </w:tbl>
    <w:p w:rsidR="000D6BEE" w:rsidRDefault="0057127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D6BEE">
        <w:trPr>
          <w:jc w:val="center"/>
        </w:trPr>
        <w:tc>
          <w:tcPr>
            <w:tcW w:w="1266" w:type="dxa"/>
            <w:vAlign w:val="center"/>
          </w:tcPr>
          <w:p w:rsidR="000D6BEE" w:rsidRDefault="00571278">
            <w:pPr>
              <w:jc w:val="left"/>
            </w:pPr>
            <w:r>
              <w:rPr>
                <w:color w:val="000000"/>
              </w:rPr>
              <w:t>过去三个月</w:t>
            </w:r>
          </w:p>
        </w:tc>
        <w:tc>
          <w:tcPr>
            <w:tcW w:w="1267" w:type="dxa"/>
            <w:vAlign w:val="center"/>
          </w:tcPr>
          <w:p w:rsidR="000D6BEE" w:rsidRDefault="00571278">
            <w:pPr>
              <w:jc w:val="center"/>
            </w:pPr>
            <w:r>
              <w:rPr>
                <w:color w:val="000000"/>
              </w:rPr>
              <w:t>0.4021%</w:t>
            </w:r>
          </w:p>
        </w:tc>
        <w:tc>
          <w:tcPr>
            <w:tcW w:w="1267" w:type="dxa"/>
            <w:vAlign w:val="center"/>
          </w:tcPr>
          <w:p w:rsidR="000D6BEE" w:rsidRDefault="00571278">
            <w:pPr>
              <w:jc w:val="center"/>
            </w:pPr>
            <w:r>
              <w:rPr>
                <w:color w:val="000000"/>
              </w:rPr>
              <w:t>0.0006%</w:t>
            </w:r>
          </w:p>
        </w:tc>
        <w:tc>
          <w:tcPr>
            <w:tcW w:w="1267" w:type="dxa"/>
            <w:vAlign w:val="center"/>
          </w:tcPr>
          <w:p w:rsidR="000D6BEE" w:rsidRDefault="00571278">
            <w:pPr>
              <w:jc w:val="center"/>
            </w:pPr>
            <w:r>
              <w:rPr>
                <w:color w:val="000000"/>
              </w:rPr>
              <w:t>0.3277%</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0.0744%</w:t>
            </w:r>
          </w:p>
        </w:tc>
        <w:tc>
          <w:tcPr>
            <w:tcW w:w="1267" w:type="dxa"/>
            <w:vAlign w:val="center"/>
          </w:tcPr>
          <w:p w:rsidR="000D6BEE" w:rsidRDefault="00571278">
            <w:pPr>
              <w:jc w:val="center"/>
            </w:pPr>
            <w:r>
              <w:rPr>
                <w:color w:val="000000"/>
              </w:rPr>
              <w:t>0.0006%</w:t>
            </w:r>
          </w:p>
        </w:tc>
      </w:tr>
      <w:tr w:rsidR="000D6BEE">
        <w:trPr>
          <w:jc w:val="center"/>
        </w:trPr>
        <w:tc>
          <w:tcPr>
            <w:tcW w:w="1266" w:type="dxa"/>
            <w:vAlign w:val="center"/>
          </w:tcPr>
          <w:p w:rsidR="000D6BEE" w:rsidRDefault="00571278">
            <w:pPr>
              <w:jc w:val="left"/>
            </w:pPr>
            <w:r>
              <w:rPr>
                <w:color w:val="000000"/>
              </w:rPr>
              <w:t>过去六个月</w:t>
            </w:r>
          </w:p>
        </w:tc>
        <w:tc>
          <w:tcPr>
            <w:tcW w:w="1267" w:type="dxa"/>
            <w:vAlign w:val="center"/>
          </w:tcPr>
          <w:p w:rsidR="000D6BEE" w:rsidRDefault="00571278">
            <w:pPr>
              <w:jc w:val="center"/>
            </w:pPr>
            <w:r>
              <w:rPr>
                <w:color w:val="000000"/>
              </w:rPr>
              <w:t>0.7288%</w:t>
            </w:r>
          </w:p>
        </w:tc>
        <w:tc>
          <w:tcPr>
            <w:tcW w:w="1267" w:type="dxa"/>
            <w:vAlign w:val="center"/>
          </w:tcPr>
          <w:p w:rsidR="000D6BEE" w:rsidRDefault="00571278">
            <w:pPr>
              <w:jc w:val="center"/>
            </w:pPr>
            <w:r>
              <w:rPr>
                <w:color w:val="000000"/>
              </w:rPr>
              <w:t>0.0007%</w:t>
            </w:r>
          </w:p>
        </w:tc>
        <w:tc>
          <w:tcPr>
            <w:tcW w:w="1267" w:type="dxa"/>
            <w:vAlign w:val="center"/>
          </w:tcPr>
          <w:p w:rsidR="000D6BEE" w:rsidRDefault="00571278">
            <w:pPr>
              <w:jc w:val="center"/>
            </w:pPr>
            <w:r>
              <w:rPr>
                <w:color w:val="000000"/>
              </w:rPr>
              <w:t>0.6518%</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0.0770%</w:t>
            </w:r>
          </w:p>
        </w:tc>
        <w:tc>
          <w:tcPr>
            <w:tcW w:w="1267" w:type="dxa"/>
            <w:vAlign w:val="center"/>
          </w:tcPr>
          <w:p w:rsidR="000D6BEE" w:rsidRDefault="00571278">
            <w:pPr>
              <w:jc w:val="center"/>
            </w:pPr>
            <w:r>
              <w:rPr>
                <w:color w:val="000000"/>
              </w:rPr>
              <w:t>0.0007%</w:t>
            </w:r>
          </w:p>
        </w:tc>
      </w:tr>
      <w:tr w:rsidR="000D6BEE">
        <w:trPr>
          <w:jc w:val="center"/>
        </w:trPr>
        <w:tc>
          <w:tcPr>
            <w:tcW w:w="1266" w:type="dxa"/>
            <w:vAlign w:val="center"/>
          </w:tcPr>
          <w:p w:rsidR="000D6BEE" w:rsidRDefault="00571278">
            <w:pPr>
              <w:jc w:val="left"/>
            </w:pPr>
            <w:r>
              <w:rPr>
                <w:color w:val="000000"/>
              </w:rPr>
              <w:t>过去一年</w:t>
            </w:r>
          </w:p>
        </w:tc>
        <w:tc>
          <w:tcPr>
            <w:tcW w:w="1267" w:type="dxa"/>
            <w:vAlign w:val="center"/>
          </w:tcPr>
          <w:p w:rsidR="000D6BEE" w:rsidRDefault="00571278">
            <w:pPr>
              <w:jc w:val="center"/>
            </w:pPr>
            <w:r>
              <w:rPr>
                <w:color w:val="000000"/>
              </w:rPr>
              <w:t>1.8326%</w:t>
            </w:r>
          </w:p>
        </w:tc>
        <w:tc>
          <w:tcPr>
            <w:tcW w:w="1267" w:type="dxa"/>
            <w:vAlign w:val="center"/>
          </w:tcPr>
          <w:p w:rsidR="000D6BEE" w:rsidRDefault="00571278">
            <w:pPr>
              <w:jc w:val="center"/>
            </w:pPr>
            <w:r>
              <w:rPr>
                <w:color w:val="000000"/>
              </w:rPr>
              <w:t>0.0012%</w:t>
            </w:r>
          </w:p>
        </w:tc>
        <w:tc>
          <w:tcPr>
            <w:tcW w:w="1267" w:type="dxa"/>
            <w:vAlign w:val="center"/>
          </w:tcPr>
          <w:p w:rsidR="000D6BEE" w:rsidRDefault="00571278">
            <w:pPr>
              <w:jc w:val="center"/>
            </w:pPr>
            <w:r>
              <w:rPr>
                <w:color w:val="000000"/>
              </w:rPr>
              <w:t>1.3036%</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0.5290%</w:t>
            </w:r>
          </w:p>
        </w:tc>
        <w:tc>
          <w:tcPr>
            <w:tcW w:w="1267" w:type="dxa"/>
            <w:vAlign w:val="center"/>
          </w:tcPr>
          <w:p w:rsidR="000D6BEE" w:rsidRDefault="00571278">
            <w:pPr>
              <w:jc w:val="center"/>
            </w:pPr>
            <w:r>
              <w:rPr>
                <w:color w:val="000000"/>
              </w:rPr>
              <w:t>0.0012%</w:t>
            </w:r>
          </w:p>
        </w:tc>
      </w:tr>
      <w:tr w:rsidR="000D6BEE">
        <w:trPr>
          <w:jc w:val="center"/>
        </w:trPr>
        <w:tc>
          <w:tcPr>
            <w:tcW w:w="1266" w:type="dxa"/>
            <w:vAlign w:val="center"/>
          </w:tcPr>
          <w:p w:rsidR="000D6BEE" w:rsidRDefault="00571278">
            <w:pPr>
              <w:jc w:val="left"/>
            </w:pPr>
            <w:r>
              <w:rPr>
                <w:color w:val="000000"/>
              </w:rPr>
              <w:t>过去三年</w:t>
            </w:r>
          </w:p>
        </w:tc>
        <w:tc>
          <w:tcPr>
            <w:tcW w:w="1267" w:type="dxa"/>
            <w:vAlign w:val="center"/>
          </w:tcPr>
          <w:p w:rsidR="000D6BEE" w:rsidRDefault="00571278">
            <w:pPr>
              <w:jc w:val="center"/>
            </w:pPr>
            <w:r>
              <w:rPr>
                <w:color w:val="000000"/>
              </w:rPr>
              <w:t>7.5561%</w:t>
            </w:r>
          </w:p>
        </w:tc>
        <w:tc>
          <w:tcPr>
            <w:tcW w:w="1267" w:type="dxa"/>
            <w:vAlign w:val="center"/>
          </w:tcPr>
          <w:p w:rsidR="000D6BEE" w:rsidRDefault="00571278">
            <w:pPr>
              <w:jc w:val="center"/>
            </w:pPr>
            <w:r>
              <w:rPr>
                <w:color w:val="000000"/>
              </w:rPr>
              <w:t>0.0027%</w:t>
            </w:r>
          </w:p>
        </w:tc>
        <w:tc>
          <w:tcPr>
            <w:tcW w:w="1267" w:type="dxa"/>
            <w:vAlign w:val="center"/>
          </w:tcPr>
          <w:p w:rsidR="000D6BEE" w:rsidRDefault="00571278">
            <w:pPr>
              <w:jc w:val="center"/>
            </w:pPr>
            <w:r>
              <w:rPr>
                <w:color w:val="000000"/>
              </w:rPr>
              <w:t>3.9036%</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3.6525%</w:t>
            </w:r>
          </w:p>
        </w:tc>
        <w:tc>
          <w:tcPr>
            <w:tcW w:w="1267" w:type="dxa"/>
            <w:vAlign w:val="center"/>
          </w:tcPr>
          <w:p w:rsidR="000D6BEE" w:rsidRDefault="00571278">
            <w:pPr>
              <w:jc w:val="center"/>
            </w:pPr>
            <w:r>
              <w:rPr>
                <w:color w:val="000000"/>
              </w:rPr>
              <w:t>0.0027%</w:t>
            </w:r>
          </w:p>
        </w:tc>
      </w:tr>
      <w:tr w:rsidR="000D6BEE">
        <w:trPr>
          <w:jc w:val="center"/>
        </w:trPr>
        <w:tc>
          <w:tcPr>
            <w:tcW w:w="1266" w:type="dxa"/>
            <w:vAlign w:val="center"/>
          </w:tcPr>
          <w:p w:rsidR="000D6BEE" w:rsidRDefault="00571278">
            <w:pPr>
              <w:jc w:val="left"/>
            </w:pPr>
            <w:r>
              <w:rPr>
                <w:color w:val="000000"/>
              </w:rPr>
              <w:t>过去五年</w:t>
            </w:r>
          </w:p>
        </w:tc>
        <w:tc>
          <w:tcPr>
            <w:tcW w:w="1267" w:type="dxa"/>
            <w:vAlign w:val="center"/>
          </w:tcPr>
          <w:p w:rsidR="000D6BEE" w:rsidRDefault="00571278">
            <w:pPr>
              <w:jc w:val="center"/>
            </w:pPr>
            <w:r>
              <w:rPr>
                <w:color w:val="000000"/>
              </w:rPr>
              <w:t>13.5465%</w:t>
            </w:r>
          </w:p>
        </w:tc>
        <w:tc>
          <w:tcPr>
            <w:tcW w:w="1267" w:type="dxa"/>
            <w:vAlign w:val="center"/>
          </w:tcPr>
          <w:p w:rsidR="000D6BEE" w:rsidRDefault="00571278">
            <w:pPr>
              <w:jc w:val="center"/>
            </w:pPr>
            <w:r>
              <w:rPr>
                <w:color w:val="000000"/>
              </w:rPr>
              <w:t>0.0024%</w:t>
            </w:r>
          </w:p>
        </w:tc>
        <w:tc>
          <w:tcPr>
            <w:tcW w:w="1267" w:type="dxa"/>
            <w:vAlign w:val="center"/>
          </w:tcPr>
          <w:p w:rsidR="000D6BEE" w:rsidRDefault="00571278">
            <w:pPr>
              <w:jc w:val="center"/>
            </w:pPr>
            <w:r>
              <w:rPr>
                <w:color w:val="000000"/>
              </w:rPr>
              <w:t>6.5229%</w:t>
            </w:r>
          </w:p>
        </w:tc>
        <w:tc>
          <w:tcPr>
            <w:tcW w:w="1267" w:type="dxa"/>
            <w:vAlign w:val="center"/>
          </w:tcPr>
          <w:p w:rsidR="000D6BEE" w:rsidRDefault="00571278">
            <w:pPr>
              <w:jc w:val="center"/>
            </w:pPr>
            <w:r>
              <w:rPr>
                <w:color w:val="000000"/>
              </w:rPr>
              <w:t>0.0001%</w:t>
            </w:r>
          </w:p>
        </w:tc>
        <w:tc>
          <w:tcPr>
            <w:tcW w:w="1267" w:type="dxa"/>
            <w:vAlign w:val="center"/>
          </w:tcPr>
          <w:p w:rsidR="000D6BEE" w:rsidRDefault="00571278">
            <w:pPr>
              <w:jc w:val="center"/>
            </w:pPr>
            <w:r>
              <w:rPr>
                <w:color w:val="000000"/>
              </w:rPr>
              <w:t>7.0236%</w:t>
            </w:r>
          </w:p>
        </w:tc>
        <w:tc>
          <w:tcPr>
            <w:tcW w:w="1267" w:type="dxa"/>
            <w:vAlign w:val="center"/>
          </w:tcPr>
          <w:p w:rsidR="000D6BEE" w:rsidRDefault="00571278">
            <w:pPr>
              <w:jc w:val="center"/>
            </w:pPr>
            <w:r>
              <w:rPr>
                <w:color w:val="000000"/>
              </w:rPr>
              <w:t>0.0023%</w:t>
            </w:r>
          </w:p>
        </w:tc>
      </w:tr>
      <w:tr w:rsidR="000D6BEE">
        <w:trPr>
          <w:jc w:val="center"/>
        </w:trPr>
        <w:tc>
          <w:tcPr>
            <w:tcW w:w="1266" w:type="dxa"/>
            <w:vAlign w:val="center"/>
          </w:tcPr>
          <w:p w:rsidR="000D6BEE" w:rsidRDefault="00571278">
            <w:pPr>
              <w:jc w:val="left"/>
            </w:pPr>
            <w:r>
              <w:rPr>
                <w:color w:val="000000"/>
              </w:rPr>
              <w:t>自基金合同生效起至今</w:t>
            </w:r>
          </w:p>
        </w:tc>
        <w:tc>
          <w:tcPr>
            <w:tcW w:w="1267" w:type="dxa"/>
            <w:vAlign w:val="center"/>
          </w:tcPr>
          <w:p w:rsidR="000D6BEE" w:rsidRDefault="00571278">
            <w:pPr>
              <w:jc w:val="center"/>
            </w:pPr>
            <w:r>
              <w:rPr>
                <w:color w:val="000000"/>
              </w:rPr>
              <w:t>50.5459%</w:t>
            </w:r>
          </w:p>
        </w:tc>
        <w:tc>
          <w:tcPr>
            <w:tcW w:w="1267" w:type="dxa"/>
            <w:vAlign w:val="center"/>
          </w:tcPr>
          <w:p w:rsidR="000D6BEE" w:rsidRDefault="00571278">
            <w:pPr>
              <w:jc w:val="center"/>
            </w:pPr>
            <w:r>
              <w:rPr>
                <w:color w:val="000000"/>
              </w:rPr>
              <w:t>0.0047%</w:t>
            </w:r>
          </w:p>
        </w:tc>
        <w:tc>
          <w:tcPr>
            <w:tcW w:w="1267" w:type="dxa"/>
            <w:vAlign w:val="center"/>
          </w:tcPr>
          <w:p w:rsidR="000D6BEE" w:rsidRDefault="00571278">
            <w:pPr>
              <w:jc w:val="center"/>
            </w:pPr>
            <w:r>
              <w:rPr>
                <w:color w:val="000000"/>
              </w:rPr>
              <w:t>31.2980%</w:t>
            </w:r>
          </w:p>
        </w:tc>
        <w:tc>
          <w:tcPr>
            <w:tcW w:w="1267" w:type="dxa"/>
            <w:vAlign w:val="center"/>
          </w:tcPr>
          <w:p w:rsidR="000D6BEE" w:rsidRDefault="00571278">
            <w:pPr>
              <w:jc w:val="center"/>
            </w:pPr>
            <w:r>
              <w:rPr>
                <w:color w:val="000000"/>
              </w:rPr>
              <w:t>0.0021%</w:t>
            </w:r>
          </w:p>
        </w:tc>
        <w:tc>
          <w:tcPr>
            <w:tcW w:w="1267" w:type="dxa"/>
            <w:vAlign w:val="center"/>
          </w:tcPr>
          <w:p w:rsidR="000D6BEE" w:rsidRDefault="00571278">
            <w:pPr>
              <w:jc w:val="center"/>
            </w:pPr>
            <w:r>
              <w:rPr>
                <w:color w:val="000000"/>
              </w:rPr>
              <w:t>19.2479%</w:t>
            </w:r>
          </w:p>
        </w:tc>
        <w:tc>
          <w:tcPr>
            <w:tcW w:w="1267" w:type="dxa"/>
            <w:vAlign w:val="center"/>
          </w:tcPr>
          <w:p w:rsidR="000D6BEE" w:rsidRDefault="00571278">
            <w:pPr>
              <w:jc w:val="center"/>
            </w:pPr>
            <w:r>
              <w:rPr>
                <w:color w:val="000000"/>
              </w:rPr>
              <w:t>0.0026%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D6BEE">
        <w:trPr>
          <w:jc w:val="center"/>
        </w:trPr>
        <w:tc>
          <w:tcPr>
            <w:tcW w:w="1266" w:type="dxa"/>
            <w:vAlign w:val="center"/>
          </w:tcPr>
          <w:p w:rsidR="000D6BEE" w:rsidRDefault="00571278">
            <w:pPr>
              <w:jc w:val="left"/>
            </w:pPr>
            <w:r>
              <w:rPr>
                <w:color w:val="000000"/>
              </w:rPr>
              <w:t>过去三个月</w:t>
            </w:r>
          </w:p>
        </w:tc>
        <w:tc>
          <w:tcPr>
            <w:tcW w:w="1267" w:type="dxa"/>
            <w:vAlign w:val="center"/>
          </w:tcPr>
          <w:p w:rsidR="000D6BEE" w:rsidRDefault="00571278">
            <w:pPr>
              <w:jc w:val="center"/>
            </w:pPr>
            <w:r>
              <w:rPr>
                <w:color w:val="000000"/>
              </w:rPr>
              <w:t>0.4626%</w:t>
            </w:r>
          </w:p>
        </w:tc>
        <w:tc>
          <w:tcPr>
            <w:tcW w:w="1267" w:type="dxa"/>
            <w:vAlign w:val="center"/>
          </w:tcPr>
          <w:p w:rsidR="000D6BEE" w:rsidRDefault="00571278">
            <w:pPr>
              <w:jc w:val="center"/>
            </w:pPr>
            <w:r>
              <w:rPr>
                <w:color w:val="000000"/>
              </w:rPr>
              <w:t>0.0006%</w:t>
            </w:r>
          </w:p>
        </w:tc>
        <w:tc>
          <w:tcPr>
            <w:tcW w:w="1267" w:type="dxa"/>
            <w:vAlign w:val="center"/>
          </w:tcPr>
          <w:p w:rsidR="000D6BEE" w:rsidRDefault="00571278">
            <w:pPr>
              <w:jc w:val="center"/>
            </w:pPr>
            <w:r>
              <w:rPr>
                <w:color w:val="000000"/>
              </w:rPr>
              <w:t>0.3277%</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0.1349%</w:t>
            </w:r>
          </w:p>
        </w:tc>
        <w:tc>
          <w:tcPr>
            <w:tcW w:w="1267" w:type="dxa"/>
            <w:vAlign w:val="center"/>
          </w:tcPr>
          <w:p w:rsidR="000D6BEE" w:rsidRDefault="00571278">
            <w:pPr>
              <w:jc w:val="center"/>
            </w:pPr>
            <w:r>
              <w:rPr>
                <w:color w:val="000000"/>
              </w:rPr>
              <w:t>0.0006%</w:t>
            </w:r>
          </w:p>
        </w:tc>
      </w:tr>
      <w:tr w:rsidR="000D6BEE">
        <w:trPr>
          <w:jc w:val="center"/>
        </w:trPr>
        <w:tc>
          <w:tcPr>
            <w:tcW w:w="1266" w:type="dxa"/>
            <w:vAlign w:val="center"/>
          </w:tcPr>
          <w:p w:rsidR="000D6BEE" w:rsidRDefault="00571278">
            <w:pPr>
              <w:jc w:val="left"/>
            </w:pPr>
            <w:r>
              <w:rPr>
                <w:color w:val="000000"/>
              </w:rPr>
              <w:t>过去六个月</w:t>
            </w:r>
          </w:p>
        </w:tc>
        <w:tc>
          <w:tcPr>
            <w:tcW w:w="1267" w:type="dxa"/>
            <w:vAlign w:val="center"/>
          </w:tcPr>
          <w:p w:rsidR="000D6BEE" w:rsidRDefault="00571278">
            <w:pPr>
              <w:jc w:val="center"/>
            </w:pPr>
            <w:r>
              <w:rPr>
                <w:color w:val="000000"/>
              </w:rPr>
              <w:t>0.8497%</w:t>
            </w:r>
          </w:p>
        </w:tc>
        <w:tc>
          <w:tcPr>
            <w:tcW w:w="1267" w:type="dxa"/>
            <w:vAlign w:val="center"/>
          </w:tcPr>
          <w:p w:rsidR="000D6BEE" w:rsidRDefault="00571278">
            <w:pPr>
              <w:jc w:val="center"/>
            </w:pPr>
            <w:r>
              <w:rPr>
                <w:color w:val="000000"/>
              </w:rPr>
              <w:t>0.0007%</w:t>
            </w:r>
          </w:p>
        </w:tc>
        <w:tc>
          <w:tcPr>
            <w:tcW w:w="1267" w:type="dxa"/>
            <w:vAlign w:val="center"/>
          </w:tcPr>
          <w:p w:rsidR="000D6BEE" w:rsidRDefault="00571278">
            <w:pPr>
              <w:jc w:val="center"/>
            </w:pPr>
            <w:r>
              <w:rPr>
                <w:color w:val="000000"/>
              </w:rPr>
              <w:t>0.6518%</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0.1979%</w:t>
            </w:r>
          </w:p>
        </w:tc>
        <w:tc>
          <w:tcPr>
            <w:tcW w:w="1267" w:type="dxa"/>
            <w:vAlign w:val="center"/>
          </w:tcPr>
          <w:p w:rsidR="000D6BEE" w:rsidRDefault="00571278">
            <w:pPr>
              <w:jc w:val="center"/>
            </w:pPr>
            <w:r>
              <w:rPr>
                <w:color w:val="000000"/>
              </w:rPr>
              <w:t>0.0007%</w:t>
            </w:r>
          </w:p>
        </w:tc>
      </w:tr>
      <w:tr w:rsidR="000D6BEE">
        <w:trPr>
          <w:jc w:val="center"/>
        </w:trPr>
        <w:tc>
          <w:tcPr>
            <w:tcW w:w="1266" w:type="dxa"/>
            <w:vAlign w:val="center"/>
          </w:tcPr>
          <w:p w:rsidR="000D6BEE" w:rsidRDefault="00571278">
            <w:pPr>
              <w:jc w:val="left"/>
            </w:pPr>
            <w:r>
              <w:rPr>
                <w:color w:val="000000"/>
              </w:rPr>
              <w:t>过去一年</w:t>
            </w:r>
          </w:p>
        </w:tc>
        <w:tc>
          <w:tcPr>
            <w:tcW w:w="1267" w:type="dxa"/>
            <w:vAlign w:val="center"/>
          </w:tcPr>
          <w:p w:rsidR="000D6BEE" w:rsidRDefault="00571278">
            <w:pPr>
              <w:jc w:val="center"/>
            </w:pPr>
            <w:r>
              <w:rPr>
                <w:color w:val="000000"/>
              </w:rPr>
              <w:t>2.0772%</w:t>
            </w:r>
          </w:p>
        </w:tc>
        <w:tc>
          <w:tcPr>
            <w:tcW w:w="1267" w:type="dxa"/>
            <w:vAlign w:val="center"/>
          </w:tcPr>
          <w:p w:rsidR="000D6BEE" w:rsidRDefault="00571278">
            <w:pPr>
              <w:jc w:val="center"/>
            </w:pPr>
            <w:r>
              <w:rPr>
                <w:color w:val="000000"/>
              </w:rPr>
              <w:t>0.0012%</w:t>
            </w:r>
          </w:p>
        </w:tc>
        <w:tc>
          <w:tcPr>
            <w:tcW w:w="1267" w:type="dxa"/>
            <w:vAlign w:val="center"/>
          </w:tcPr>
          <w:p w:rsidR="000D6BEE" w:rsidRDefault="00571278">
            <w:pPr>
              <w:jc w:val="center"/>
            </w:pPr>
            <w:r>
              <w:rPr>
                <w:color w:val="000000"/>
              </w:rPr>
              <w:t>1.3036%</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0.7736%</w:t>
            </w:r>
          </w:p>
        </w:tc>
        <w:tc>
          <w:tcPr>
            <w:tcW w:w="1267" w:type="dxa"/>
            <w:vAlign w:val="center"/>
          </w:tcPr>
          <w:p w:rsidR="000D6BEE" w:rsidRDefault="00571278">
            <w:pPr>
              <w:jc w:val="center"/>
            </w:pPr>
            <w:r>
              <w:rPr>
                <w:color w:val="000000"/>
              </w:rPr>
              <w:t>0.0012%</w:t>
            </w:r>
          </w:p>
        </w:tc>
      </w:tr>
      <w:tr w:rsidR="000D6BEE">
        <w:trPr>
          <w:jc w:val="center"/>
        </w:trPr>
        <w:tc>
          <w:tcPr>
            <w:tcW w:w="1266" w:type="dxa"/>
            <w:vAlign w:val="center"/>
          </w:tcPr>
          <w:p w:rsidR="000D6BEE" w:rsidRDefault="00571278">
            <w:pPr>
              <w:jc w:val="left"/>
            </w:pPr>
            <w:r>
              <w:rPr>
                <w:color w:val="000000"/>
              </w:rPr>
              <w:t>过去三年</w:t>
            </w:r>
          </w:p>
        </w:tc>
        <w:tc>
          <w:tcPr>
            <w:tcW w:w="1267" w:type="dxa"/>
            <w:vAlign w:val="center"/>
          </w:tcPr>
          <w:p w:rsidR="000D6BEE" w:rsidRDefault="00571278">
            <w:pPr>
              <w:jc w:val="center"/>
            </w:pPr>
            <w:r>
              <w:rPr>
                <w:color w:val="000000"/>
              </w:rPr>
              <w:t>8.3322%</w:t>
            </w:r>
          </w:p>
        </w:tc>
        <w:tc>
          <w:tcPr>
            <w:tcW w:w="1267" w:type="dxa"/>
            <w:vAlign w:val="center"/>
          </w:tcPr>
          <w:p w:rsidR="000D6BEE" w:rsidRDefault="00571278">
            <w:pPr>
              <w:jc w:val="center"/>
            </w:pPr>
            <w:r>
              <w:rPr>
                <w:color w:val="000000"/>
              </w:rPr>
              <w:t>0.0027%</w:t>
            </w:r>
          </w:p>
        </w:tc>
        <w:tc>
          <w:tcPr>
            <w:tcW w:w="1267" w:type="dxa"/>
            <w:vAlign w:val="center"/>
          </w:tcPr>
          <w:p w:rsidR="000D6BEE" w:rsidRDefault="00571278">
            <w:pPr>
              <w:jc w:val="center"/>
            </w:pPr>
            <w:r>
              <w:rPr>
                <w:color w:val="000000"/>
              </w:rPr>
              <w:t>3.9036%</w:t>
            </w:r>
          </w:p>
        </w:tc>
        <w:tc>
          <w:tcPr>
            <w:tcW w:w="1267" w:type="dxa"/>
            <w:vAlign w:val="center"/>
          </w:tcPr>
          <w:p w:rsidR="000D6BEE" w:rsidRDefault="00571278">
            <w:pPr>
              <w:jc w:val="center"/>
            </w:pPr>
            <w:r>
              <w:rPr>
                <w:color w:val="000000"/>
              </w:rPr>
              <w:t>0.0000%</w:t>
            </w:r>
          </w:p>
        </w:tc>
        <w:tc>
          <w:tcPr>
            <w:tcW w:w="1267" w:type="dxa"/>
            <w:vAlign w:val="center"/>
          </w:tcPr>
          <w:p w:rsidR="000D6BEE" w:rsidRDefault="00571278">
            <w:pPr>
              <w:jc w:val="center"/>
            </w:pPr>
            <w:r>
              <w:rPr>
                <w:color w:val="000000"/>
              </w:rPr>
              <w:t>4.4286%</w:t>
            </w:r>
          </w:p>
        </w:tc>
        <w:tc>
          <w:tcPr>
            <w:tcW w:w="1267" w:type="dxa"/>
            <w:vAlign w:val="center"/>
          </w:tcPr>
          <w:p w:rsidR="000D6BEE" w:rsidRDefault="00571278">
            <w:pPr>
              <w:jc w:val="center"/>
            </w:pPr>
            <w:r>
              <w:rPr>
                <w:color w:val="000000"/>
              </w:rPr>
              <w:t>0.0027%</w:t>
            </w:r>
          </w:p>
        </w:tc>
      </w:tr>
      <w:tr w:rsidR="000D6BEE">
        <w:trPr>
          <w:jc w:val="center"/>
        </w:trPr>
        <w:tc>
          <w:tcPr>
            <w:tcW w:w="1266" w:type="dxa"/>
            <w:vAlign w:val="center"/>
          </w:tcPr>
          <w:p w:rsidR="000D6BEE" w:rsidRDefault="00571278">
            <w:pPr>
              <w:jc w:val="left"/>
            </w:pPr>
            <w:r>
              <w:rPr>
                <w:color w:val="000000"/>
              </w:rPr>
              <w:t>过去五年</w:t>
            </w:r>
          </w:p>
        </w:tc>
        <w:tc>
          <w:tcPr>
            <w:tcW w:w="1267" w:type="dxa"/>
            <w:vAlign w:val="center"/>
          </w:tcPr>
          <w:p w:rsidR="000D6BEE" w:rsidRDefault="00571278">
            <w:pPr>
              <w:jc w:val="center"/>
            </w:pPr>
            <w:r>
              <w:rPr>
                <w:color w:val="000000"/>
              </w:rPr>
              <w:t>14.9154%</w:t>
            </w:r>
          </w:p>
        </w:tc>
        <w:tc>
          <w:tcPr>
            <w:tcW w:w="1267" w:type="dxa"/>
            <w:vAlign w:val="center"/>
          </w:tcPr>
          <w:p w:rsidR="000D6BEE" w:rsidRDefault="00571278">
            <w:pPr>
              <w:jc w:val="center"/>
            </w:pPr>
            <w:r>
              <w:rPr>
                <w:color w:val="000000"/>
              </w:rPr>
              <w:t>0.0024%</w:t>
            </w:r>
          </w:p>
        </w:tc>
        <w:tc>
          <w:tcPr>
            <w:tcW w:w="1267" w:type="dxa"/>
            <w:vAlign w:val="center"/>
          </w:tcPr>
          <w:p w:rsidR="000D6BEE" w:rsidRDefault="00571278">
            <w:pPr>
              <w:jc w:val="center"/>
            </w:pPr>
            <w:r>
              <w:rPr>
                <w:color w:val="000000"/>
              </w:rPr>
              <w:t>6.5229%</w:t>
            </w:r>
          </w:p>
        </w:tc>
        <w:tc>
          <w:tcPr>
            <w:tcW w:w="1267" w:type="dxa"/>
            <w:vAlign w:val="center"/>
          </w:tcPr>
          <w:p w:rsidR="000D6BEE" w:rsidRDefault="00571278">
            <w:pPr>
              <w:jc w:val="center"/>
            </w:pPr>
            <w:r>
              <w:rPr>
                <w:color w:val="000000"/>
              </w:rPr>
              <w:t>0.0001%</w:t>
            </w:r>
          </w:p>
        </w:tc>
        <w:tc>
          <w:tcPr>
            <w:tcW w:w="1267" w:type="dxa"/>
            <w:vAlign w:val="center"/>
          </w:tcPr>
          <w:p w:rsidR="000D6BEE" w:rsidRDefault="00571278">
            <w:pPr>
              <w:jc w:val="center"/>
            </w:pPr>
            <w:r>
              <w:rPr>
                <w:color w:val="000000"/>
              </w:rPr>
              <w:t>8.3925%</w:t>
            </w:r>
          </w:p>
        </w:tc>
        <w:tc>
          <w:tcPr>
            <w:tcW w:w="1267" w:type="dxa"/>
            <w:vAlign w:val="center"/>
          </w:tcPr>
          <w:p w:rsidR="000D6BEE" w:rsidRDefault="00571278">
            <w:pPr>
              <w:jc w:val="center"/>
            </w:pPr>
            <w:r>
              <w:rPr>
                <w:color w:val="000000"/>
              </w:rPr>
              <w:t>0.0023%</w:t>
            </w:r>
          </w:p>
        </w:tc>
      </w:tr>
      <w:tr w:rsidR="000D6BEE">
        <w:trPr>
          <w:jc w:val="center"/>
        </w:trPr>
        <w:tc>
          <w:tcPr>
            <w:tcW w:w="1266" w:type="dxa"/>
            <w:vAlign w:val="center"/>
          </w:tcPr>
          <w:p w:rsidR="000D6BEE" w:rsidRDefault="00571278">
            <w:pPr>
              <w:jc w:val="left"/>
            </w:pPr>
            <w:r>
              <w:rPr>
                <w:color w:val="000000"/>
              </w:rPr>
              <w:t>自基金分级起至今</w:t>
            </w:r>
          </w:p>
        </w:tc>
        <w:tc>
          <w:tcPr>
            <w:tcW w:w="1267" w:type="dxa"/>
            <w:vAlign w:val="center"/>
          </w:tcPr>
          <w:p w:rsidR="000D6BEE" w:rsidRDefault="00571278">
            <w:pPr>
              <w:jc w:val="center"/>
            </w:pPr>
            <w:r>
              <w:rPr>
                <w:color w:val="000000"/>
              </w:rPr>
              <w:t>51.0901%</w:t>
            </w:r>
          </w:p>
        </w:tc>
        <w:tc>
          <w:tcPr>
            <w:tcW w:w="1267" w:type="dxa"/>
            <w:vAlign w:val="center"/>
          </w:tcPr>
          <w:p w:rsidR="000D6BEE" w:rsidRDefault="00571278">
            <w:pPr>
              <w:jc w:val="center"/>
            </w:pPr>
            <w:r>
              <w:rPr>
                <w:color w:val="000000"/>
              </w:rPr>
              <w:t>0.0048%</w:t>
            </w:r>
          </w:p>
        </w:tc>
        <w:tc>
          <w:tcPr>
            <w:tcW w:w="1267" w:type="dxa"/>
            <w:vAlign w:val="center"/>
          </w:tcPr>
          <w:p w:rsidR="000D6BEE" w:rsidRDefault="00571278">
            <w:pPr>
              <w:jc w:val="center"/>
            </w:pPr>
            <w:r>
              <w:rPr>
                <w:color w:val="000000"/>
              </w:rPr>
              <w:t>28.7755%</w:t>
            </w:r>
          </w:p>
        </w:tc>
        <w:tc>
          <w:tcPr>
            <w:tcW w:w="1267" w:type="dxa"/>
            <w:vAlign w:val="center"/>
          </w:tcPr>
          <w:p w:rsidR="000D6BEE" w:rsidRDefault="00571278">
            <w:pPr>
              <w:jc w:val="center"/>
            </w:pPr>
            <w:r>
              <w:rPr>
                <w:color w:val="000000"/>
              </w:rPr>
              <w:t>0.0022%</w:t>
            </w:r>
          </w:p>
        </w:tc>
        <w:tc>
          <w:tcPr>
            <w:tcW w:w="1267" w:type="dxa"/>
            <w:vAlign w:val="center"/>
          </w:tcPr>
          <w:p w:rsidR="000D6BEE" w:rsidRDefault="00571278">
            <w:pPr>
              <w:jc w:val="center"/>
            </w:pPr>
            <w:r>
              <w:rPr>
                <w:color w:val="000000"/>
              </w:rPr>
              <w:t>22.3146%</w:t>
            </w:r>
          </w:p>
        </w:tc>
        <w:tc>
          <w:tcPr>
            <w:tcW w:w="1267" w:type="dxa"/>
            <w:vAlign w:val="center"/>
          </w:tcPr>
          <w:p w:rsidR="000D6BEE" w:rsidRDefault="00571278">
            <w:pPr>
              <w:jc w:val="center"/>
            </w:pPr>
            <w:r>
              <w:rPr>
                <w:color w:val="000000"/>
              </w:rPr>
              <w:t>0.0026%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2020</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D6BEE">
        <w:trPr>
          <w:jc w:val="center"/>
        </w:trPr>
        <w:tc>
          <w:tcPr>
            <w:tcW w:w="945" w:type="dxa"/>
            <w:vAlign w:val="center"/>
          </w:tcPr>
          <w:p w:rsidR="000D6BEE" w:rsidRDefault="00571278">
            <w:pPr>
              <w:jc w:val="center"/>
            </w:pPr>
            <w:r>
              <w:rPr>
                <w:color w:val="000000"/>
                <w:sz w:val="24"/>
              </w:rPr>
              <w:t>季参平</w:t>
            </w:r>
          </w:p>
        </w:tc>
        <w:tc>
          <w:tcPr>
            <w:tcW w:w="1589" w:type="dxa"/>
            <w:vAlign w:val="center"/>
          </w:tcPr>
          <w:p w:rsidR="000D6BEE" w:rsidRDefault="00F20195">
            <w:pPr>
              <w:jc w:val="center"/>
            </w:pPr>
            <w:r w:rsidRPr="00F20195">
              <w:rPr>
                <w:rFonts w:hint="eastAsia"/>
                <w:color w:val="000000"/>
                <w:sz w:val="24"/>
              </w:rPr>
              <w:t>交银货币、交银裕通纯债债券、交银现金宝货币、交银天鑫宝货币、交银裕祥纯债债券、交银中债</w:t>
            </w:r>
            <w:r w:rsidRPr="00F20195">
              <w:rPr>
                <w:rFonts w:hint="eastAsia"/>
                <w:color w:val="000000"/>
                <w:sz w:val="24"/>
              </w:rPr>
              <w:t>1-3</w:t>
            </w:r>
            <w:r w:rsidRPr="00F20195">
              <w:rPr>
                <w:rFonts w:hint="eastAsia"/>
                <w:color w:val="000000"/>
                <w:sz w:val="24"/>
              </w:rPr>
              <w:t>年政金债指数的基金经理</w:t>
            </w:r>
            <w:bookmarkStart w:id="0" w:name="_GoBack"/>
            <w:bookmarkEnd w:id="0"/>
          </w:p>
        </w:tc>
        <w:tc>
          <w:tcPr>
            <w:tcW w:w="1478" w:type="dxa"/>
            <w:vAlign w:val="center"/>
          </w:tcPr>
          <w:p w:rsidR="000D6BEE" w:rsidRDefault="00571278">
            <w:pPr>
              <w:jc w:val="center"/>
            </w:pPr>
            <w:r>
              <w:rPr>
                <w:color w:val="000000"/>
                <w:sz w:val="24"/>
              </w:rPr>
              <w:t>2019-07-26</w:t>
            </w:r>
          </w:p>
        </w:tc>
        <w:tc>
          <w:tcPr>
            <w:tcW w:w="1478" w:type="dxa"/>
            <w:vAlign w:val="center"/>
          </w:tcPr>
          <w:p w:rsidR="000D6BEE" w:rsidRDefault="00571278">
            <w:pPr>
              <w:jc w:val="center"/>
            </w:pPr>
            <w:r>
              <w:rPr>
                <w:color w:val="000000"/>
                <w:sz w:val="24"/>
              </w:rPr>
              <w:t>-</w:t>
            </w:r>
          </w:p>
        </w:tc>
        <w:tc>
          <w:tcPr>
            <w:tcW w:w="986" w:type="dxa"/>
            <w:vAlign w:val="center"/>
          </w:tcPr>
          <w:p w:rsidR="000D6BEE" w:rsidRDefault="00571278">
            <w:pPr>
              <w:jc w:val="center"/>
            </w:pPr>
            <w:r>
              <w:rPr>
                <w:color w:val="000000"/>
                <w:sz w:val="24"/>
              </w:rPr>
              <w:t>8</w:t>
            </w:r>
            <w:r>
              <w:rPr>
                <w:color w:val="000000"/>
                <w:sz w:val="24"/>
              </w:rPr>
              <w:t>年</w:t>
            </w:r>
          </w:p>
        </w:tc>
        <w:tc>
          <w:tcPr>
            <w:tcW w:w="2392" w:type="dxa"/>
            <w:vAlign w:val="center"/>
          </w:tcPr>
          <w:p w:rsidR="000D6BEE" w:rsidRDefault="00571278">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D6BEE" w:rsidRDefault="0057127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D6BEE" w:rsidRDefault="0057127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D6BEE" w:rsidRDefault="0057127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D6BEE" w:rsidRDefault="00571278">
      <w:pPr>
        <w:spacing w:before="29" w:line="288" w:lineRule="auto"/>
        <w:ind w:firstLineChars="200" w:firstLine="480"/>
        <w:rPr>
          <w:color w:val="000000"/>
          <w:sz w:val="24"/>
        </w:rPr>
      </w:pPr>
      <w:r>
        <w:rPr>
          <w:color w:val="000000"/>
          <w:sz w:val="24"/>
        </w:rPr>
        <w:t>本报告期内，货币市场在结构性紧张的流动性货币政策框架下呈现紧平衡态势，资金市场的结构性分层愈加明显。具体来看，七月初资金利率逐步走低，央行对到期的</w:t>
      </w:r>
      <w:r>
        <w:rPr>
          <w:color w:val="000000"/>
          <w:sz w:val="24"/>
        </w:rPr>
        <w:t>6977</w:t>
      </w:r>
      <w:r>
        <w:rPr>
          <w:color w:val="000000"/>
          <w:sz w:val="24"/>
        </w:rPr>
        <w:t>亿元</w:t>
      </w:r>
      <w:r>
        <w:rPr>
          <w:color w:val="000000"/>
          <w:sz w:val="24"/>
        </w:rPr>
        <w:t>MLF</w:t>
      </w:r>
      <w:r>
        <w:rPr>
          <w:color w:val="000000"/>
          <w:sz w:val="24"/>
        </w:rPr>
        <w:t>和</w:t>
      </w:r>
      <w:r>
        <w:rPr>
          <w:color w:val="000000"/>
          <w:sz w:val="24"/>
        </w:rPr>
        <w:t>TMLF</w:t>
      </w:r>
      <w:r>
        <w:rPr>
          <w:color w:val="000000"/>
          <w:sz w:val="24"/>
        </w:rPr>
        <w:t>资金续作</w:t>
      </w:r>
      <w:r>
        <w:rPr>
          <w:color w:val="000000"/>
          <w:sz w:val="24"/>
        </w:rPr>
        <w:t>4000</w:t>
      </w:r>
      <w:r>
        <w:rPr>
          <w:color w:val="000000"/>
          <w:sz w:val="24"/>
        </w:rPr>
        <w:t>亿元，延续了之前量缩价平的态度。央行净回笼、企业集中缴税等因素影响，中旬的流动性逐步收紧，但</w:t>
      </w:r>
      <w:r>
        <w:rPr>
          <w:color w:val="000000"/>
          <w:sz w:val="24"/>
        </w:rPr>
        <w:t>DR007</w:t>
      </w:r>
      <w:r>
        <w:rPr>
          <w:color w:val="000000"/>
          <w:sz w:val="24"/>
        </w:rPr>
        <w:t>未突破</w:t>
      </w:r>
      <w:r>
        <w:rPr>
          <w:color w:val="000000"/>
          <w:sz w:val="24"/>
        </w:rPr>
        <w:t>2.2%</w:t>
      </w:r>
      <w:r>
        <w:rPr>
          <w:color w:val="000000"/>
          <w:sz w:val="24"/>
        </w:rPr>
        <w:t>的逆回购利率上限。八月资金面继续收紧，央行超额续作</w:t>
      </w:r>
      <w:r>
        <w:rPr>
          <w:color w:val="000000"/>
          <w:sz w:val="24"/>
        </w:rPr>
        <w:t>1500</w:t>
      </w:r>
      <w:r>
        <w:rPr>
          <w:color w:val="000000"/>
          <w:sz w:val="24"/>
        </w:rPr>
        <w:t>亿元</w:t>
      </w:r>
      <w:r>
        <w:rPr>
          <w:color w:val="000000"/>
          <w:sz w:val="24"/>
        </w:rPr>
        <w:t>MLF</w:t>
      </w:r>
      <w:r>
        <w:rPr>
          <w:color w:val="000000"/>
          <w:sz w:val="24"/>
        </w:rPr>
        <w:t>释放长期流动性，但货币市场紧张态势并未缓解，</w:t>
      </w:r>
      <w:r>
        <w:rPr>
          <w:color w:val="000000"/>
          <w:sz w:val="24"/>
        </w:rPr>
        <w:t>DR007</w:t>
      </w:r>
      <w:r>
        <w:rPr>
          <w:color w:val="000000"/>
          <w:sz w:val="24"/>
        </w:rPr>
        <w:t>上行至八月高点</w:t>
      </w:r>
      <w:r>
        <w:rPr>
          <w:color w:val="000000"/>
          <w:sz w:val="24"/>
        </w:rPr>
        <w:t>2.32%</w:t>
      </w:r>
      <w:r>
        <w:rPr>
          <w:color w:val="000000"/>
          <w:sz w:val="24"/>
        </w:rPr>
        <w:t>的水平，但</w:t>
      </w:r>
      <w:r>
        <w:rPr>
          <w:color w:val="000000"/>
          <w:sz w:val="24"/>
        </w:rPr>
        <w:t>R007</w:t>
      </w:r>
      <w:r>
        <w:rPr>
          <w:color w:val="000000"/>
          <w:sz w:val="24"/>
        </w:rPr>
        <w:t>的快速上行使得</w:t>
      </w:r>
      <w:r>
        <w:rPr>
          <w:color w:val="000000"/>
          <w:sz w:val="24"/>
        </w:rPr>
        <w:t>R-DR</w:t>
      </w:r>
      <w:r>
        <w:rPr>
          <w:color w:val="000000"/>
          <w:sz w:val="24"/>
        </w:rPr>
        <w:t>的利差走扩至</w:t>
      </w:r>
      <w:r>
        <w:rPr>
          <w:color w:val="000000"/>
          <w:sz w:val="24"/>
        </w:rPr>
        <w:t>30BP</w:t>
      </w:r>
      <w:r>
        <w:rPr>
          <w:color w:val="000000"/>
          <w:sz w:val="24"/>
        </w:rPr>
        <w:t>，非银机构的资金压力明显增大，中期利率方面一年期</w:t>
      </w:r>
      <w:r>
        <w:rPr>
          <w:color w:val="000000"/>
          <w:sz w:val="24"/>
        </w:rPr>
        <w:t>SHIBOR</w:t>
      </w:r>
      <w:r>
        <w:rPr>
          <w:color w:val="000000"/>
          <w:sz w:val="24"/>
        </w:rPr>
        <w:t>和同业存单利率持续回升，向</w:t>
      </w:r>
      <w:r>
        <w:rPr>
          <w:color w:val="000000"/>
          <w:sz w:val="24"/>
        </w:rPr>
        <w:t>2.95%</w:t>
      </w:r>
      <w:r>
        <w:rPr>
          <w:color w:val="000000"/>
          <w:sz w:val="24"/>
        </w:rPr>
        <w:t>的</w:t>
      </w:r>
      <w:r>
        <w:rPr>
          <w:color w:val="000000"/>
          <w:sz w:val="24"/>
        </w:rPr>
        <w:t>MLF</w:t>
      </w:r>
      <w:r>
        <w:rPr>
          <w:color w:val="000000"/>
          <w:sz w:val="24"/>
        </w:rPr>
        <w:t>利率靠拢，市场担心同业存单利率突破</w:t>
      </w:r>
      <w:r>
        <w:rPr>
          <w:color w:val="000000"/>
          <w:sz w:val="24"/>
        </w:rPr>
        <w:t>MLF</w:t>
      </w:r>
      <w:r>
        <w:rPr>
          <w:color w:val="000000"/>
          <w:sz w:val="24"/>
        </w:rPr>
        <w:t>利率带来的风险。九月资金利率波动增大，隔夜利率在月初快速回落至</w:t>
      </w:r>
      <w:r>
        <w:rPr>
          <w:color w:val="000000"/>
          <w:sz w:val="24"/>
        </w:rPr>
        <w:t>1.3%</w:t>
      </w:r>
      <w:r>
        <w:rPr>
          <w:color w:val="000000"/>
          <w:sz w:val="24"/>
        </w:rPr>
        <w:t>附近。月中央行超额续作</w:t>
      </w:r>
      <w:r>
        <w:rPr>
          <w:color w:val="000000"/>
          <w:sz w:val="24"/>
        </w:rPr>
        <w:t>4000</w:t>
      </w:r>
      <w:r>
        <w:rPr>
          <w:color w:val="000000"/>
          <w:sz w:val="24"/>
        </w:rPr>
        <w:t>亿元</w:t>
      </w:r>
      <w:r>
        <w:rPr>
          <w:color w:val="000000"/>
          <w:sz w:val="24"/>
        </w:rPr>
        <w:t>MLF</w:t>
      </w:r>
      <w:r>
        <w:rPr>
          <w:color w:val="000000"/>
          <w:sz w:val="24"/>
        </w:rPr>
        <w:t>，但受缴税、假期影响，</w:t>
      </w:r>
      <w:r>
        <w:rPr>
          <w:color w:val="000000"/>
          <w:sz w:val="24"/>
        </w:rPr>
        <w:t>R007</w:t>
      </w:r>
      <w:r>
        <w:rPr>
          <w:color w:val="000000"/>
          <w:sz w:val="24"/>
        </w:rPr>
        <w:t>持续走高至</w:t>
      </w:r>
      <w:r>
        <w:rPr>
          <w:color w:val="000000"/>
          <w:sz w:val="24"/>
        </w:rPr>
        <w:t>2.97%</w:t>
      </w:r>
      <w:r>
        <w:rPr>
          <w:color w:val="000000"/>
          <w:sz w:val="24"/>
        </w:rPr>
        <w:t>，并与</w:t>
      </w:r>
      <w:r>
        <w:rPr>
          <w:color w:val="000000"/>
          <w:sz w:val="24"/>
        </w:rPr>
        <w:t>DR007</w:t>
      </w:r>
      <w:r>
        <w:rPr>
          <w:color w:val="000000"/>
          <w:sz w:val="24"/>
        </w:rPr>
        <w:t>的利差走阔至</w:t>
      </w:r>
      <w:r>
        <w:rPr>
          <w:color w:val="000000"/>
          <w:sz w:val="24"/>
        </w:rPr>
        <w:t>61BP</w:t>
      </w:r>
      <w:r>
        <w:rPr>
          <w:color w:val="000000"/>
          <w:sz w:val="24"/>
        </w:rPr>
        <w:t>，整体来看九月货币市场处于紧平衡的状态。存单存款市场受资金面持续收紧，收益率上行幅度明显，国有股份制银行在</w:t>
      </w:r>
      <w:r>
        <w:rPr>
          <w:color w:val="000000"/>
          <w:sz w:val="24"/>
        </w:rPr>
        <w:t>2.65%-2.75%</w:t>
      </w:r>
      <w:r>
        <w:rPr>
          <w:color w:val="000000"/>
          <w:sz w:val="24"/>
        </w:rPr>
        <w:t>之间募集三月期存单。报告期内，三个月</w:t>
      </w:r>
      <w:r>
        <w:rPr>
          <w:color w:val="000000"/>
          <w:sz w:val="24"/>
        </w:rPr>
        <w:t>SHIBOR</w:t>
      </w:r>
      <w:r>
        <w:rPr>
          <w:color w:val="000000"/>
          <w:sz w:val="24"/>
        </w:rPr>
        <w:t>利率上行约</w:t>
      </w:r>
      <w:r>
        <w:rPr>
          <w:color w:val="000000"/>
          <w:sz w:val="24"/>
        </w:rPr>
        <w:t>57BP</w:t>
      </w:r>
      <w:r>
        <w:rPr>
          <w:color w:val="000000"/>
          <w:sz w:val="24"/>
        </w:rPr>
        <w:t>到</w:t>
      </w:r>
      <w:r>
        <w:rPr>
          <w:color w:val="000000"/>
          <w:sz w:val="24"/>
        </w:rPr>
        <w:t>2.69%</w:t>
      </w:r>
      <w:r>
        <w:rPr>
          <w:color w:val="000000"/>
          <w:sz w:val="24"/>
        </w:rPr>
        <w:t>。</w:t>
      </w:r>
    </w:p>
    <w:p w:rsidR="000D6BEE" w:rsidRDefault="00571278">
      <w:pPr>
        <w:spacing w:before="29" w:line="288" w:lineRule="auto"/>
        <w:ind w:firstLineChars="200" w:firstLine="480"/>
        <w:rPr>
          <w:color w:val="000000"/>
          <w:sz w:val="24"/>
        </w:rPr>
      </w:pPr>
      <w:r>
        <w:rPr>
          <w:color w:val="000000"/>
          <w:sz w:val="24"/>
        </w:rPr>
        <w:t>基金操作方面，我们维持低杠杆、短久期的操作思路，多投资于估值波动较小的银行存款与回购等，组合整体流动性良好。九月末我们视组合流动性和市场情况，增配了高评级的同业存单、同业存款等，提高组合收益水平。</w:t>
      </w:r>
    </w:p>
    <w:p w:rsidR="000D6BEE" w:rsidRDefault="00571278">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年四季度，我们将密切关注国内经济基本面增长是否能持续超出市场预期，观察</w:t>
      </w:r>
      <w:r>
        <w:rPr>
          <w:color w:val="000000"/>
          <w:sz w:val="24"/>
        </w:rPr>
        <w:t>CPI</w:t>
      </w:r>
      <w:r>
        <w:rPr>
          <w:color w:val="000000"/>
          <w:sz w:val="24"/>
        </w:rPr>
        <w:t>在基数效应影响下逐级回落的幅度和</w:t>
      </w:r>
      <w:r>
        <w:rPr>
          <w:color w:val="000000"/>
          <w:sz w:val="24"/>
        </w:rPr>
        <w:t>PPI</w:t>
      </w:r>
      <w:r>
        <w:rPr>
          <w:color w:val="000000"/>
          <w:sz w:val="24"/>
        </w:rPr>
        <w:t>趋势回升的态势，并对低超储率下的资金面紧平衡状态持续观察。我们认为，结构性紧张的流动性货币政策框架将边际收紧银行间市场流动性，并增加资金结构性分层的特点，货币市场利率存在继续上行的可能性。</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139,416,592.92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139,416,592.92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118,435,657.65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29.65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139,423,938.56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2,236,250.58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399,512,439.71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0.83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34.87</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17.53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37.33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5.02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5.02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99.78</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19,904,539.58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9,951,070.85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9,951,070.85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109,560,982.49</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27.52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139,416,592.92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35.02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904"/>
        <w:gridCol w:w="1355"/>
        <w:gridCol w:w="2295"/>
        <w:gridCol w:w="1451"/>
        <w:gridCol w:w="1596"/>
        <w:gridCol w:w="1701"/>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D6BEE">
        <w:trPr>
          <w:jc w:val="center"/>
        </w:trPr>
        <w:tc>
          <w:tcPr>
            <w:tcW w:w="0" w:type="auto"/>
            <w:vAlign w:val="center"/>
          </w:tcPr>
          <w:p w:rsidR="000D6BEE" w:rsidRDefault="00571278">
            <w:pPr>
              <w:jc w:val="center"/>
            </w:pPr>
            <w:r>
              <w:rPr>
                <w:color w:val="000000"/>
                <w:sz w:val="24"/>
              </w:rPr>
              <w:t>1</w:t>
            </w:r>
          </w:p>
        </w:tc>
        <w:tc>
          <w:tcPr>
            <w:tcW w:w="0" w:type="auto"/>
            <w:vAlign w:val="center"/>
          </w:tcPr>
          <w:p w:rsidR="000D6BEE" w:rsidRDefault="00571278">
            <w:pPr>
              <w:jc w:val="center"/>
            </w:pPr>
            <w:r>
              <w:rPr>
                <w:color w:val="000000"/>
                <w:sz w:val="24"/>
              </w:rPr>
              <w:t>112021085</w:t>
            </w:r>
          </w:p>
        </w:tc>
        <w:tc>
          <w:tcPr>
            <w:tcW w:w="0" w:type="auto"/>
            <w:vAlign w:val="center"/>
          </w:tcPr>
          <w:p w:rsidR="000D6BEE" w:rsidRDefault="00571278">
            <w:pPr>
              <w:jc w:val="center"/>
            </w:pPr>
            <w:r>
              <w:rPr>
                <w:color w:val="000000"/>
                <w:sz w:val="24"/>
              </w:rPr>
              <w:t>20</w:t>
            </w:r>
            <w:r>
              <w:rPr>
                <w:color w:val="000000"/>
                <w:sz w:val="24"/>
              </w:rPr>
              <w:t>渤海银行</w:t>
            </w:r>
            <w:r>
              <w:rPr>
                <w:color w:val="000000"/>
                <w:sz w:val="24"/>
              </w:rPr>
              <w:t>CD085</w:t>
            </w:r>
          </w:p>
        </w:tc>
        <w:tc>
          <w:tcPr>
            <w:tcW w:w="0" w:type="auto"/>
            <w:vAlign w:val="center"/>
          </w:tcPr>
          <w:p w:rsidR="000D6BEE" w:rsidRDefault="00571278">
            <w:pPr>
              <w:jc w:val="right"/>
            </w:pPr>
            <w:r>
              <w:rPr>
                <w:color w:val="000000"/>
                <w:sz w:val="24"/>
              </w:rPr>
              <w:t>200,000</w:t>
            </w:r>
          </w:p>
        </w:tc>
        <w:tc>
          <w:tcPr>
            <w:tcW w:w="0" w:type="auto"/>
            <w:vAlign w:val="center"/>
          </w:tcPr>
          <w:p w:rsidR="000D6BEE" w:rsidRDefault="00571278">
            <w:pPr>
              <w:jc w:val="right"/>
            </w:pPr>
            <w:r>
              <w:rPr>
                <w:color w:val="000000"/>
                <w:sz w:val="24"/>
              </w:rPr>
              <w:t>19,918,356.58</w:t>
            </w:r>
          </w:p>
        </w:tc>
        <w:tc>
          <w:tcPr>
            <w:tcW w:w="0" w:type="auto"/>
            <w:vAlign w:val="center"/>
          </w:tcPr>
          <w:p w:rsidR="000D6BEE" w:rsidRDefault="00571278">
            <w:pPr>
              <w:jc w:val="right"/>
            </w:pPr>
            <w:r>
              <w:rPr>
                <w:color w:val="000000"/>
                <w:sz w:val="24"/>
              </w:rPr>
              <w:t>5.00</w:t>
            </w:r>
          </w:p>
        </w:tc>
      </w:tr>
      <w:tr w:rsidR="000D6BEE">
        <w:trPr>
          <w:jc w:val="center"/>
        </w:trPr>
        <w:tc>
          <w:tcPr>
            <w:tcW w:w="0" w:type="auto"/>
            <w:vAlign w:val="center"/>
          </w:tcPr>
          <w:p w:rsidR="000D6BEE" w:rsidRDefault="00571278">
            <w:pPr>
              <w:jc w:val="center"/>
            </w:pPr>
            <w:r>
              <w:rPr>
                <w:color w:val="000000"/>
                <w:sz w:val="24"/>
              </w:rPr>
              <w:t>2</w:t>
            </w:r>
          </w:p>
        </w:tc>
        <w:tc>
          <w:tcPr>
            <w:tcW w:w="0" w:type="auto"/>
            <w:vAlign w:val="center"/>
          </w:tcPr>
          <w:p w:rsidR="000D6BEE" w:rsidRDefault="00571278">
            <w:pPr>
              <w:jc w:val="center"/>
            </w:pPr>
            <w:r>
              <w:rPr>
                <w:color w:val="000000"/>
                <w:sz w:val="24"/>
              </w:rPr>
              <w:t>112021147</w:t>
            </w:r>
          </w:p>
        </w:tc>
        <w:tc>
          <w:tcPr>
            <w:tcW w:w="0" w:type="auto"/>
            <w:vAlign w:val="center"/>
          </w:tcPr>
          <w:p w:rsidR="000D6BEE" w:rsidRDefault="00571278">
            <w:pPr>
              <w:jc w:val="center"/>
            </w:pPr>
            <w:r>
              <w:rPr>
                <w:color w:val="000000"/>
                <w:sz w:val="24"/>
              </w:rPr>
              <w:t>20</w:t>
            </w:r>
            <w:r>
              <w:rPr>
                <w:color w:val="000000"/>
                <w:sz w:val="24"/>
              </w:rPr>
              <w:t>渤海银行</w:t>
            </w:r>
            <w:r>
              <w:rPr>
                <w:color w:val="000000"/>
                <w:sz w:val="24"/>
              </w:rPr>
              <w:t>CD147</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9,991,708.00</w:t>
            </w:r>
          </w:p>
        </w:tc>
        <w:tc>
          <w:tcPr>
            <w:tcW w:w="0" w:type="auto"/>
            <w:vAlign w:val="center"/>
          </w:tcPr>
          <w:p w:rsidR="000D6BEE" w:rsidRDefault="00571278">
            <w:pPr>
              <w:jc w:val="right"/>
            </w:pPr>
            <w:r>
              <w:rPr>
                <w:color w:val="000000"/>
                <w:sz w:val="24"/>
              </w:rPr>
              <w:t>2.51</w:t>
            </w:r>
          </w:p>
        </w:tc>
      </w:tr>
      <w:tr w:rsidR="000D6BEE">
        <w:trPr>
          <w:jc w:val="center"/>
        </w:trPr>
        <w:tc>
          <w:tcPr>
            <w:tcW w:w="0" w:type="auto"/>
            <w:vAlign w:val="center"/>
          </w:tcPr>
          <w:p w:rsidR="000D6BEE" w:rsidRDefault="00571278">
            <w:pPr>
              <w:jc w:val="center"/>
            </w:pPr>
            <w:r>
              <w:rPr>
                <w:color w:val="000000"/>
                <w:sz w:val="24"/>
              </w:rPr>
              <w:t>3</w:t>
            </w:r>
          </w:p>
        </w:tc>
        <w:tc>
          <w:tcPr>
            <w:tcW w:w="0" w:type="auto"/>
            <w:vAlign w:val="center"/>
          </w:tcPr>
          <w:p w:rsidR="000D6BEE" w:rsidRDefault="00571278">
            <w:pPr>
              <w:jc w:val="center"/>
            </w:pPr>
            <w:r>
              <w:rPr>
                <w:color w:val="000000"/>
                <w:sz w:val="24"/>
              </w:rPr>
              <w:t>112097552</w:t>
            </w:r>
          </w:p>
        </w:tc>
        <w:tc>
          <w:tcPr>
            <w:tcW w:w="0" w:type="auto"/>
            <w:vAlign w:val="center"/>
          </w:tcPr>
          <w:p w:rsidR="000D6BEE" w:rsidRDefault="00571278">
            <w:pPr>
              <w:jc w:val="center"/>
            </w:pPr>
            <w:r>
              <w:rPr>
                <w:color w:val="000000"/>
                <w:sz w:val="24"/>
              </w:rPr>
              <w:t>20</w:t>
            </w:r>
            <w:r>
              <w:rPr>
                <w:color w:val="000000"/>
                <w:sz w:val="24"/>
              </w:rPr>
              <w:t>东莞农村商业银行</w:t>
            </w:r>
            <w:r>
              <w:rPr>
                <w:color w:val="000000"/>
                <w:sz w:val="24"/>
              </w:rPr>
              <w:t>CD080</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9,991,120.97</w:t>
            </w:r>
          </w:p>
        </w:tc>
        <w:tc>
          <w:tcPr>
            <w:tcW w:w="0" w:type="auto"/>
            <w:vAlign w:val="center"/>
          </w:tcPr>
          <w:p w:rsidR="000D6BEE" w:rsidRDefault="00571278">
            <w:pPr>
              <w:jc w:val="right"/>
            </w:pPr>
            <w:r>
              <w:rPr>
                <w:color w:val="000000"/>
                <w:sz w:val="24"/>
              </w:rPr>
              <w:t>2.51</w:t>
            </w:r>
          </w:p>
        </w:tc>
      </w:tr>
      <w:tr w:rsidR="000D6BEE">
        <w:trPr>
          <w:jc w:val="center"/>
        </w:trPr>
        <w:tc>
          <w:tcPr>
            <w:tcW w:w="0" w:type="auto"/>
            <w:vAlign w:val="center"/>
          </w:tcPr>
          <w:p w:rsidR="000D6BEE" w:rsidRDefault="00571278">
            <w:pPr>
              <w:jc w:val="center"/>
            </w:pPr>
            <w:r>
              <w:rPr>
                <w:color w:val="000000"/>
                <w:sz w:val="24"/>
              </w:rPr>
              <w:t>4</w:t>
            </w:r>
          </w:p>
        </w:tc>
        <w:tc>
          <w:tcPr>
            <w:tcW w:w="0" w:type="auto"/>
            <w:vAlign w:val="center"/>
          </w:tcPr>
          <w:p w:rsidR="000D6BEE" w:rsidRDefault="00571278">
            <w:pPr>
              <w:jc w:val="center"/>
            </w:pPr>
            <w:r>
              <w:rPr>
                <w:color w:val="000000"/>
                <w:sz w:val="24"/>
              </w:rPr>
              <w:t>111974398</w:t>
            </w:r>
          </w:p>
        </w:tc>
        <w:tc>
          <w:tcPr>
            <w:tcW w:w="0" w:type="auto"/>
            <w:vAlign w:val="center"/>
          </w:tcPr>
          <w:p w:rsidR="000D6BEE" w:rsidRDefault="00571278">
            <w:pPr>
              <w:jc w:val="center"/>
            </w:pPr>
            <w:r>
              <w:rPr>
                <w:color w:val="000000"/>
                <w:sz w:val="24"/>
              </w:rPr>
              <w:t>19</w:t>
            </w:r>
            <w:r>
              <w:rPr>
                <w:color w:val="000000"/>
                <w:sz w:val="24"/>
              </w:rPr>
              <w:t>华融湘江银行</w:t>
            </w:r>
            <w:r>
              <w:rPr>
                <w:color w:val="000000"/>
                <w:sz w:val="24"/>
              </w:rPr>
              <w:t>CD176</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9,965,719.70</w:t>
            </w:r>
          </w:p>
        </w:tc>
        <w:tc>
          <w:tcPr>
            <w:tcW w:w="0" w:type="auto"/>
            <w:vAlign w:val="center"/>
          </w:tcPr>
          <w:p w:rsidR="000D6BEE" w:rsidRDefault="00571278">
            <w:pPr>
              <w:jc w:val="right"/>
            </w:pPr>
            <w:r>
              <w:rPr>
                <w:color w:val="000000"/>
                <w:sz w:val="24"/>
              </w:rPr>
              <w:t>2.50</w:t>
            </w:r>
          </w:p>
        </w:tc>
      </w:tr>
      <w:tr w:rsidR="000D6BEE">
        <w:trPr>
          <w:jc w:val="center"/>
        </w:trPr>
        <w:tc>
          <w:tcPr>
            <w:tcW w:w="0" w:type="auto"/>
            <w:vAlign w:val="center"/>
          </w:tcPr>
          <w:p w:rsidR="000D6BEE" w:rsidRDefault="00571278">
            <w:pPr>
              <w:jc w:val="center"/>
            </w:pPr>
            <w:r>
              <w:rPr>
                <w:color w:val="000000"/>
                <w:sz w:val="24"/>
              </w:rPr>
              <w:t>5</w:t>
            </w:r>
          </w:p>
        </w:tc>
        <w:tc>
          <w:tcPr>
            <w:tcW w:w="0" w:type="auto"/>
            <w:vAlign w:val="center"/>
          </w:tcPr>
          <w:p w:rsidR="000D6BEE" w:rsidRDefault="00571278">
            <w:pPr>
              <w:jc w:val="center"/>
            </w:pPr>
            <w:r>
              <w:rPr>
                <w:color w:val="000000"/>
                <w:sz w:val="24"/>
              </w:rPr>
              <w:t>112086354</w:t>
            </w:r>
          </w:p>
        </w:tc>
        <w:tc>
          <w:tcPr>
            <w:tcW w:w="0" w:type="auto"/>
            <w:vAlign w:val="center"/>
          </w:tcPr>
          <w:p w:rsidR="000D6BEE" w:rsidRDefault="00571278">
            <w:pPr>
              <w:jc w:val="center"/>
            </w:pPr>
            <w:r>
              <w:rPr>
                <w:color w:val="000000"/>
                <w:sz w:val="24"/>
              </w:rPr>
              <w:t>20</w:t>
            </w:r>
            <w:r>
              <w:rPr>
                <w:color w:val="000000"/>
                <w:sz w:val="24"/>
              </w:rPr>
              <w:t>厦门银行</w:t>
            </w:r>
            <w:r>
              <w:rPr>
                <w:color w:val="000000"/>
                <w:sz w:val="24"/>
              </w:rPr>
              <w:t>CD154</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9,958,797.57</w:t>
            </w:r>
          </w:p>
        </w:tc>
        <w:tc>
          <w:tcPr>
            <w:tcW w:w="0" w:type="auto"/>
            <w:vAlign w:val="center"/>
          </w:tcPr>
          <w:p w:rsidR="000D6BEE" w:rsidRDefault="00571278">
            <w:pPr>
              <w:jc w:val="right"/>
            </w:pPr>
            <w:r>
              <w:rPr>
                <w:color w:val="000000"/>
                <w:sz w:val="24"/>
              </w:rPr>
              <w:t>2.50</w:t>
            </w:r>
          </w:p>
        </w:tc>
      </w:tr>
      <w:tr w:rsidR="000D6BEE">
        <w:trPr>
          <w:jc w:val="center"/>
        </w:trPr>
        <w:tc>
          <w:tcPr>
            <w:tcW w:w="0" w:type="auto"/>
            <w:vAlign w:val="center"/>
          </w:tcPr>
          <w:p w:rsidR="000D6BEE" w:rsidRDefault="00571278">
            <w:pPr>
              <w:jc w:val="center"/>
            </w:pPr>
            <w:r>
              <w:rPr>
                <w:color w:val="000000"/>
                <w:sz w:val="24"/>
              </w:rPr>
              <w:t>6</w:t>
            </w:r>
          </w:p>
        </w:tc>
        <w:tc>
          <w:tcPr>
            <w:tcW w:w="0" w:type="auto"/>
            <w:vAlign w:val="center"/>
          </w:tcPr>
          <w:p w:rsidR="000D6BEE" w:rsidRDefault="00571278">
            <w:pPr>
              <w:jc w:val="center"/>
            </w:pPr>
            <w:r>
              <w:rPr>
                <w:color w:val="000000"/>
                <w:sz w:val="24"/>
              </w:rPr>
              <w:t>112086229</w:t>
            </w:r>
          </w:p>
        </w:tc>
        <w:tc>
          <w:tcPr>
            <w:tcW w:w="0" w:type="auto"/>
            <w:vAlign w:val="center"/>
          </w:tcPr>
          <w:p w:rsidR="000D6BEE" w:rsidRDefault="00571278">
            <w:pPr>
              <w:jc w:val="center"/>
            </w:pPr>
            <w:r>
              <w:rPr>
                <w:color w:val="000000"/>
                <w:sz w:val="24"/>
              </w:rPr>
              <w:t>20</w:t>
            </w:r>
            <w:r>
              <w:rPr>
                <w:color w:val="000000"/>
                <w:sz w:val="24"/>
              </w:rPr>
              <w:t>广西北部湾银行</w:t>
            </w:r>
            <w:r>
              <w:rPr>
                <w:color w:val="000000"/>
                <w:sz w:val="24"/>
              </w:rPr>
              <w:t>CD258</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9,958,045.11</w:t>
            </w:r>
          </w:p>
        </w:tc>
        <w:tc>
          <w:tcPr>
            <w:tcW w:w="0" w:type="auto"/>
            <w:vAlign w:val="center"/>
          </w:tcPr>
          <w:p w:rsidR="000D6BEE" w:rsidRDefault="00571278">
            <w:pPr>
              <w:jc w:val="right"/>
            </w:pPr>
            <w:r>
              <w:rPr>
                <w:color w:val="000000"/>
                <w:sz w:val="24"/>
              </w:rPr>
              <w:t>2.50</w:t>
            </w:r>
          </w:p>
        </w:tc>
      </w:tr>
      <w:tr w:rsidR="000D6BEE">
        <w:trPr>
          <w:jc w:val="center"/>
        </w:trPr>
        <w:tc>
          <w:tcPr>
            <w:tcW w:w="0" w:type="auto"/>
            <w:vAlign w:val="center"/>
          </w:tcPr>
          <w:p w:rsidR="000D6BEE" w:rsidRDefault="00571278">
            <w:pPr>
              <w:jc w:val="center"/>
            </w:pPr>
            <w:r>
              <w:rPr>
                <w:color w:val="000000"/>
                <w:sz w:val="24"/>
              </w:rPr>
              <w:t>7</w:t>
            </w:r>
          </w:p>
        </w:tc>
        <w:tc>
          <w:tcPr>
            <w:tcW w:w="0" w:type="auto"/>
            <w:vAlign w:val="center"/>
          </w:tcPr>
          <w:p w:rsidR="000D6BEE" w:rsidRDefault="00571278">
            <w:pPr>
              <w:jc w:val="center"/>
            </w:pPr>
            <w:r>
              <w:rPr>
                <w:color w:val="000000"/>
                <w:sz w:val="24"/>
              </w:rPr>
              <w:t>209944</w:t>
            </w:r>
          </w:p>
        </w:tc>
        <w:tc>
          <w:tcPr>
            <w:tcW w:w="0" w:type="auto"/>
            <w:vAlign w:val="center"/>
          </w:tcPr>
          <w:p w:rsidR="000D6BEE" w:rsidRDefault="00571278">
            <w:pPr>
              <w:jc w:val="center"/>
            </w:pPr>
            <w:r>
              <w:rPr>
                <w:color w:val="000000"/>
                <w:sz w:val="24"/>
              </w:rPr>
              <w:t>20</w:t>
            </w:r>
            <w:r>
              <w:rPr>
                <w:color w:val="000000"/>
                <w:sz w:val="24"/>
              </w:rPr>
              <w:t>贴现国债</w:t>
            </w:r>
            <w:r>
              <w:rPr>
                <w:color w:val="000000"/>
                <w:sz w:val="24"/>
              </w:rPr>
              <w:t>44</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9,952,949.96</w:t>
            </w:r>
          </w:p>
        </w:tc>
        <w:tc>
          <w:tcPr>
            <w:tcW w:w="0" w:type="auto"/>
            <w:vAlign w:val="center"/>
          </w:tcPr>
          <w:p w:rsidR="000D6BEE" w:rsidRDefault="00571278">
            <w:pPr>
              <w:jc w:val="right"/>
            </w:pPr>
            <w:r>
              <w:rPr>
                <w:color w:val="000000"/>
                <w:sz w:val="24"/>
              </w:rPr>
              <w:t>2.50</w:t>
            </w:r>
          </w:p>
        </w:tc>
      </w:tr>
      <w:tr w:rsidR="000D6BEE">
        <w:trPr>
          <w:jc w:val="center"/>
        </w:trPr>
        <w:tc>
          <w:tcPr>
            <w:tcW w:w="0" w:type="auto"/>
            <w:vAlign w:val="center"/>
          </w:tcPr>
          <w:p w:rsidR="000D6BEE" w:rsidRDefault="00571278">
            <w:pPr>
              <w:jc w:val="center"/>
            </w:pPr>
            <w:r>
              <w:rPr>
                <w:color w:val="000000"/>
                <w:sz w:val="24"/>
              </w:rPr>
              <w:t>8</w:t>
            </w:r>
          </w:p>
        </w:tc>
        <w:tc>
          <w:tcPr>
            <w:tcW w:w="0" w:type="auto"/>
            <w:vAlign w:val="center"/>
          </w:tcPr>
          <w:p w:rsidR="000D6BEE" w:rsidRDefault="00571278">
            <w:pPr>
              <w:jc w:val="center"/>
            </w:pPr>
            <w:r>
              <w:rPr>
                <w:color w:val="000000"/>
                <w:sz w:val="24"/>
              </w:rPr>
              <w:t>209945</w:t>
            </w:r>
          </w:p>
        </w:tc>
        <w:tc>
          <w:tcPr>
            <w:tcW w:w="0" w:type="auto"/>
            <w:vAlign w:val="center"/>
          </w:tcPr>
          <w:p w:rsidR="000D6BEE" w:rsidRDefault="00571278">
            <w:pPr>
              <w:jc w:val="center"/>
            </w:pPr>
            <w:r>
              <w:rPr>
                <w:color w:val="000000"/>
                <w:sz w:val="24"/>
              </w:rPr>
              <w:t>20</w:t>
            </w:r>
            <w:r>
              <w:rPr>
                <w:color w:val="000000"/>
                <w:sz w:val="24"/>
              </w:rPr>
              <w:t>贴现国债</w:t>
            </w:r>
            <w:r>
              <w:rPr>
                <w:color w:val="000000"/>
                <w:sz w:val="24"/>
              </w:rPr>
              <w:t>45</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9,951,589.62</w:t>
            </w:r>
          </w:p>
        </w:tc>
        <w:tc>
          <w:tcPr>
            <w:tcW w:w="0" w:type="auto"/>
            <w:vAlign w:val="center"/>
          </w:tcPr>
          <w:p w:rsidR="000D6BEE" w:rsidRDefault="00571278">
            <w:pPr>
              <w:jc w:val="right"/>
            </w:pPr>
            <w:r>
              <w:rPr>
                <w:color w:val="000000"/>
                <w:sz w:val="24"/>
              </w:rPr>
              <w:t>2.50</w:t>
            </w:r>
          </w:p>
        </w:tc>
      </w:tr>
      <w:tr w:rsidR="000D6BEE">
        <w:trPr>
          <w:jc w:val="center"/>
        </w:trPr>
        <w:tc>
          <w:tcPr>
            <w:tcW w:w="0" w:type="auto"/>
            <w:vAlign w:val="center"/>
          </w:tcPr>
          <w:p w:rsidR="000D6BEE" w:rsidRDefault="00571278">
            <w:pPr>
              <w:jc w:val="center"/>
            </w:pPr>
            <w:r>
              <w:rPr>
                <w:color w:val="000000"/>
                <w:sz w:val="24"/>
              </w:rPr>
              <w:t>9</w:t>
            </w:r>
          </w:p>
        </w:tc>
        <w:tc>
          <w:tcPr>
            <w:tcW w:w="0" w:type="auto"/>
            <w:vAlign w:val="center"/>
          </w:tcPr>
          <w:p w:rsidR="000D6BEE" w:rsidRDefault="00571278">
            <w:pPr>
              <w:jc w:val="center"/>
            </w:pPr>
            <w:r>
              <w:rPr>
                <w:color w:val="000000"/>
                <w:sz w:val="24"/>
              </w:rPr>
              <w:t>2003666</w:t>
            </w:r>
          </w:p>
        </w:tc>
        <w:tc>
          <w:tcPr>
            <w:tcW w:w="0" w:type="auto"/>
            <w:vAlign w:val="center"/>
          </w:tcPr>
          <w:p w:rsidR="000D6BEE" w:rsidRDefault="00571278">
            <w:pPr>
              <w:jc w:val="center"/>
            </w:pPr>
            <w:r>
              <w:rPr>
                <w:color w:val="000000"/>
                <w:sz w:val="24"/>
              </w:rPr>
              <w:t>20</w:t>
            </w:r>
            <w:r>
              <w:rPr>
                <w:color w:val="000000"/>
                <w:sz w:val="24"/>
              </w:rPr>
              <w:t>进出</w:t>
            </w:r>
            <w:r>
              <w:rPr>
                <w:color w:val="000000"/>
                <w:sz w:val="24"/>
              </w:rPr>
              <w:t>666</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9,951,070.85</w:t>
            </w:r>
          </w:p>
        </w:tc>
        <w:tc>
          <w:tcPr>
            <w:tcW w:w="0" w:type="auto"/>
            <w:vAlign w:val="center"/>
          </w:tcPr>
          <w:p w:rsidR="000D6BEE" w:rsidRDefault="00571278">
            <w:pPr>
              <w:jc w:val="right"/>
            </w:pPr>
            <w:r>
              <w:rPr>
                <w:color w:val="000000"/>
                <w:sz w:val="24"/>
              </w:rPr>
              <w:t>2.50</w:t>
            </w:r>
          </w:p>
        </w:tc>
      </w:tr>
      <w:tr w:rsidR="000D6BEE">
        <w:trPr>
          <w:jc w:val="center"/>
        </w:trPr>
        <w:tc>
          <w:tcPr>
            <w:tcW w:w="0" w:type="auto"/>
            <w:vAlign w:val="center"/>
          </w:tcPr>
          <w:p w:rsidR="000D6BEE" w:rsidRDefault="00571278">
            <w:pPr>
              <w:jc w:val="center"/>
            </w:pPr>
            <w:r>
              <w:rPr>
                <w:color w:val="000000"/>
                <w:sz w:val="24"/>
              </w:rPr>
              <w:t>10</w:t>
            </w:r>
          </w:p>
        </w:tc>
        <w:tc>
          <w:tcPr>
            <w:tcW w:w="0" w:type="auto"/>
            <w:vAlign w:val="center"/>
          </w:tcPr>
          <w:p w:rsidR="000D6BEE" w:rsidRDefault="00571278">
            <w:pPr>
              <w:jc w:val="center"/>
            </w:pPr>
            <w:r>
              <w:rPr>
                <w:color w:val="000000"/>
                <w:sz w:val="24"/>
              </w:rPr>
              <w:t>112094977</w:t>
            </w:r>
          </w:p>
        </w:tc>
        <w:tc>
          <w:tcPr>
            <w:tcW w:w="0" w:type="auto"/>
            <w:vAlign w:val="center"/>
          </w:tcPr>
          <w:p w:rsidR="000D6BEE" w:rsidRDefault="00571278">
            <w:pPr>
              <w:jc w:val="center"/>
            </w:pPr>
            <w:r>
              <w:rPr>
                <w:color w:val="000000"/>
                <w:sz w:val="24"/>
              </w:rPr>
              <w:t>20</w:t>
            </w:r>
            <w:r>
              <w:rPr>
                <w:color w:val="000000"/>
                <w:sz w:val="24"/>
              </w:rPr>
              <w:t>广州农村商业银行</w:t>
            </w:r>
            <w:r>
              <w:rPr>
                <w:color w:val="000000"/>
                <w:sz w:val="24"/>
              </w:rPr>
              <w:t>CD039</w:t>
            </w:r>
          </w:p>
        </w:tc>
        <w:tc>
          <w:tcPr>
            <w:tcW w:w="0" w:type="auto"/>
            <w:vAlign w:val="center"/>
          </w:tcPr>
          <w:p w:rsidR="000D6BEE" w:rsidRDefault="00571278">
            <w:pPr>
              <w:jc w:val="right"/>
            </w:pPr>
            <w:r>
              <w:rPr>
                <w:color w:val="000000"/>
                <w:sz w:val="24"/>
              </w:rPr>
              <w:t>100,000</w:t>
            </w:r>
          </w:p>
        </w:tc>
        <w:tc>
          <w:tcPr>
            <w:tcW w:w="0" w:type="auto"/>
            <w:vAlign w:val="center"/>
          </w:tcPr>
          <w:p w:rsidR="000D6BEE" w:rsidRDefault="00571278">
            <w:pPr>
              <w:jc w:val="right"/>
            </w:pPr>
            <w:r>
              <w:rPr>
                <w:color w:val="000000"/>
                <w:sz w:val="24"/>
              </w:rPr>
              <w:t>9,949,947.93</w:t>
            </w:r>
          </w:p>
        </w:tc>
        <w:tc>
          <w:tcPr>
            <w:tcW w:w="0" w:type="auto"/>
            <w:vAlign w:val="center"/>
          </w:tcPr>
          <w:p w:rsidR="000D6BEE" w:rsidRDefault="00571278">
            <w:pPr>
              <w:jc w:val="right"/>
            </w:pPr>
            <w:r>
              <w:rPr>
                <w:color w:val="000000"/>
                <w:sz w:val="24"/>
              </w:rPr>
              <w:t>2.50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0.0201%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-0.0247%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0.0158%</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r w:rsidR="00615DAC" w:rsidRPr="00615DAC">
        <w:rPr>
          <w:rFonts w:hAnsi="宋体" w:hint="eastAsia"/>
          <w:b/>
          <w:color w:val="000000"/>
          <w:kern w:val="0"/>
          <w:sz w:val="24"/>
        </w:rPr>
        <w:t>摊余成本</w:t>
      </w:r>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57325" w:rsidRPr="00D57325" w:rsidRDefault="00D57325" w:rsidP="00281564">
      <w:pPr>
        <w:autoSpaceDE w:val="0"/>
        <w:autoSpaceDN w:val="0"/>
        <w:adjustRightInd w:val="0"/>
        <w:spacing w:before="29" w:line="288" w:lineRule="auto"/>
        <w:jc w:val="left"/>
        <w:rPr>
          <w:color w:val="00000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170.45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577,463.89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1,658,616.24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2,236,250.58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229,962,253.00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175,352,893.92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209,326,608.61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238,526,744.67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214,626,572.59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240,401,229.61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224,662,289.02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173,478,408.98</w:t>
            </w:r>
          </w:p>
        </w:tc>
      </w:tr>
    </w:tbl>
    <w:p w:rsidR="000D6BEE" w:rsidRDefault="0057127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0D6BEE" w:rsidRDefault="00571278">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D6BEE" w:rsidRDefault="00571278">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w:t>
      </w:r>
      <w:r>
        <w:rPr>
          <w:color w:val="000000"/>
          <w:sz w:val="24"/>
        </w:rPr>
        <w:t>0.00</w:t>
      </w:r>
      <w:r>
        <w:rPr>
          <w:color w:val="000000"/>
          <w:sz w:val="24"/>
        </w:rPr>
        <w:t>份，占本基金期末总份额的</w:t>
      </w:r>
      <w:r>
        <w:rPr>
          <w:color w:val="000000"/>
          <w:sz w:val="24"/>
        </w:rPr>
        <w:t>0.00%</w:t>
      </w:r>
      <w:r>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D6BEE" w:rsidRDefault="00571278">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0D6BEE" w:rsidRDefault="00571278">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0D6BEE" w:rsidRDefault="00571278">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0D6BEE" w:rsidRDefault="00571278">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0D6BEE" w:rsidRDefault="00571278">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0D6BEE" w:rsidRDefault="0057127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D6BEE" w:rsidRDefault="0057127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D6BEE" w:rsidRDefault="0057127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4D" w:rsidRDefault="007E3F4D">
      <w:r>
        <w:separator/>
      </w:r>
    </w:p>
  </w:endnote>
  <w:endnote w:type="continuationSeparator" w:id="0">
    <w:p w:rsidR="007E3F4D" w:rsidRDefault="007E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20195">
      <w:rPr>
        <w:noProof/>
        <w:kern w:val="0"/>
        <w:szCs w:val="21"/>
      </w:rPr>
      <w:t>6</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F20195">
      <w:rPr>
        <w:noProof/>
        <w:kern w:val="0"/>
        <w:szCs w:val="21"/>
      </w:rPr>
      <w:t>14</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4D" w:rsidRDefault="007E3F4D">
      <w:r>
        <w:separator/>
      </w:r>
    </w:p>
  </w:footnote>
  <w:footnote w:type="continuationSeparator" w:id="0">
    <w:p w:rsidR="007E3F4D" w:rsidRDefault="007E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交银施罗德货币市场证券投资基金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219C6"/>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D6BEE"/>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1278"/>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E3F4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57325"/>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0195"/>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46F0CA-3A54-4C30-975A-3D1E3F52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14</Pages>
  <Words>1240</Words>
  <Characters>7071</Characters>
  <Application>Microsoft Office Word</Application>
  <DocSecurity>0</DocSecurity>
  <Lines>58</Lines>
  <Paragraphs>16</Paragraphs>
  <ScaleCrop>false</ScaleCrop>
  <Company>jysld</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340</cp:revision>
  <cp:lastPrinted>2009-01-22T10:11:00Z</cp:lastPrinted>
  <dcterms:created xsi:type="dcterms:W3CDTF">2012-11-21T05:49:00Z</dcterms:created>
  <dcterms:modified xsi:type="dcterms:W3CDTF">2020-10-26T02:50:00Z</dcterms:modified>
</cp:coreProperties>
</file>