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交银施罗德科锐科技创新混合型证券投资基金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60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60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345EA6" w:rsidRDefault="00756E0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345EA6" w:rsidRDefault="00756E0F">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45EA6" w:rsidRDefault="00756E0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45EA6" w:rsidRDefault="00756E0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45EA6" w:rsidRDefault="00756E0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20</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9247F"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603" w:history="1">
        <w:r w:rsidR="0049247F" w:rsidRPr="00AF7B0C">
          <w:rPr>
            <w:rStyle w:val="a8"/>
            <w:b/>
            <w:bCs/>
            <w:noProof/>
          </w:rPr>
          <w:t xml:space="preserve">§1  </w:t>
        </w:r>
        <w:r w:rsidR="0049247F" w:rsidRPr="00AF7B0C">
          <w:rPr>
            <w:rStyle w:val="a8"/>
            <w:rFonts w:hint="eastAsia"/>
            <w:b/>
            <w:bCs/>
            <w:noProof/>
          </w:rPr>
          <w:t>重要提示及目录</w:t>
        </w:r>
        <w:r w:rsidR="0049247F">
          <w:rPr>
            <w:noProof/>
            <w:webHidden/>
          </w:rPr>
          <w:tab/>
        </w:r>
        <w:r w:rsidR="0049247F">
          <w:rPr>
            <w:noProof/>
            <w:webHidden/>
          </w:rPr>
          <w:fldChar w:fldCharType="begin"/>
        </w:r>
        <w:r w:rsidR="0049247F">
          <w:rPr>
            <w:noProof/>
            <w:webHidden/>
          </w:rPr>
          <w:instrText xml:space="preserve"> PAGEREF _Toc49271603 \h </w:instrText>
        </w:r>
        <w:r w:rsidR="0049247F">
          <w:rPr>
            <w:noProof/>
            <w:webHidden/>
          </w:rPr>
        </w:r>
        <w:r w:rsidR="0049247F">
          <w:rPr>
            <w:noProof/>
            <w:webHidden/>
          </w:rPr>
          <w:fldChar w:fldCharType="separate"/>
        </w:r>
        <w:r w:rsidR="0049247F">
          <w:rPr>
            <w:noProof/>
            <w:webHidden/>
          </w:rPr>
          <w:t>2</w:t>
        </w:r>
        <w:r w:rsidR="0049247F">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04" w:history="1">
        <w:r w:rsidRPr="00AF7B0C">
          <w:rPr>
            <w:rStyle w:val="a8"/>
            <w:noProof/>
          </w:rPr>
          <w:t xml:space="preserve">1.1 </w:t>
        </w:r>
        <w:r w:rsidRPr="00AF7B0C">
          <w:rPr>
            <w:rStyle w:val="a8"/>
            <w:rFonts w:hint="eastAsia"/>
            <w:noProof/>
          </w:rPr>
          <w:t>重要提示</w:t>
        </w:r>
        <w:r>
          <w:rPr>
            <w:noProof/>
            <w:webHidden/>
          </w:rPr>
          <w:tab/>
        </w:r>
        <w:r>
          <w:rPr>
            <w:noProof/>
            <w:webHidden/>
          </w:rPr>
          <w:fldChar w:fldCharType="begin"/>
        </w:r>
        <w:r>
          <w:rPr>
            <w:noProof/>
            <w:webHidden/>
          </w:rPr>
          <w:instrText xml:space="preserve"> PAGEREF _Toc49271604 \h </w:instrText>
        </w:r>
        <w:r>
          <w:rPr>
            <w:noProof/>
            <w:webHidden/>
          </w:rPr>
        </w:r>
        <w:r>
          <w:rPr>
            <w:noProof/>
            <w:webHidden/>
          </w:rPr>
          <w:fldChar w:fldCharType="separate"/>
        </w:r>
        <w:r>
          <w:rPr>
            <w:noProof/>
            <w:webHidden/>
          </w:rPr>
          <w:t>2</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05" w:history="1">
        <w:r w:rsidRPr="00AF7B0C">
          <w:rPr>
            <w:rStyle w:val="a8"/>
            <w:b/>
            <w:bCs/>
            <w:noProof/>
          </w:rPr>
          <w:t xml:space="preserve">§2  </w:t>
        </w:r>
        <w:r w:rsidRPr="00AF7B0C">
          <w:rPr>
            <w:rStyle w:val="a8"/>
            <w:rFonts w:hint="eastAsia"/>
            <w:b/>
            <w:bCs/>
            <w:noProof/>
          </w:rPr>
          <w:t>基金简介</w:t>
        </w:r>
        <w:r>
          <w:rPr>
            <w:noProof/>
            <w:webHidden/>
          </w:rPr>
          <w:tab/>
        </w:r>
        <w:r>
          <w:rPr>
            <w:noProof/>
            <w:webHidden/>
          </w:rPr>
          <w:fldChar w:fldCharType="begin"/>
        </w:r>
        <w:r>
          <w:rPr>
            <w:noProof/>
            <w:webHidden/>
          </w:rPr>
          <w:instrText xml:space="preserve"> PAGEREF _Toc49271605 \h </w:instrText>
        </w:r>
        <w:r>
          <w:rPr>
            <w:noProof/>
            <w:webHidden/>
          </w:rPr>
        </w:r>
        <w:r>
          <w:rPr>
            <w:noProof/>
            <w:webHidden/>
          </w:rPr>
          <w:fldChar w:fldCharType="separate"/>
        </w:r>
        <w:r>
          <w:rPr>
            <w:noProof/>
            <w:webHidden/>
          </w:rPr>
          <w:t>5</w:t>
        </w:r>
        <w:r>
          <w:rPr>
            <w:noProof/>
            <w:webHidden/>
          </w:rPr>
          <w:fldChar w:fldCharType="end"/>
        </w:r>
      </w:hyperlink>
    </w:p>
    <w:p w:rsidR="0049247F" w:rsidRDefault="0049247F">
      <w:pPr>
        <w:pStyle w:val="22"/>
        <w:tabs>
          <w:tab w:val="left" w:pos="1050"/>
        </w:tabs>
        <w:rPr>
          <w:rFonts w:asciiTheme="minorHAnsi" w:eastAsiaTheme="minorEastAsia" w:hAnsiTheme="minorHAnsi" w:cstheme="minorBidi"/>
          <w:noProof/>
          <w:kern w:val="2"/>
          <w:szCs w:val="22"/>
        </w:rPr>
      </w:pPr>
      <w:hyperlink w:anchor="_Toc49271606" w:history="1">
        <w:r w:rsidRPr="00AF7B0C">
          <w:rPr>
            <w:rStyle w:val="a8"/>
            <w:noProof/>
          </w:rPr>
          <w:t>2.1</w:t>
        </w:r>
        <w:r>
          <w:rPr>
            <w:rFonts w:asciiTheme="minorHAnsi" w:eastAsiaTheme="minorEastAsia" w:hAnsiTheme="minorHAnsi" w:cstheme="minorBidi"/>
            <w:noProof/>
            <w:kern w:val="2"/>
            <w:szCs w:val="22"/>
          </w:rPr>
          <w:tab/>
        </w:r>
        <w:r w:rsidRPr="00AF7B0C">
          <w:rPr>
            <w:rStyle w:val="a8"/>
            <w:rFonts w:hint="eastAsia"/>
            <w:noProof/>
          </w:rPr>
          <w:t>基金基本情况</w:t>
        </w:r>
        <w:r>
          <w:rPr>
            <w:noProof/>
            <w:webHidden/>
          </w:rPr>
          <w:tab/>
        </w:r>
        <w:r>
          <w:rPr>
            <w:noProof/>
            <w:webHidden/>
          </w:rPr>
          <w:fldChar w:fldCharType="begin"/>
        </w:r>
        <w:r>
          <w:rPr>
            <w:noProof/>
            <w:webHidden/>
          </w:rPr>
          <w:instrText xml:space="preserve"> PAGEREF _Toc49271606 \h </w:instrText>
        </w:r>
        <w:r>
          <w:rPr>
            <w:noProof/>
            <w:webHidden/>
          </w:rPr>
        </w:r>
        <w:r>
          <w:rPr>
            <w:noProof/>
            <w:webHidden/>
          </w:rPr>
          <w:fldChar w:fldCharType="separate"/>
        </w:r>
        <w:r>
          <w:rPr>
            <w:noProof/>
            <w:webHidden/>
          </w:rPr>
          <w:t>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07" w:history="1">
        <w:r w:rsidRPr="00AF7B0C">
          <w:rPr>
            <w:rStyle w:val="a8"/>
            <w:noProof/>
          </w:rPr>
          <w:t xml:space="preserve">2.2 </w:t>
        </w:r>
        <w:r w:rsidRPr="00AF7B0C">
          <w:rPr>
            <w:rStyle w:val="a8"/>
            <w:rFonts w:hint="eastAsia"/>
            <w:noProof/>
          </w:rPr>
          <w:t>基金产品说明</w:t>
        </w:r>
        <w:r>
          <w:rPr>
            <w:noProof/>
            <w:webHidden/>
          </w:rPr>
          <w:tab/>
        </w:r>
        <w:r>
          <w:rPr>
            <w:noProof/>
            <w:webHidden/>
          </w:rPr>
          <w:fldChar w:fldCharType="begin"/>
        </w:r>
        <w:r>
          <w:rPr>
            <w:noProof/>
            <w:webHidden/>
          </w:rPr>
          <w:instrText xml:space="preserve"> PAGEREF _Toc49271607 \h </w:instrText>
        </w:r>
        <w:r>
          <w:rPr>
            <w:noProof/>
            <w:webHidden/>
          </w:rPr>
        </w:r>
        <w:r>
          <w:rPr>
            <w:noProof/>
            <w:webHidden/>
          </w:rPr>
          <w:fldChar w:fldCharType="separate"/>
        </w:r>
        <w:r>
          <w:rPr>
            <w:noProof/>
            <w:webHidden/>
          </w:rPr>
          <w:t>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08" w:history="1">
        <w:r w:rsidRPr="00AF7B0C">
          <w:rPr>
            <w:rStyle w:val="a8"/>
            <w:noProof/>
          </w:rPr>
          <w:t xml:space="preserve">2.3 </w:t>
        </w:r>
        <w:r w:rsidRPr="00AF7B0C">
          <w:rPr>
            <w:rStyle w:val="a8"/>
            <w:rFonts w:hint="eastAsia"/>
            <w:noProof/>
          </w:rPr>
          <w:t>基金管理人和基金托管人</w:t>
        </w:r>
        <w:r>
          <w:rPr>
            <w:noProof/>
            <w:webHidden/>
          </w:rPr>
          <w:tab/>
        </w:r>
        <w:r>
          <w:rPr>
            <w:noProof/>
            <w:webHidden/>
          </w:rPr>
          <w:fldChar w:fldCharType="begin"/>
        </w:r>
        <w:r>
          <w:rPr>
            <w:noProof/>
            <w:webHidden/>
          </w:rPr>
          <w:instrText xml:space="preserve"> PAGEREF _Toc49271608 \h </w:instrText>
        </w:r>
        <w:r>
          <w:rPr>
            <w:noProof/>
            <w:webHidden/>
          </w:rPr>
        </w:r>
        <w:r>
          <w:rPr>
            <w:noProof/>
            <w:webHidden/>
          </w:rPr>
          <w:fldChar w:fldCharType="separate"/>
        </w:r>
        <w:r>
          <w:rPr>
            <w:noProof/>
            <w:webHidden/>
          </w:rPr>
          <w:t>6</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09" w:history="1">
        <w:r w:rsidRPr="00AF7B0C">
          <w:rPr>
            <w:rStyle w:val="a8"/>
            <w:noProof/>
          </w:rPr>
          <w:t xml:space="preserve">2.4 </w:t>
        </w:r>
        <w:r w:rsidRPr="00AF7B0C">
          <w:rPr>
            <w:rStyle w:val="a8"/>
            <w:rFonts w:hint="eastAsia"/>
            <w:noProof/>
          </w:rPr>
          <w:t>信息披露方式</w:t>
        </w:r>
        <w:r>
          <w:rPr>
            <w:noProof/>
            <w:webHidden/>
          </w:rPr>
          <w:tab/>
        </w:r>
        <w:r>
          <w:rPr>
            <w:noProof/>
            <w:webHidden/>
          </w:rPr>
          <w:fldChar w:fldCharType="begin"/>
        </w:r>
        <w:r>
          <w:rPr>
            <w:noProof/>
            <w:webHidden/>
          </w:rPr>
          <w:instrText xml:space="preserve"> PAGEREF _Toc49271609 \h </w:instrText>
        </w:r>
        <w:r>
          <w:rPr>
            <w:noProof/>
            <w:webHidden/>
          </w:rPr>
        </w:r>
        <w:r>
          <w:rPr>
            <w:noProof/>
            <w:webHidden/>
          </w:rPr>
          <w:fldChar w:fldCharType="separate"/>
        </w:r>
        <w:r>
          <w:rPr>
            <w:noProof/>
            <w:webHidden/>
          </w:rPr>
          <w:t>6</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0" w:history="1">
        <w:r w:rsidRPr="00AF7B0C">
          <w:rPr>
            <w:rStyle w:val="a8"/>
            <w:noProof/>
          </w:rPr>
          <w:t xml:space="preserve">2.5 </w:t>
        </w:r>
        <w:r w:rsidRPr="00AF7B0C">
          <w:rPr>
            <w:rStyle w:val="a8"/>
            <w:rFonts w:hint="eastAsia"/>
            <w:noProof/>
          </w:rPr>
          <w:t>其他相关资料</w:t>
        </w:r>
        <w:r>
          <w:rPr>
            <w:noProof/>
            <w:webHidden/>
          </w:rPr>
          <w:tab/>
        </w:r>
        <w:r>
          <w:rPr>
            <w:noProof/>
            <w:webHidden/>
          </w:rPr>
          <w:fldChar w:fldCharType="begin"/>
        </w:r>
        <w:r>
          <w:rPr>
            <w:noProof/>
            <w:webHidden/>
          </w:rPr>
          <w:instrText xml:space="preserve"> PAGEREF _Toc49271610 \h </w:instrText>
        </w:r>
        <w:r>
          <w:rPr>
            <w:noProof/>
            <w:webHidden/>
          </w:rPr>
        </w:r>
        <w:r>
          <w:rPr>
            <w:noProof/>
            <w:webHidden/>
          </w:rPr>
          <w:fldChar w:fldCharType="separate"/>
        </w:r>
        <w:r>
          <w:rPr>
            <w:noProof/>
            <w:webHidden/>
          </w:rPr>
          <w:t>6</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11" w:history="1">
        <w:r w:rsidRPr="00AF7B0C">
          <w:rPr>
            <w:rStyle w:val="a8"/>
            <w:b/>
            <w:bCs/>
            <w:noProof/>
          </w:rPr>
          <w:t xml:space="preserve">§3  </w:t>
        </w:r>
        <w:r w:rsidRPr="00AF7B0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_Toc49271611 \h </w:instrText>
        </w:r>
        <w:r>
          <w:rPr>
            <w:noProof/>
            <w:webHidden/>
          </w:rPr>
        </w:r>
        <w:r>
          <w:rPr>
            <w:noProof/>
            <w:webHidden/>
          </w:rPr>
          <w:fldChar w:fldCharType="separate"/>
        </w:r>
        <w:r>
          <w:rPr>
            <w:noProof/>
            <w:webHidden/>
          </w:rPr>
          <w:t>6</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2" w:history="1">
        <w:r w:rsidRPr="00AF7B0C">
          <w:rPr>
            <w:rStyle w:val="a8"/>
            <w:noProof/>
          </w:rPr>
          <w:t xml:space="preserve">3.1 </w:t>
        </w:r>
        <w:r w:rsidRPr="00AF7B0C">
          <w:rPr>
            <w:rStyle w:val="a8"/>
            <w:rFonts w:hint="eastAsia"/>
            <w:noProof/>
          </w:rPr>
          <w:t>主要会计数据和财务指标</w:t>
        </w:r>
        <w:r>
          <w:rPr>
            <w:noProof/>
            <w:webHidden/>
          </w:rPr>
          <w:tab/>
        </w:r>
        <w:r>
          <w:rPr>
            <w:noProof/>
            <w:webHidden/>
          </w:rPr>
          <w:fldChar w:fldCharType="begin"/>
        </w:r>
        <w:r>
          <w:rPr>
            <w:noProof/>
            <w:webHidden/>
          </w:rPr>
          <w:instrText xml:space="preserve"> PAGEREF _Toc49271612 \h </w:instrText>
        </w:r>
        <w:r>
          <w:rPr>
            <w:noProof/>
            <w:webHidden/>
          </w:rPr>
        </w:r>
        <w:r>
          <w:rPr>
            <w:noProof/>
            <w:webHidden/>
          </w:rPr>
          <w:fldChar w:fldCharType="separate"/>
        </w:r>
        <w:r>
          <w:rPr>
            <w:noProof/>
            <w:webHidden/>
          </w:rPr>
          <w:t>6</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3" w:history="1">
        <w:r w:rsidRPr="00AF7B0C">
          <w:rPr>
            <w:rStyle w:val="a8"/>
            <w:noProof/>
          </w:rPr>
          <w:t xml:space="preserve">3.2 </w:t>
        </w:r>
        <w:r w:rsidRPr="00AF7B0C">
          <w:rPr>
            <w:rStyle w:val="a8"/>
            <w:rFonts w:hint="eastAsia"/>
            <w:noProof/>
          </w:rPr>
          <w:t>基金净值表现</w:t>
        </w:r>
        <w:r>
          <w:rPr>
            <w:noProof/>
            <w:webHidden/>
          </w:rPr>
          <w:tab/>
        </w:r>
        <w:r>
          <w:rPr>
            <w:noProof/>
            <w:webHidden/>
          </w:rPr>
          <w:fldChar w:fldCharType="begin"/>
        </w:r>
        <w:r>
          <w:rPr>
            <w:noProof/>
            <w:webHidden/>
          </w:rPr>
          <w:instrText xml:space="preserve"> PAGEREF _Toc49271613 \h </w:instrText>
        </w:r>
        <w:r>
          <w:rPr>
            <w:noProof/>
            <w:webHidden/>
          </w:rPr>
        </w:r>
        <w:r>
          <w:rPr>
            <w:noProof/>
            <w:webHidden/>
          </w:rPr>
          <w:fldChar w:fldCharType="separate"/>
        </w:r>
        <w:r>
          <w:rPr>
            <w:noProof/>
            <w:webHidden/>
          </w:rPr>
          <w:t>7</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14" w:history="1">
        <w:r w:rsidRPr="00AF7B0C">
          <w:rPr>
            <w:rStyle w:val="a8"/>
            <w:b/>
            <w:bCs/>
            <w:noProof/>
          </w:rPr>
          <w:t xml:space="preserve">§4  </w:t>
        </w:r>
        <w:r w:rsidRPr="00AF7B0C">
          <w:rPr>
            <w:rStyle w:val="a8"/>
            <w:rFonts w:hint="eastAsia"/>
            <w:b/>
            <w:bCs/>
            <w:noProof/>
          </w:rPr>
          <w:t>管理人报告</w:t>
        </w:r>
        <w:r>
          <w:rPr>
            <w:noProof/>
            <w:webHidden/>
          </w:rPr>
          <w:tab/>
        </w:r>
        <w:r>
          <w:rPr>
            <w:noProof/>
            <w:webHidden/>
          </w:rPr>
          <w:fldChar w:fldCharType="begin"/>
        </w:r>
        <w:r>
          <w:rPr>
            <w:noProof/>
            <w:webHidden/>
          </w:rPr>
          <w:instrText xml:space="preserve"> PAGEREF _Toc49271614 \h </w:instrText>
        </w:r>
        <w:r>
          <w:rPr>
            <w:noProof/>
            <w:webHidden/>
          </w:rPr>
        </w:r>
        <w:r>
          <w:rPr>
            <w:noProof/>
            <w:webHidden/>
          </w:rPr>
          <w:fldChar w:fldCharType="separate"/>
        </w:r>
        <w:r>
          <w:rPr>
            <w:noProof/>
            <w:webHidden/>
          </w:rPr>
          <w:t>8</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5" w:history="1">
        <w:r w:rsidRPr="00AF7B0C">
          <w:rPr>
            <w:rStyle w:val="a8"/>
            <w:noProof/>
          </w:rPr>
          <w:t xml:space="preserve">4.1 </w:t>
        </w:r>
        <w:r w:rsidRPr="00AF7B0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_Toc49271615 \h </w:instrText>
        </w:r>
        <w:r>
          <w:rPr>
            <w:noProof/>
            <w:webHidden/>
          </w:rPr>
        </w:r>
        <w:r>
          <w:rPr>
            <w:noProof/>
            <w:webHidden/>
          </w:rPr>
          <w:fldChar w:fldCharType="separate"/>
        </w:r>
        <w:r>
          <w:rPr>
            <w:noProof/>
            <w:webHidden/>
          </w:rPr>
          <w:t>8</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6" w:history="1">
        <w:r w:rsidRPr="00AF7B0C">
          <w:rPr>
            <w:rStyle w:val="a8"/>
            <w:noProof/>
          </w:rPr>
          <w:t xml:space="preserve">4.2 </w:t>
        </w:r>
        <w:r w:rsidRPr="00AF7B0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_Toc49271616 \h </w:instrText>
        </w:r>
        <w:r>
          <w:rPr>
            <w:noProof/>
            <w:webHidden/>
          </w:rPr>
        </w:r>
        <w:r>
          <w:rPr>
            <w:noProof/>
            <w:webHidden/>
          </w:rPr>
          <w:fldChar w:fldCharType="separate"/>
        </w:r>
        <w:r>
          <w:rPr>
            <w:noProof/>
            <w:webHidden/>
          </w:rPr>
          <w:t>9</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7" w:history="1">
        <w:r w:rsidRPr="00AF7B0C">
          <w:rPr>
            <w:rStyle w:val="a8"/>
            <w:noProof/>
          </w:rPr>
          <w:t xml:space="preserve">4.3 </w:t>
        </w:r>
        <w:r w:rsidRPr="00AF7B0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_Toc49271617 \h </w:instrText>
        </w:r>
        <w:r>
          <w:rPr>
            <w:noProof/>
            <w:webHidden/>
          </w:rPr>
        </w:r>
        <w:r>
          <w:rPr>
            <w:noProof/>
            <w:webHidden/>
          </w:rPr>
          <w:fldChar w:fldCharType="separate"/>
        </w:r>
        <w:r>
          <w:rPr>
            <w:noProof/>
            <w:webHidden/>
          </w:rPr>
          <w:t>9</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8" w:history="1">
        <w:r w:rsidRPr="00AF7B0C">
          <w:rPr>
            <w:rStyle w:val="a8"/>
            <w:noProof/>
          </w:rPr>
          <w:t xml:space="preserve">4.4 </w:t>
        </w:r>
        <w:r w:rsidRPr="00AF7B0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_Toc49271618 \h </w:instrText>
        </w:r>
        <w:r>
          <w:rPr>
            <w:noProof/>
            <w:webHidden/>
          </w:rPr>
        </w:r>
        <w:r>
          <w:rPr>
            <w:noProof/>
            <w:webHidden/>
          </w:rPr>
          <w:fldChar w:fldCharType="separate"/>
        </w:r>
        <w:r>
          <w:rPr>
            <w:noProof/>
            <w:webHidden/>
          </w:rPr>
          <w:t>10</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19" w:history="1">
        <w:r w:rsidRPr="00AF7B0C">
          <w:rPr>
            <w:rStyle w:val="a8"/>
            <w:noProof/>
          </w:rPr>
          <w:t xml:space="preserve">4.5 </w:t>
        </w:r>
        <w:r w:rsidRPr="00AF7B0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_Toc49271619 \h </w:instrText>
        </w:r>
        <w:r>
          <w:rPr>
            <w:noProof/>
            <w:webHidden/>
          </w:rPr>
        </w:r>
        <w:r>
          <w:rPr>
            <w:noProof/>
            <w:webHidden/>
          </w:rPr>
          <w:fldChar w:fldCharType="separate"/>
        </w:r>
        <w:r>
          <w:rPr>
            <w:noProof/>
            <w:webHidden/>
          </w:rPr>
          <w:t>10</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0" w:history="1">
        <w:r w:rsidRPr="00AF7B0C">
          <w:rPr>
            <w:rStyle w:val="a8"/>
            <w:noProof/>
          </w:rPr>
          <w:t xml:space="preserve">4.6 </w:t>
        </w:r>
        <w:r w:rsidRPr="00AF7B0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_Toc49271620 \h </w:instrText>
        </w:r>
        <w:r>
          <w:rPr>
            <w:noProof/>
            <w:webHidden/>
          </w:rPr>
        </w:r>
        <w:r>
          <w:rPr>
            <w:noProof/>
            <w:webHidden/>
          </w:rPr>
          <w:fldChar w:fldCharType="separate"/>
        </w:r>
        <w:r>
          <w:rPr>
            <w:noProof/>
            <w:webHidden/>
          </w:rPr>
          <w:t>10</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1" w:history="1">
        <w:r w:rsidRPr="00AF7B0C">
          <w:rPr>
            <w:rStyle w:val="a8"/>
            <w:noProof/>
          </w:rPr>
          <w:t xml:space="preserve">4.7 </w:t>
        </w:r>
        <w:r w:rsidRPr="00AF7B0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_Toc49271621 \h </w:instrText>
        </w:r>
        <w:r>
          <w:rPr>
            <w:noProof/>
            <w:webHidden/>
          </w:rPr>
        </w:r>
        <w:r>
          <w:rPr>
            <w:noProof/>
            <w:webHidden/>
          </w:rPr>
          <w:fldChar w:fldCharType="separate"/>
        </w:r>
        <w:r>
          <w:rPr>
            <w:noProof/>
            <w:webHidden/>
          </w:rPr>
          <w:t>11</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2" w:history="1">
        <w:r w:rsidRPr="00AF7B0C">
          <w:rPr>
            <w:rStyle w:val="a8"/>
            <w:noProof/>
          </w:rPr>
          <w:t xml:space="preserve">4.8 </w:t>
        </w:r>
        <w:r w:rsidRPr="00AF7B0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_Toc49271622 \h </w:instrText>
        </w:r>
        <w:r>
          <w:rPr>
            <w:noProof/>
            <w:webHidden/>
          </w:rPr>
        </w:r>
        <w:r>
          <w:rPr>
            <w:noProof/>
            <w:webHidden/>
          </w:rPr>
          <w:fldChar w:fldCharType="separate"/>
        </w:r>
        <w:r>
          <w:rPr>
            <w:noProof/>
            <w:webHidden/>
          </w:rPr>
          <w:t>11</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23" w:history="1">
        <w:r w:rsidRPr="00AF7B0C">
          <w:rPr>
            <w:rStyle w:val="a8"/>
            <w:b/>
            <w:bCs/>
            <w:noProof/>
          </w:rPr>
          <w:t xml:space="preserve">§5  </w:t>
        </w:r>
        <w:r w:rsidRPr="00AF7B0C">
          <w:rPr>
            <w:rStyle w:val="a8"/>
            <w:rFonts w:hint="eastAsia"/>
            <w:b/>
            <w:bCs/>
            <w:noProof/>
          </w:rPr>
          <w:t>托管人报告</w:t>
        </w:r>
        <w:r>
          <w:rPr>
            <w:noProof/>
            <w:webHidden/>
          </w:rPr>
          <w:tab/>
        </w:r>
        <w:r>
          <w:rPr>
            <w:noProof/>
            <w:webHidden/>
          </w:rPr>
          <w:fldChar w:fldCharType="begin"/>
        </w:r>
        <w:r>
          <w:rPr>
            <w:noProof/>
            <w:webHidden/>
          </w:rPr>
          <w:instrText xml:space="preserve"> PAGEREF _Toc49271623 \h </w:instrText>
        </w:r>
        <w:r>
          <w:rPr>
            <w:noProof/>
            <w:webHidden/>
          </w:rPr>
        </w:r>
        <w:r>
          <w:rPr>
            <w:noProof/>
            <w:webHidden/>
          </w:rPr>
          <w:fldChar w:fldCharType="separate"/>
        </w:r>
        <w:r>
          <w:rPr>
            <w:noProof/>
            <w:webHidden/>
          </w:rPr>
          <w:t>11</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4" w:history="1">
        <w:r w:rsidRPr="00AF7B0C">
          <w:rPr>
            <w:rStyle w:val="a8"/>
            <w:noProof/>
          </w:rPr>
          <w:t xml:space="preserve">5.1 </w:t>
        </w:r>
        <w:r w:rsidRPr="00AF7B0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_Toc49271624 \h </w:instrText>
        </w:r>
        <w:r>
          <w:rPr>
            <w:noProof/>
            <w:webHidden/>
          </w:rPr>
        </w:r>
        <w:r>
          <w:rPr>
            <w:noProof/>
            <w:webHidden/>
          </w:rPr>
          <w:fldChar w:fldCharType="separate"/>
        </w:r>
        <w:r>
          <w:rPr>
            <w:noProof/>
            <w:webHidden/>
          </w:rPr>
          <w:t>11</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5" w:history="1">
        <w:r w:rsidRPr="00AF7B0C">
          <w:rPr>
            <w:rStyle w:val="a8"/>
            <w:noProof/>
          </w:rPr>
          <w:t xml:space="preserve">5.2 </w:t>
        </w:r>
        <w:r w:rsidRPr="00AF7B0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_Toc49271625 \h </w:instrText>
        </w:r>
        <w:r>
          <w:rPr>
            <w:noProof/>
            <w:webHidden/>
          </w:rPr>
        </w:r>
        <w:r>
          <w:rPr>
            <w:noProof/>
            <w:webHidden/>
          </w:rPr>
          <w:fldChar w:fldCharType="separate"/>
        </w:r>
        <w:r>
          <w:rPr>
            <w:noProof/>
            <w:webHidden/>
          </w:rPr>
          <w:t>11</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6" w:history="1">
        <w:r w:rsidRPr="00AF7B0C">
          <w:rPr>
            <w:rStyle w:val="a8"/>
            <w:noProof/>
          </w:rPr>
          <w:t xml:space="preserve">5.3 </w:t>
        </w:r>
        <w:r w:rsidRPr="00AF7B0C">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_Toc49271626 \h </w:instrText>
        </w:r>
        <w:r>
          <w:rPr>
            <w:noProof/>
            <w:webHidden/>
          </w:rPr>
        </w:r>
        <w:r>
          <w:rPr>
            <w:noProof/>
            <w:webHidden/>
          </w:rPr>
          <w:fldChar w:fldCharType="separate"/>
        </w:r>
        <w:r>
          <w:rPr>
            <w:noProof/>
            <w:webHidden/>
          </w:rPr>
          <w:t>11</w:t>
        </w:r>
        <w:r>
          <w:rPr>
            <w:noProof/>
            <w:webHidden/>
          </w:rPr>
          <w:fldChar w:fldCharType="end"/>
        </w:r>
      </w:hyperlink>
    </w:p>
    <w:p w:rsidR="0049247F" w:rsidRDefault="0049247F">
      <w:pPr>
        <w:pStyle w:val="11"/>
        <w:tabs>
          <w:tab w:val="left" w:pos="840"/>
        </w:tabs>
        <w:rPr>
          <w:rFonts w:asciiTheme="minorHAnsi" w:eastAsiaTheme="minorEastAsia" w:hAnsiTheme="minorHAnsi" w:cstheme="minorBidi"/>
          <w:noProof/>
          <w:szCs w:val="22"/>
        </w:rPr>
      </w:pPr>
      <w:hyperlink w:anchor="_Toc49271627" w:history="1">
        <w:r w:rsidRPr="00AF7B0C">
          <w:rPr>
            <w:rStyle w:val="a8"/>
            <w:b/>
            <w:bCs/>
            <w:noProof/>
          </w:rPr>
          <w:t>§6</w:t>
        </w:r>
        <w:r>
          <w:rPr>
            <w:rFonts w:asciiTheme="minorHAnsi" w:eastAsiaTheme="minorEastAsia" w:hAnsiTheme="minorHAnsi" w:cstheme="minorBidi"/>
            <w:noProof/>
            <w:szCs w:val="22"/>
          </w:rPr>
          <w:tab/>
        </w:r>
        <w:r w:rsidRPr="00AF7B0C">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_Toc49271627 \h </w:instrText>
        </w:r>
        <w:r>
          <w:rPr>
            <w:noProof/>
            <w:webHidden/>
          </w:rPr>
        </w:r>
        <w:r>
          <w:rPr>
            <w:noProof/>
            <w:webHidden/>
          </w:rPr>
          <w:fldChar w:fldCharType="separate"/>
        </w:r>
        <w:r>
          <w:rPr>
            <w:noProof/>
            <w:webHidden/>
          </w:rPr>
          <w:t>12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8" w:history="1">
        <w:r w:rsidRPr="00AF7B0C">
          <w:rPr>
            <w:rStyle w:val="a8"/>
            <w:noProof/>
          </w:rPr>
          <w:t xml:space="preserve">6.1 </w:t>
        </w:r>
        <w:r w:rsidRPr="00AF7B0C">
          <w:rPr>
            <w:rStyle w:val="a8"/>
            <w:rFonts w:hint="eastAsia"/>
            <w:noProof/>
          </w:rPr>
          <w:t>资产负债表</w:t>
        </w:r>
        <w:r>
          <w:rPr>
            <w:noProof/>
            <w:webHidden/>
          </w:rPr>
          <w:tab/>
        </w:r>
        <w:r>
          <w:rPr>
            <w:noProof/>
            <w:webHidden/>
          </w:rPr>
          <w:fldChar w:fldCharType="begin"/>
        </w:r>
        <w:r>
          <w:rPr>
            <w:noProof/>
            <w:webHidden/>
          </w:rPr>
          <w:instrText xml:space="preserve"> PAGEREF _Toc49271628 \h </w:instrText>
        </w:r>
        <w:r>
          <w:rPr>
            <w:noProof/>
            <w:webHidden/>
          </w:rPr>
        </w:r>
        <w:r>
          <w:rPr>
            <w:noProof/>
            <w:webHidden/>
          </w:rPr>
          <w:fldChar w:fldCharType="separate"/>
        </w:r>
        <w:r>
          <w:rPr>
            <w:noProof/>
            <w:webHidden/>
          </w:rPr>
          <w:t>12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29" w:history="1">
        <w:r w:rsidRPr="00AF7B0C">
          <w:rPr>
            <w:rStyle w:val="a8"/>
            <w:noProof/>
          </w:rPr>
          <w:t xml:space="preserve">6.2 </w:t>
        </w:r>
        <w:r w:rsidRPr="00AF7B0C">
          <w:rPr>
            <w:rStyle w:val="a8"/>
            <w:rFonts w:hint="eastAsia"/>
            <w:noProof/>
          </w:rPr>
          <w:t>利润表</w:t>
        </w:r>
        <w:r>
          <w:rPr>
            <w:noProof/>
            <w:webHidden/>
          </w:rPr>
          <w:tab/>
        </w:r>
        <w:r>
          <w:rPr>
            <w:noProof/>
            <w:webHidden/>
          </w:rPr>
          <w:fldChar w:fldCharType="begin"/>
        </w:r>
        <w:r>
          <w:rPr>
            <w:noProof/>
            <w:webHidden/>
          </w:rPr>
          <w:instrText xml:space="preserve"> PAGEREF _Toc49271629 \h </w:instrText>
        </w:r>
        <w:r>
          <w:rPr>
            <w:noProof/>
            <w:webHidden/>
          </w:rPr>
        </w:r>
        <w:r>
          <w:rPr>
            <w:noProof/>
            <w:webHidden/>
          </w:rPr>
          <w:fldChar w:fldCharType="separate"/>
        </w:r>
        <w:r>
          <w:rPr>
            <w:noProof/>
            <w:webHidden/>
          </w:rPr>
          <w:t>13</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0" w:history="1">
        <w:r w:rsidRPr="00AF7B0C">
          <w:rPr>
            <w:rStyle w:val="a8"/>
            <w:noProof/>
          </w:rPr>
          <w:t xml:space="preserve">6.3 </w:t>
        </w:r>
        <w:r w:rsidRPr="00AF7B0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_Toc49271630 \h </w:instrText>
        </w:r>
        <w:r>
          <w:rPr>
            <w:noProof/>
            <w:webHidden/>
          </w:rPr>
        </w:r>
        <w:r>
          <w:rPr>
            <w:noProof/>
            <w:webHidden/>
          </w:rPr>
          <w:fldChar w:fldCharType="separate"/>
        </w:r>
        <w:r>
          <w:rPr>
            <w:noProof/>
            <w:webHidden/>
          </w:rPr>
          <w:t>14</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1" w:history="1">
        <w:r w:rsidRPr="00AF7B0C">
          <w:rPr>
            <w:rStyle w:val="a8"/>
            <w:noProof/>
          </w:rPr>
          <w:t xml:space="preserve">6.4 </w:t>
        </w:r>
        <w:r w:rsidRPr="00AF7B0C">
          <w:rPr>
            <w:rStyle w:val="a8"/>
            <w:rFonts w:hint="eastAsia"/>
            <w:noProof/>
          </w:rPr>
          <w:t>报表附注</w:t>
        </w:r>
        <w:r>
          <w:rPr>
            <w:noProof/>
            <w:webHidden/>
          </w:rPr>
          <w:tab/>
        </w:r>
        <w:r>
          <w:rPr>
            <w:noProof/>
            <w:webHidden/>
          </w:rPr>
          <w:fldChar w:fldCharType="begin"/>
        </w:r>
        <w:r>
          <w:rPr>
            <w:noProof/>
            <w:webHidden/>
          </w:rPr>
          <w:instrText xml:space="preserve"> PAGEREF _Toc49271631 \h </w:instrText>
        </w:r>
        <w:r>
          <w:rPr>
            <w:noProof/>
            <w:webHidden/>
          </w:rPr>
        </w:r>
        <w:r>
          <w:rPr>
            <w:noProof/>
            <w:webHidden/>
          </w:rPr>
          <w:fldChar w:fldCharType="separate"/>
        </w:r>
        <w:r>
          <w:rPr>
            <w:noProof/>
            <w:webHidden/>
          </w:rPr>
          <w:t>15</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32" w:history="1">
        <w:r w:rsidRPr="00AF7B0C">
          <w:rPr>
            <w:rStyle w:val="a8"/>
            <w:b/>
            <w:bCs/>
            <w:noProof/>
          </w:rPr>
          <w:t xml:space="preserve">§7  </w:t>
        </w:r>
        <w:r w:rsidRPr="00AF7B0C">
          <w:rPr>
            <w:rStyle w:val="a8"/>
            <w:rFonts w:hint="eastAsia"/>
            <w:b/>
            <w:bCs/>
            <w:noProof/>
          </w:rPr>
          <w:t>投资组合报告</w:t>
        </w:r>
        <w:r>
          <w:rPr>
            <w:noProof/>
            <w:webHidden/>
          </w:rPr>
          <w:tab/>
        </w:r>
        <w:r>
          <w:rPr>
            <w:noProof/>
            <w:webHidden/>
          </w:rPr>
          <w:fldChar w:fldCharType="begin"/>
        </w:r>
        <w:r>
          <w:rPr>
            <w:noProof/>
            <w:webHidden/>
          </w:rPr>
          <w:instrText xml:space="preserve"> PAGEREF _Toc49271632 \h </w:instrText>
        </w:r>
        <w:r>
          <w:rPr>
            <w:noProof/>
            <w:webHidden/>
          </w:rPr>
        </w:r>
        <w:r>
          <w:rPr>
            <w:noProof/>
            <w:webHidden/>
          </w:rPr>
          <w:fldChar w:fldCharType="separate"/>
        </w:r>
        <w:r>
          <w:rPr>
            <w:noProof/>
            <w:webHidden/>
          </w:rPr>
          <w:t>35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3" w:history="1">
        <w:r w:rsidRPr="00AF7B0C">
          <w:rPr>
            <w:rStyle w:val="a8"/>
            <w:noProof/>
          </w:rPr>
          <w:t xml:space="preserve">7.1 </w:t>
        </w:r>
        <w:r w:rsidRPr="00AF7B0C">
          <w:rPr>
            <w:rStyle w:val="a8"/>
            <w:rFonts w:hint="eastAsia"/>
            <w:noProof/>
          </w:rPr>
          <w:t>期末基金资产组合情况</w:t>
        </w:r>
        <w:r>
          <w:rPr>
            <w:noProof/>
            <w:webHidden/>
          </w:rPr>
          <w:tab/>
        </w:r>
        <w:r>
          <w:rPr>
            <w:noProof/>
            <w:webHidden/>
          </w:rPr>
          <w:fldChar w:fldCharType="begin"/>
        </w:r>
        <w:r>
          <w:rPr>
            <w:noProof/>
            <w:webHidden/>
          </w:rPr>
          <w:instrText xml:space="preserve"> PAGEREF _Toc49271633 \h </w:instrText>
        </w:r>
        <w:r>
          <w:rPr>
            <w:noProof/>
            <w:webHidden/>
          </w:rPr>
        </w:r>
        <w:r>
          <w:rPr>
            <w:noProof/>
            <w:webHidden/>
          </w:rPr>
          <w:fldChar w:fldCharType="separate"/>
        </w:r>
        <w:r>
          <w:rPr>
            <w:noProof/>
            <w:webHidden/>
          </w:rPr>
          <w:t>35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4" w:history="1">
        <w:r w:rsidRPr="00AF7B0C">
          <w:rPr>
            <w:rStyle w:val="a8"/>
            <w:noProof/>
          </w:rPr>
          <w:t xml:space="preserve">7.2 </w:t>
        </w:r>
        <w:r w:rsidRPr="00AF7B0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_Toc49271634 \h </w:instrText>
        </w:r>
        <w:r>
          <w:rPr>
            <w:noProof/>
            <w:webHidden/>
          </w:rPr>
        </w:r>
        <w:r>
          <w:rPr>
            <w:noProof/>
            <w:webHidden/>
          </w:rPr>
          <w:fldChar w:fldCharType="separate"/>
        </w:r>
        <w:r>
          <w:rPr>
            <w:noProof/>
            <w:webHidden/>
          </w:rPr>
          <w:t>36</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7" w:history="1">
        <w:r w:rsidRPr="00AF7B0C">
          <w:rPr>
            <w:rStyle w:val="a8"/>
            <w:noProof/>
          </w:rPr>
          <w:t xml:space="preserve">7.3 </w:t>
        </w:r>
        <w:r w:rsidRPr="00AF7B0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_Toc49271637 \h </w:instrText>
        </w:r>
        <w:r>
          <w:rPr>
            <w:noProof/>
            <w:webHidden/>
          </w:rPr>
        </w:r>
        <w:r>
          <w:rPr>
            <w:noProof/>
            <w:webHidden/>
          </w:rPr>
          <w:fldChar w:fldCharType="separate"/>
        </w:r>
        <w:r>
          <w:rPr>
            <w:noProof/>
            <w:webHidden/>
          </w:rPr>
          <w:t>37</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8" w:history="1">
        <w:r w:rsidRPr="00AF7B0C">
          <w:rPr>
            <w:rStyle w:val="a8"/>
            <w:noProof/>
          </w:rPr>
          <w:t>7.4</w:t>
        </w:r>
        <w:r w:rsidRPr="00AF7B0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_Toc49271638 \h </w:instrText>
        </w:r>
        <w:r>
          <w:rPr>
            <w:noProof/>
            <w:webHidden/>
          </w:rPr>
        </w:r>
        <w:r>
          <w:rPr>
            <w:noProof/>
            <w:webHidden/>
          </w:rPr>
          <w:fldChar w:fldCharType="separate"/>
        </w:r>
        <w:r>
          <w:rPr>
            <w:noProof/>
            <w:webHidden/>
          </w:rPr>
          <w:t>39</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39" w:history="1">
        <w:r w:rsidRPr="00AF7B0C">
          <w:rPr>
            <w:rStyle w:val="a8"/>
            <w:noProof/>
          </w:rPr>
          <w:t xml:space="preserve">7.5 </w:t>
        </w:r>
        <w:r w:rsidRPr="00AF7B0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_Toc49271639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0" w:history="1">
        <w:r w:rsidRPr="00AF7B0C">
          <w:rPr>
            <w:rStyle w:val="a8"/>
            <w:noProof/>
          </w:rPr>
          <w:t>7.6</w:t>
        </w:r>
        <w:r w:rsidRPr="00AF7B0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_Toc49271640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1" w:history="1">
        <w:r w:rsidRPr="00AF7B0C">
          <w:rPr>
            <w:rStyle w:val="a8"/>
            <w:noProof/>
          </w:rPr>
          <w:t xml:space="preserve">7.7 </w:t>
        </w:r>
        <w:r w:rsidRPr="00AF7B0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_Toc49271641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2" w:history="1">
        <w:r w:rsidRPr="00AF7B0C">
          <w:rPr>
            <w:rStyle w:val="a8"/>
            <w:noProof/>
          </w:rPr>
          <w:t xml:space="preserve">7.8 </w:t>
        </w:r>
        <w:r w:rsidRPr="00AF7B0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_Toc49271642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3" w:history="1">
        <w:r w:rsidRPr="00AF7B0C">
          <w:rPr>
            <w:rStyle w:val="a8"/>
            <w:noProof/>
          </w:rPr>
          <w:t xml:space="preserve">7.9 </w:t>
        </w:r>
        <w:r w:rsidRPr="00AF7B0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_Toc49271643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4" w:history="1">
        <w:r w:rsidRPr="00AF7B0C">
          <w:rPr>
            <w:rStyle w:val="a8"/>
            <w:noProof/>
          </w:rPr>
          <w:t xml:space="preserve">7.10 </w:t>
        </w:r>
        <w:r w:rsidRPr="00AF7B0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_Toc49271644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5" w:history="1">
        <w:r w:rsidRPr="00AF7B0C">
          <w:rPr>
            <w:rStyle w:val="a8"/>
            <w:noProof/>
          </w:rPr>
          <w:t>7.11</w:t>
        </w:r>
        <w:r w:rsidRPr="00AF7B0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_Toc49271645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6" w:history="1">
        <w:r w:rsidRPr="00AF7B0C">
          <w:rPr>
            <w:rStyle w:val="a8"/>
            <w:noProof/>
          </w:rPr>
          <w:t xml:space="preserve">7.12 </w:t>
        </w:r>
        <w:r w:rsidRPr="00AF7B0C">
          <w:rPr>
            <w:rStyle w:val="a8"/>
            <w:rFonts w:hint="eastAsia"/>
            <w:noProof/>
          </w:rPr>
          <w:t>投资组合报告附注</w:t>
        </w:r>
        <w:r>
          <w:rPr>
            <w:noProof/>
            <w:webHidden/>
          </w:rPr>
          <w:tab/>
        </w:r>
        <w:r>
          <w:rPr>
            <w:noProof/>
            <w:webHidden/>
          </w:rPr>
          <w:fldChar w:fldCharType="begin"/>
        </w:r>
        <w:r>
          <w:rPr>
            <w:noProof/>
            <w:webHidden/>
          </w:rPr>
          <w:instrText xml:space="preserve"> PAGEREF _Toc49271646 \h </w:instrText>
        </w:r>
        <w:r>
          <w:rPr>
            <w:noProof/>
            <w:webHidden/>
          </w:rPr>
        </w:r>
        <w:r>
          <w:rPr>
            <w:noProof/>
            <w:webHidden/>
          </w:rPr>
          <w:fldChar w:fldCharType="separate"/>
        </w:r>
        <w:r>
          <w:rPr>
            <w:noProof/>
            <w:webHidden/>
          </w:rPr>
          <w:t>42</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47" w:history="1">
        <w:r w:rsidRPr="00AF7B0C">
          <w:rPr>
            <w:rStyle w:val="a8"/>
            <w:b/>
            <w:bCs/>
            <w:noProof/>
          </w:rPr>
          <w:t xml:space="preserve">§8  </w:t>
        </w:r>
        <w:r w:rsidRPr="00AF7B0C">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_Toc49271647 \h </w:instrText>
        </w:r>
        <w:r>
          <w:rPr>
            <w:noProof/>
            <w:webHidden/>
          </w:rPr>
        </w:r>
        <w:r>
          <w:rPr>
            <w:noProof/>
            <w:webHidden/>
          </w:rPr>
          <w:fldChar w:fldCharType="separate"/>
        </w:r>
        <w:r>
          <w:rPr>
            <w:noProof/>
            <w:webHidden/>
          </w:rPr>
          <w:t>43</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8" w:history="1">
        <w:r w:rsidRPr="00AF7B0C">
          <w:rPr>
            <w:rStyle w:val="a8"/>
            <w:noProof/>
          </w:rPr>
          <w:t xml:space="preserve">8.1 </w:t>
        </w:r>
        <w:r w:rsidRPr="00AF7B0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_Toc49271648 \h </w:instrText>
        </w:r>
        <w:r>
          <w:rPr>
            <w:noProof/>
            <w:webHidden/>
          </w:rPr>
        </w:r>
        <w:r>
          <w:rPr>
            <w:noProof/>
            <w:webHidden/>
          </w:rPr>
          <w:fldChar w:fldCharType="separate"/>
        </w:r>
        <w:r>
          <w:rPr>
            <w:noProof/>
            <w:webHidden/>
          </w:rPr>
          <w:t>43</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49" w:history="1">
        <w:r w:rsidRPr="00AF7B0C">
          <w:rPr>
            <w:rStyle w:val="a8"/>
            <w:noProof/>
          </w:rPr>
          <w:t xml:space="preserve">8.2 </w:t>
        </w:r>
        <w:r w:rsidRPr="00AF7B0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_Toc49271649 \h </w:instrText>
        </w:r>
        <w:r>
          <w:rPr>
            <w:noProof/>
            <w:webHidden/>
          </w:rPr>
        </w:r>
        <w:r>
          <w:rPr>
            <w:noProof/>
            <w:webHidden/>
          </w:rPr>
          <w:fldChar w:fldCharType="separate"/>
        </w:r>
        <w:r>
          <w:rPr>
            <w:noProof/>
            <w:webHidden/>
          </w:rPr>
          <w:t>44</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0" w:history="1">
        <w:r w:rsidRPr="00AF7B0C">
          <w:rPr>
            <w:rStyle w:val="a8"/>
            <w:noProof/>
          </w:rPr>
          <w:t>8.3</w:t>
        </w:r>
        <w:r w:rsidRPr="00AF7B0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_Toc49271650 \h </w:instrText>
        </w:r>
        <w:r>
          <w:rPr>
            <w:noProof/>
            <w:webHidden/>
          </w:rPr>
        </w:r>
        <w:r>
          <w:rPr>
            <w:noProof/>
            <w:webHidden/>
          </w:rPr>
          <w:fldChar w:fldCharType="separate"/>
        </w:r>
        <w:r>
          <w:rPr>
            <w:noProof/>
            <w:webHidden/>
          </w:rPr>
          <w:t>44</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51" w:history="1">
        <w:r w:rsidRPr="00AF7B0C">
          <w:rPr>
            <w:rStyle w:val="a8"/>
            <w:b/>
            <w:bCs/>
            <w:noProof/>
          </w:rPr>
          <w:t>§9</w:t>
        </w:r>
        <w:r w:rsidRPr="00AF7B0C">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_Toc49271651 \h </w:instrText>
        </w:r>
        <w:r>
          <w:rPr>
            <w:noProof/>
            <w:webHidden/>
          </w:rPr>
        </w:r>
        <w:r>
          <w:rPr>
            <w:noProof/>
            <w:webHidden/>
          </w:rPr>
          <w:fldChar w:fldCharType="separate"/>
        </w:r>
        <w:r>
          <w:rPr>
            <w:noProof/>
            <w:webHidden/>
          </w:rPr>
          <w:t>44</w:t>
        </w:r>
        <w:r>
          <w:rPr>
            <w:noProof/>
            <w:webHidden/>
          </w:rPr>
          <w:fldChar w:fldCharType="end"/>
        </w:r>
      </w:hyperlink>
    </w:p>
    <w:p w:rsidR="0049247F" w:rsidRDefault="0049247F">
      <w:pPr>
        <w:pStyle w:val="11"/>
        <w:rPr>
          <w:rFonts w:asciiTheme="minorHAnsi" w:eastAsiaTheme="minorEastAsia" w:hAnsiTheme="minorHAnsi" w:cstheme="minorBidi"/>
          <w:noProof/>
          <w:szCs w:val="22"/>
        </w:rPr>
      </w:pPr>
      <w:hyperlink w:anchor="_Toc49271652" w:history="1">
        <w:r w:rsidRPr="00AF7B0C">
          <w:rPr>
            <w:rStyle w:val="a8"/>
            <w:b/>
            <w:bCs/>
            <w:noProof/>
          </w:rPr>
          <w:t xml:space="preserve">§10  </w:t>
        </w:r>
        <w:r w:rsidRPr="00AF7B0C">
          <w:rPr>
            <w:rStyle w:val="a8"/>
            <w:rFonts w:hint="eastAsia"/>
            <w:b/>
            <w:bCs/>
            <w:noProof/>
          </w:rPr>
          <w:t>重大事件揭示</w:t>
        </w:r>
        <w:r>
          <w:rPr>
            <w:noProof/>
            <w:webHidden/>
          </w:rPr>
          <w:tab/>
        </w:r>
        <w:r>
          <w:rPr>
            <w:noProof/>
            <w:webHidden/>
          </w:rPr>
          <w:fldChar w:fldCharType="begin"/>
        </w:r>
        <w:r>
          <w:rPr>
            <w:noProof/>
            <w:webHidden/>
          </w:rPr>
          <w:instrText xml:space="preserve"> PAGEREF _Toc49271652 \h </w:instrText>
        </w:r>
        <w:r>
          <w:rPr>
            <w:noProof/>
            <w:webHidden/>
          </w:rPr>
        </w:r>
        <w:r>
          <w:rPr>
            <w:noProof/>
            <w:webHidden/>
          </w:rPr>
          <w:fldChar w:fldCharType="separate"/>
        </w:r>
        <w:r>
          <w:rPr>
            <w:noProof/>
            <w:webHidden/>
          </w:rPr>
          <w:t>44</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3" w:history="1">
        <w:r w:rsidRPr="00AF7B0C">
          <w:rPr>
            <w:rStyle w:val="a8"/>
            <w:noProof/>
          </w:rPr>
          <w:t xml:space="preserve">10.1 </w:t>
        </w:r>
        <w:r w:rsidRPr="00AF7B0C">
          <w:rPr>
            <w:rStyle w:val="a8"/>
            <w:rFonts w:hint="eastAsia"/>
            <w:noProof/>
          </w:rPr>
          <w:t>基金份额持有人大会决议</w:t>
        </w:r>
        <w:r>
          <w:rPr>
            <w:noProof/>
            <w:webHidden/>
          </w:rPr>
          <w:tab/>
        </w:r>
        <w:r>
          <w:rPr>
            <w:noProof/>
            <w:webHidden/>
          </w:rPr>
          <w:fldChar w:fldCharType="begin"/>
        </w:r>
        <w:r>
          <w:rPr>
            <w:noProof/>
            <w:webHidden/>
          </w:rPr>
          <w:instrText xml:space="preserve"> PAGEREF _Toc49271653 \h </w:instrText>
        </w:r>
        <w:r>
          <w:rPr>
            <w:noProof/>
            <w:webHidden/>
          </w:rPr>
        </w:r>
        <w:r>
          <w:rPr>
            <w:noProof/>
            <w:webHidden/>
          </w:rPr>
          <w:fldChar w:fldCharType="separate"/>
        </w:r>
        <w:r>
          <w:rPr>
            <w:noProof/>
            <w:webHidden/>
          </w:rPr>
          <w:t>44</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4" w:history="1">
        <w:r w:rsidRPr="00AF7B0C">
          <w:rPr>
            <w:rStyle w:val="a8"/>
            <w:noProof/>
          </w:rPr>
          <w:t xml:space="preserve">10.2 </w:t>
        </w:r>
        <w:r w:rsidRPr="00AF7B0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_Toc49271654 \h </w:instrText>
        </w:r>
        <w:r>
          <w:rPr>
            <w:noProof/>
            <w:webHidden/>
          </w:rPr>
        </w:r>
        <w:r>
          <w:rPr>
            <w:noProof/>
            <w:webHidden/>
          </w:rPr>
          <w:fldChar w:fldCharType="separate"/>
        </w:r>
        <w:r>
          <w:rPr>
            <w:noProof/>
            <w:webHidden/>
          </w:rPr>
          <w:t>45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5" w:history="1">
        <w:r w:rsidRPr="00AF7B0C">
          <w:rPr>
            <w:rStyle w:val="a8"/>
            <w:noProof/>
          </w:rPr>
          <w:t xml:space="preserve">10.3 </w:t>
        </w:r>
        <w:r w:rsidRPr="00AF7B0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_Toc49271655 \h </w:instrText>
        </w:r>
        <w:r>
          <w:rPr>
            <w:noProof/>
            <w:webHidden/>
          </w:rPr>
        </w:r>
        <w:r>
          <w:rPr>
            <w:noProof/>
            <w:webHidden/>
          </w:rPr>
          <w:fldChar w:fldCharType="separate"/>
        </w:r>
        <w:r>
          <w:rPr>
            <w:noProof/>
            <w:webHidden/>
          </w:rPr>
          <w:t>45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6" w:history="1">
        <w:r w:rsidRPr="00AF7B0C">
          <w:rPr>
            <w:rStyle w:val="a8"/>
            <w:noProof/>
          </w:rPr>
          <w:t xml:space="preserve">10.4 </w:t>
        </w:r>
        <w:r w:rsidRPr="00AF7B0C">
          <w:rPr>
            <w:rStyle w:val="a8"/>
            <w:rFonts w:hint="eastAsia"/>
            <w:noProof/>
          </w:rPr>
          <w:t>基金投资策略的改变</w:t>
        </w:r>
        <w:r>
          <w:rPr>
            <w:noProof/>
            <w:webHidden/>
          </w:rPr>
          <w:tab/>
        </w:r>
        <w:r>
          <w:rPr>
            <w:noProof/>
            <w:webHidden/>
          </w:rPr>
          <w:fldChar w:fldCharType="begin"/>
        </w:r>
        <w:r>
          <w:rPr>
            <w:noProof/>
            <w:webHidden/>
          </w:rPr>
          <w:instrText xml:space="preserve"> PAGEREF _Toc49271656 \h </w:instrText>
        </w:r>
        <w:r>
          <w:rPr>
            <w:noProof/>
            <w:webHidden/>
          </w:rPr>
        </w:r>
        <w:r>
          <w:rPr>
            <w:noProof/>
            <w:webHidden/>
          </w:rPr>
          <w:fldChar w:fldCharType="separate"/>
        </w:r>
        <w:r>
          <w:rPr>
            <w:noProof/>
            <w:webHidden/>
          </w:rPr>
          <w:t>45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7" w:history="1">
        <w:r w:rsidRPr="00AF7B0C">
          <w:rPr>
            <w:rStyle w:val="a8"/>
            <w:noProof/>
          </w:rPr>
          <w:t xml:space="preserve">10.5 </w:t>
        </w:r>
        <w:r w:rsidRPr="00AF7B0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_Toc49271657 \h </w:instrText>
        </w:r>
        <w:r>
          <w:rPr>
            <w:noProof/>
            <w:webHidden/>
          </w:rPr>
        </w:r>
        <w:r>
          <w:rPr>
            <w:noProof/>
            <w:webHidden/>
          </w:rPr>
          <w:fldChar w:fldCharType="separate"/>
        </w:r>
        <w:r>
          <w:rPr>
            <w:noProof/>
            <w:webHidden/>
          </w:rPr>
          <w:t>45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8" w:history="1">
        <w:r w:rsidRPr="00AF7B0C">
          <w:rPr>
            <w:rStyle w:val="a8"/>
            <w:noProof/>
          </w:rPr>
          <w:t>10.6</w:t>
        </w:r>
        <w:r w:rsidRPr="00AF7B0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_Toc49271658 \h </w:instrText>
        </w:r>
        <w:r>
          <w:rPr>
            <w:noProof/>
            <w:webHidden/>
          </w:rPr>
        </w:r>
        <w:r>
          <w:rPr>
            <w:noProof/>
            <w:webHidden/>
          </w:rPr>
          <w:fldChar w:fldCharType="separate"/>
        </w:r>
        <w:r>
          <w:rPr>
            <w:noProof/>
            <w:webHidden/>
          </w:rPr>
          <w:t>45</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59" w:history="1">
        <w:r w:rsidRPr="00AF7B0C">
          <w:rPr>
            <w:rStyle w:val="a8"/>
            <w:noProof/>
          </w:rPr>
          <w:t>10.7</w:t>
        </w:r>
        <w:r w:rsidRPr="00AF7B0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_Toc49271659 \h </w:instrText>
        </w:r>
        <w:r>
          <w:rPr>
            <w:noProof/>
            <w:webHidden/>
          </w:rPr>
        </w:r>
        <w:r>
          <w:rPr>
            <w:noProof/>
            <w:webHidden/>
          </w:rPr>
          <w:fldChar w:fldCharType="separate"/>
        </w:r>
        <w:r>
          <w:rPr>
            <w:noProof/>
            <w:webHidden/>
          </w:rPr>
          <w:t>45</w:t>
        </w:r>
        <w:r>
          <w:rPr>
            <w:noProof/>
            <w:webHidden/>
          </w:rPr>
          <w:fldChar w:fldCharType="end"/>
        </w:r>
      </w:hyperlink>
    </w:p>
    <w:bookmarkStart w:id="3" w:name="_GoBack"/>
    <w:bookmarkEnd w:id="3"/>
    <w:p w:rsidR="0049247F" w:rsidRDefault="0049247F">
      <w:pPr>
        <w:pStyle w:val="22"/>
        <w:rPr>
          <w:rFonts w:asciiTheme="minorHAnsi" w:eastAsiaTheme="minorEastAsia" w:hAnsiTheme="minorHAnsi" w:cstheme="minorBidi"/>
          <w:noProof/>
          <w:kern w:val="2"/>
          <w:szCs w:val="22"/>
        </w:rPr>
      </w:pPr>
      <w:r w:rsidRPr="00AF7B0C">
        <w:rPr>
          <w:rStyle w:val="a8"/>
          <w:noProof/>
        </w:rPr>
        <w:fldChar w:fldCharType="begin"/>
      </w:r>
      <w:r w:rsidRPr="00AF7B0C">
        <w:rPr>
          <w:rStyle w:val="a8"/>
          <w:noProof/>
        </w:rPr>
        <w:instrText xml:space="preserve"> </w:instrText>
      </w:r>
      <w:r>
        <w:rPr>
          <w:noProof/>
        </w:rPr>
        <w:instrText>HYPERLINK \l "_Toc49271661"</w:instrText>
      </w:r>
      <w:r w:rsidRPr="00AF7B0C">
        <w:rPr>
          <w:rStyle w:val="a8"/>
          <w:noProof/>
        </w:rPr>
        <w:instrText xml:space="preserve"> </w:instrText>
      </w:r>
      <w:r w:rsidRPr="00AF7B0C">
        <w:rPr>
          <w:rStyle w:val="a8"/>
          <w:noProof/>
        </w:rPr>
      </w:r>
      <w:r w:rsidRPr="00AF7B0C">
        <w:rPr>
          <w:rStyle w:val="a8"/>
          <w:noProof/>
        </w:rPr>
        <w:fldChar w:fldCharType="separate"/>
      </w:r>
      <w:r w:rsidRPr="00AF7B0C">
        <w:rPr>
          <w:rStyle w:val="a8"/>
          <w:noProof/>
        </w:rPr>
        <w:t xml:space="preserve">10.8 </w:t>
      </w:r>
      <w:r w:rsidRPr="00AF7B0C">
        <w:rPr>
          <w:rStyle w:val="a8"/>
          <w:rFonts w:hint="eastAsia"/>
          <w:noProof/>
        </w:rPr>
        <w:t>其他重大事件</w:t>
      </w:r>
      <w:r>
        <w:rPr>
          <w:noProof/>
          <w:webHidden/>
        </w:rPr>
        <w:tab/>
      </w:r>
      <w:r>
        <w:rPr>
          <w:noProof/>
          <w:webHidden/>
        </w:rPr>
        <w:fldChar w:fldCharType="begin"/>
      </w:r>
      <w:r>
        <w:rPr>
          <w:noProof/>
          <w:webHidden/>
        </w:rPr>
        <w:instrText xml:space="preserve"> PAGEREF _Toc49271661 \h </w:instrText>
      </w:r>
      <w:r>
        <w:rPr>
          <w:noProof/>
          <w:webHidden/>
        </w:rPr>
      </w:r>
      <w:r>
        <w:rPr>
          <w:noProof/>
          <w:webHidden/>
        </w:rPr>
        <w:fldChar w:fldCharType="separate"/>
      </w:r>
      <w:r>
        <w:rPr>
          <w:noProof/>
          <w:webHidden/>
        </w:rPr>
        <w:t>47</w:t>
      </w:r>
      <w:r>
        <w:rPr>
          <w:noProof/>
          <w:webHidden/>
        </w:rPr>
        <w:fldChar w:fldCharType="end"/>
      </w:r>
      <w:r w:rsidRPr="00AF7B0C">
        <w:rPr>
          <w:rStyle w:val="a8"/>
          <w:noProof/>
        </w:rPr>
        <w:fldChar w:fldCharType="end"/>
      </w:r>
    </w:p>
    <w:p w:rsidR="0049247F" w:rsidRDefault="0049247F">
      <w:pPr>
        <w:pStyle w:val="11"/>
        <w:rPr>
          <w:rFonts w:asciiTheme="minorHAnsi" w:eastAsiaTheme="minorEastAsia" w:hAnsiTheme="minorHAnsi" w:cstheme="minorBidi"/>
          <w:noProof/>
          <w:szCs w:val="22"/>
        </w:rPr>
      </w:pPr>
      <w:hyperlink w:anchor="_Toc49271662" w:history="1">
        <w:r w:rsidRPr="00AF7B0C">
          <w:rPr>
            <w:rStyle w:val="a8"/>
            <w:b/>
            <w:bCs/>
            <w:noProof/>
          </w:rPr>
          <w:t xml:space="preserve">§11  </w:t>
        </w:r>
        <w:r w:rsidRPr="00AF7B0C">
          <w:rPr>
            <w:rStyle w:val="a8"/>
            <w:rFonts w:hint="eastAsia"/>
            <w:b/>
            <w:bCs/>
            <w:noProof/>
          </w:rPr>
          <w:t>备查文件目录</w:t>
        </w:r>
        <w:r>
          <w:rPr>
            <w:noProof/>
            <w:webHidden/>
          </w:rPr>
          <w:tab/>
        </w:r>
        <w:r>
          <w:rPr>
            <w:noProof/>
            <w:webHidden/>
          </w:rPr>
          <w:fldChar w:fldCharType="begin"/>
        </w:r>
        <w:r>
          <w:rPr>
            <w:noProof/>
            <w:webHidden/>
          </w:rPr>
          <w:instrText xml:space="preserve"> PAGEREF _Toc49271662 \h </w:instrText>
        </w:r>
        <w:r>
          <w:rPr>
            <w:noProof/>
            <w:webHidden/>
          </w:rPr>
        </w:r>
        <w:r>
          <w:rPr>
            <w:noProof/>
            <w:webHidden/>
          </w:rPr>
          <w:fldChar w:fldCharType="separate"/>
        </w:r>
        <w:r>
          <w:rPr>
            <w:noProof/>
            <w:webHidden/>
          </w:rPr>
          <w:t>47</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63" w:history="1">
        <w:r w:rsidRPr="00AF7B0C">
          <w:rPr>
            <w:rStyle w:val="a8"/>
            <w:noProof/>
          </w:rPr>
          <w:t xml:space="preserve">11.1 </w:t>
        </w:r>
        <w:r w:rsidRPr="00AF7B0C">
          <w:rPr>
            <w:rStyle w:val="a8"/>
            <w:rFonts w:hint="eastAsia"/>
            <w:noProof/>
          </w:rPr>
          <w:t>备查文件目录</w:t>
        </w:r>
        <w:r>
          <w:rPr>
            <w:noProof/>
            <w:webHidden/>
          </w:rPr>
          <w:tab/>
        </w:r>
        <w:r>
          <w:rPr>
            <w:noProof/>
            <w:webHidden/>
          </w:rPr>
          <w:fldChar w:fldCharType="begin"/>
        </w:r>
        <w:r>
          <w:rPr>
            <w:noProof/>
            <w:webHidden/>
          </w:rPr>
          <w:instrText xml:space="preserve"> PAGEREF _Toc49271663 \h </w:instrText>
        </w:r>
        <w:r>
          <w:rPr>
            <w:noProof/>
            <w:webHidden/>
          </w:rPr>
        </w:r>
        <w:r>
          <w:rPr>
            <w:noProof/>
            <w:webHidden/>
          </w:rPr>
          <w:fldChar w:fldCharType="separate"/>
        </w:r>
        <w:r>
          <w:rPr>
            <w:noProof/>
            <w:webHidden/>
          </w:rPr>
          <w:t>47</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64" w:history="1">
        <w:r w:rsidRPr="00AF7B0C">
          <w:rPr>
            <w:rStyle w:val="a8"/>
            <w:noProof/>
          </w:rPr>
          <w:t xml:space="preserve">11.2 </w:t>
        </w:r>
        <w:r w:rsidRPr="00AF7B0C">
          <w:rPr>
            <w:rStyle w:val="a8"/>
            <w:rFonts w:hint="eastAsia"/>
            <w:noProof/>
          </w:rPr>
          <w:t>存放地点</w:t>
        </w:r>
        <w:r>
          <w:rPr>
            <w:noProof/>
            <w:webHidden/>
          </w:rPr>
          <w:tab/>
        </w:r>
        <w:r>
          <w:rPr>
            <w:noProof/>
            <w:webHidden/>
          </w:rPr>
          <w:fldChar w:fldCharType="begin"/>
        </w:r>
        <w:r>
          <w:rPr>
            <w:noProof/>
            <w:webHidden/>
          </w:rPr>
          <w:instrText xml:space="preserve"> PAGEREF _Toc49271664 \h </w:instrText>
        </w:r>
        <w:r>
          <w:rPr>
            <w:noProof/>
            <w:webHidden/>
          </w:rPr>
        </w:r>
        <w:r>
          <w:rPr>
            <w:noProof/>
            <w:webHidden/>
          </w:rPr>
          <w:fldChar w:fldCharType="separate"/>
        </w:r>
        <w:r>
          <w:rPr>
            <w:noProof/>
            <w:webHidden/>
          </w:rPr>
          <w:t>48</w:t>
        </w:r>
        <w:r>
          <w:rPr>
            <w:noProof/>
            <w:webHidden/>
          </w:rPr>
          <w:fldChar w:fldCharType="end"/>
        </w:r>
      </w:hyperlink>
    </w:p>
    <w:p w:rsidR="0049247F" w:rsidRDefault="0049247F">
      <w:pPr>
        <w:pStyle w:val="22"/>
        <w:rPr>
          <w:rFonts w:asciiTheme="minorHAnsi" w:eastAsiaTheme="minorEastAsia" w:hAnsiTheme="minorHAnsi" w:cstheme="minorBidi"/>
          <w:noProof/>
          <w:kern w:val="2"/>
          <w:szCs w:val="22"/>
        </w:rPr>
      </w:pPr>
      <w:hyperlink w:anchor="_Toc49271665" w:history="1">
        <w:r w:rsidRPr="00AF7B0C">
          <w:rPr>
            <w:rStyle w:val="a8"/>
            <w:noProof/>
          </w:rPr>
          <w:t xml:space="preserve">11.3 </w:t>
        </w:r>
        <w:r w:rsidRPr="00AF7B0C">
          <w:rPr>
            <w:rStyle w:val="a8"/>
            <w:rFonts w:hint="eastAsia"/>
            <w:noProof/>
          </w:rPr>
          <w:t>查阅方式</w:t>
        </w:r>
        <w:r>
          <w:rPr>
            <w:noProof/>
            <w:webHidden/>
          </w:rPr>
          <w:tab/>
        </w:r>
        <w:r>
          <w:rPr>
            <w:noProof/>
            <w:webHidden/>
          </w:rPr>
          <w:fldChar w:fldCharType="begin"/>
        </w:r>
        <w:r>
          <w:rPr>
            <w:noProof/>
            <w:webHidden/>
          </w:rPr>
          <w:instrText xml:space="preserve"> PAGEREF _Toc49271665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71605"/>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7160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交银施罗德科锐科技创新混合型证券投资基金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交银科锐科技创新混合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008734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008734</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792,686,410.74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7160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在严格控制风险的前提下，追求超越业绩比较基准的投资回报，力争实现基金资产的长期稳健增值。</w:t>
            </w:r>
            <w:r w:rsidRPr="005312D8">
              <w:rPr>
                <w:sz w:val="24"/>
              </w:rPr>
              <w:t xml:space="preserve"> </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345EA6" w:rsidRDefault="00756E0F">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1548F9" w:rsidRPr="005312D8" w:rsidRDefault="001548F9" w:rsidP="0048308E">
            <w:pPr>
              <w:spacing w:before="29" w:line="288" w:lineRule="auto"/>
              <w:rPr>
                <w:sz w:val="24"/>
              </w:rPr>
            </w:pPr>
            <w:r w:rsidRPr="005312D8">
              <w:rPr>
                <w:sz w:val="24"/>
              </w:rPr>
              <w:t>本基金主要运用交银施罗德股票研究分析方法等投资分析工具，在把握宏观经济运行趋势和股票市场行业轮动的基础上，充分发挥公司股票研究团队</w:t>
            </w:r>
            <w:r w:rsidRPr="005312D8">
              <w:rPr>
                <w:sz w:val="24"/>
              </w:rPr>
              <w:t>“</w:t>
            </w:r>
            <w:r w:rsidRPr="005312D8">
              <w:rPr>
                <w:sz w:val="24"/>
              </w:rPr>
              <w:t>自下而上</w:t>
            </w:r>
            <w:r w:rsidRPr="005312D8">
              <w:rPr>
                <w:sz w:val="24"/>
              </w:rPr>
              <w:t>”</w:t>
            </w:r>
            <w:r w:rsidRPr="005312D8">
              <w:rPr>
                <w:sz w:val="24"/>
              </w:rPr>
              <w:t>的主动选股能力，基于对个股深入的基本面研究和细致的实地调研，精选股票构建股票投资组合。科技创新企业主要是指坚持面向世界科技前沿、面向经济主战场、面向国家重大需求，符合国家战略、突破关键核心技术、市场认可度高的科技创新企业。</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中国战略新兴产业成份指数收益率</w:t>
            </w:r>
            <w:r w:rsidRPr="005312D8">
              <w:rPr>
                <w:sz w:val="24"/>
              </w:rPr>
              <w:t>×65%+</w:t>
            </w:r>
            <w:r w:rsidRPr="005312D8">
              <w:rPr>
                <w:sz w:val="24"/>
              </w:rPr>
              <w:t>中证综合债券指数收益率</w:t>
            </w:r>
            <w:r w:rsidRPr="005312D8">
              <w:rPr>
                <w:sz w:val="24"/>
              </w:rPr>
              <w:t>×35%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本基金是一只混合型基金，其预期风险和预期收益高于债券型基金和货币市场基金，低于股票型基金。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71608"/>
      <w:r w:rsidRPr="005312D8">
        <w:rPr>
          <w:rFonts w:ascii="Times New Roman" w:hAnsi="Times New Roman"/>
          <w:kern w:val="0"/>
          <w:szCs w:val="24"/>
        </w:rPr>
        <w:lastRenderedPageBreak/>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7160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7161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71611"/>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7161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20</w:t>
            </w:r>
            <w:r w:rsidR="00A43357" w:rsidRPr="005312D8">
              <w:rPr>
                <w:b/>
                <w:sz w:val="24"/>
              </w:rPr>
              <w:t>日（基金合同生效日）至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-6,546,668.27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111,073,631.68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0.1159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11.38%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12.63%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-4,270,432.36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892,763,827.58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1.1263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12.63%</w:t>
            </w:r>
          </w:p>
        </w:tc>
      </w:tr>
    </w:tbl>
    <w:bookmarkEnd w:id="15"/>
    <w:bookmarkEnd w:id="16"/>
    <w:p w:rsidR="00345EA6" w:rsidRDefault="00756E0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345EA6" w:rsidRDefault="00756E0F">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、本基金合同生效日为</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20</w:t>
      </w:r>
      <w:r w:rsidRPr="005312D8">
        <w:rPr>
          <w:kern w:val="0"/>
          <w:sz w:val="24"/>
        </w:rPr>
        <w:t>日，自合同生效日起至本报告期末不足半年。</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7161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345EA6">
        <w:tc>
          <w:tcPr>
            <w:tcW w:w="1497" w:type="dxa"/>
            <w:vAlign w:val="center"/>
          </w:tcPr>
          <w:p w:rsidR="00345EA6" w:rsidRDefault="00756E0F">
            <w:pPr>
              <w:jc w:val="left"/>
            </w:pPr>
            <w:r>
              <w:rPr>
                <w:color w:val="000000"/>
                <w:sz w:val="24"/>
              </w:rPr>
              <w:t>过去一个月</w:t>
            </w:r>
          </w:p>
        </w:tc>
        <w:tc>
          <w:tcPr>
            <w:tcW w:w="1251" w:type="dxa"/>
            <w:vAlign w:val="center"/>
          </w:tcPr>
          <w:p w:rsidR="00345EA6" w:rsidRDefault="00756E0F">
            <w:pPr>
              <w:jc w:val="center"/>
            </w:pPr>
            <w:r>
              <w:rPr>
                <w:color w:val="000000"/>
                <w:sz w:val="24"/>
              </w:rPr>
              <w:t>9.59%</w:t>
            </w:r>
          </w:p>
        </w:tc>
        <w:tc>
          <w:tcPr>
            <w:tcW w:w="1250" w:type="dxa"/>
            <w:vAlign w:val="center"/>
          </w:tcPr>
          <w:p w:rsidR="00345EA6" w:rsidRDefault="00756E0F">
            <w:pPr>
              <w:jc w:val="center"/>
            </w:pPr>
            <w:r>
              <w:rPr>
                <w:color w:val="000000"/>
                <w:sz w:val="24"/>
              </w:rPr>
              <w:t>0.58%</w:t>
            </w:r>
          </w:p>
        </w:tc>
        <w:tc>
          <w:tcPr>
            <w:tcW w:w="1250" w:type="dxa"/>
            <w:vAlign w:val="center"/>
          </w:tcPr>
          <w:p w:rsidR="00345EA6" w:rsidRDefault="00756E0F">
            <w:pPr>
              <w:jc w:val="center"/>
            </w:pPr>
            <w:r>
              <w:rPr>
                <w:color w:val="000000"/>
                <w:sz w:val="24"/>
              </w:rPr>
              <w:t>10.25%</w:t>
            </w:r>
          </w:p>
        </w:tc>
        <w:tc>
          <w:tcPr>
            <w:tcW w:w="1250" w:type="dxa"/>
            <w:vAlign w:val="center"/>
          </w:tcPr>
          <w:p w:rsidR="00345EA6" w:rsidRDefault="00756E0F">
            <w:pPr>
              <w:jc w:val="center"/>
            </w:pPr>
            <w:r>
              <w:rPr>
                <w:color w:val="000000"/>
                <w:sz w:val="24"/>
              </w:rPr>
              <w:t>0.67%</w:t>
            </w:r>
          </w:p>
        </w:tc>
        <w:tc>
          <w:tcPr>
            <w:tcW w:w="1250" w:type="dxa"/>
            <w:vAlign w:val="center"/>
          </w:tcPr>
          <w:p w:rsidR="00345EA6" w:rsidRDefault="00756E0F">
            <w:pPr>
              <w:jc w:val="center"/>
            </w:pPr>
            <w:r>
              <w:rPr>
                <w:color w:val="000000"/>
                <w:sz w:val="24"/>
              </w:rPr>
              <w:t>-0.66%</w:t>
            </w:r>
          </w:p>
        </w:tc>
        <w:tc>
          <w:tcPr>
            <w:tcW w:w="1250" w:type="dxa"/>
            <w:vAlign w:val="center"/>
          </w:tcPr>
          <w:p w:rsidR="00345EA6" w:rsidRDefault="00756E0F">
            <w:pPr>
              <w:jc w:val="center"/>
            </w:pPr>
            <w:r>
              <w:rPr>
                <w:color w:val="000000"/>
                <w:sz w:val="24"/>
              </w:rPr>
              <w:t>-0.09%</w:t>
            </w:r>
          </w:p>
        </w:tc>
      </w:tr>
      <w:tr w:rsidR="00345EA6">
        <w:tc>
          <w:tcPr>
            <w:tcW w:w="1497" w:type="dxa"/>
            <w:vAlign w:val="center"/>
          </w:tcPr>
          <w:p w:rsidR="00345EA6" w:rsidRDefault="00756E0F">
            <w:pPr>
              <w:jc w:val="left"/>
            </w:pPr>
            <w:r>
              <w:rPr>
                <w:color w:val="000000"/>
                <w:sz w:val="24"/>
              </w:rPr>
              <w:t>过去三个月</w:t>
            </w:r>
          </w:p>
        </w:tc>
        <w:tc>
          <w:tcPr>
            <w:tcW w:w="1251" w:type="dxa"/>
            <w:vAlign w:val="center"/>
          </w:tcPr>
          <w:p w:rsidR="00345EA6" w:rsidRDefault="00756E0F">
            <w:pPr>
              <w:jc w:val="center"/>
            </w:pPr>
            <w:r>
              <w:rPr>
                <w:color w:val="000000"/>
                <w:sz w:val="24"/>
              </w:rPr>
              <w:t>14.57%</w:t>
            </w:r>
          </w:p>
        </w:tc>
        <w:tc>
          <w:tcPr>
            <w:tcW w:w="1250" w:type="dxa"/>
            <w:vAlign w:val="center"/>
          </w:tcPr>
          <w:p w:rsidR="00345EA6" w:rsidRDefault="00756E0F">
            <w:pPr>
              <w:jc w:val="center"/>
            </w:pPr>
            <w:r>
              <w:rPr>
                <w:color w:val="000000"/>
                <w:sz w:val="24"/>
              </w:rPr>
              <w:t>0.59%</w:t>
            </w:r>
          </w:p>
        </w:tc>
        <w:tc>
          <w:tcPr>
            <w:tcW w:w="1250" w:type="dxa"/>
            <w:vAlign w:val="center"/>
          </w:tcPr>
          <w:p w:rsidR="00345EA6" w:rsidRDefault="00756E0F">
            <w:pPr>
              <w:jc w:val="center"/>
            </w:pPr>
            <w:r>
              <w:rPr>
                <w:color w:val="000000"/>
                <w:sz w:val="24"/>
              </w:rPr>
              <w:t>17.95%</w:t>
            </w:r>
          </w:p>
        </w:tc>
        <w:tc>
          <w:tcPr>
            <w:tcW w:w="1250" w:type="dxa"/>
            <w:vAlign w:val="center"/>
          </w:tcPr>
          <w:p w:rsidR="00345EA6" w:rsidRDefault="00756E0F">
            <w:pPr>
              <w:jc w:val="center"/>
            </w:pPr>
            <w:r>
              <w:rPr>
                <w:color w:val="000000"/>
                <w:sz w:val="24"/>
              </w:rPr>
              <w:t>0.87%</w:t>
            </w:r>
          </w:p>
        </w:tc>
        <w:tc>
          <w:tcPr>
            <w:tcW w:w="1250" w:type="dxa"/>
            <w:vAlign w:val="center"/>
          </w:tcPr>
          <w:p w:rsidR="00345EA6" w:rsidRDefault="00756E0F">
            <w:pPr>
              <w:jc w:val="center"/>
            </w:pPr>
            <w:r>
              <w:rPr>
                <w:color w:val="000000"/>
                <w:sz w:val="24"/>
              </w:rPr>
              <w:t>-3.38%</w:t>
            </w:r>
          </w:p>
        </w:tc>
        <w:tc>
          <w:tcPr>
            <w:tcW w:w="1250" w:type="dxa"/>
            <w:vAlign w:val="center"/>
          </w:tcPr>
          <w:p w:rsidR="00345EA6" w:rsidRDefault="00756E0F">
            <w:pPr>
              <w:jc w:val="center"/>
            </w:pPr>
            <w:r>
              <w:rPr>
                <w:color w:val="000000"/>
                <w:sz w:val="24"/>
              </w:rPr>
              <w:t>-0.28%</w:t>
            </w:r>
          </w:p>
        </w:tc>
      </w:tr>
      <w:tr w:rsidR="00345EA6">
        <w:tc>
          <w:tcPr>
            <w:tcW w:w="1497" w:type="dxa"/>
            <w:vAlign w:val="center"/>
          </w:tcPr>
          <w:p w:rsidR="00345EA6" w:rsidRDefault="00756E0F">
            <w:pPr>
              <w:jc w:val="left"/>
            </w:pPr>
            <w:r>
              <w:rPr>
                <w:color w:val="000000"/>
                <w:sz w:val="24"/>
              </w:rPr>
              <w:t>自基金合同生效至今</w:t>
            </w:r>
          </w:p>
        </w:tc>
        <w:tc>
          <w:tcPr>
            <w:tcW w:w="1251" w:type="dxa"/>
            <w:vAlign w:val="center"/>
          </w:tcPr>
          <w:p w:rsidR="00345EA6" w:rsidRDefault="00756E0F">
            <w:pPr>
              <w:jc w:val="center"/>
            </w:pPr>
            <w:r>
              <w:rPr>
                <w:color w:val="000000"/>
                <w:sz w:val="24"/>
              </w:rPr>
              <w:t>12.63%</w:t>
            </w:r>
          </w:p>
        </w:tc>
        <w:tc>
          <w:tcPr>
            <w:tcW w:w="1250" w:type="dxa"/>
            <w:vAlign w:val="center"/>
          </w:tcPr>
          <w:p w:rsidR="00345EA6" w:rsidRDefault="00756E0F">
            <w:pPr>
              <w:jc w:val="center"/>
            </w:pPr>
            <w:r>
              <w:rPr>
                <w:color w:val="000000"/>
                <w:sz w:val="24"/>
              </w:rPr>
              <w:t>0.63%</w:t>
            </w:r>
          </w:p>
        </w:tc>
        <w:tc>
          <w:tcPr>
            <w:tcW w:w="1250" w:type="dxa"/>
            <w:vAlign w:val="center"/>
          </w:tcPr>
          <w:p w:rsidR="00345EA6" w:rsidRDefault="00756E0F">
            <w:pPr>
              <w:jc w:val="center"/>
            </w:pPr>
            <w:r>
              <w:rPr>
                <w:color w:val="000000"/>
                <w:sz w:val="24"/>
              </w:rPr>
              <w:t>16.35%</w:t>
            </w:r>
          </w:p>
        </w:tc>
        <w:tc>
          <w:tcPr>
            <w:tcW w:w="1250" w:type="dxa"/>
            <w:vAlign w:val="center"/>
          </w:tcPr>
          <w:p w:rsidR="00345EA6" w:rsidRDefault="00756E0F">
            <w:pPr>
              <w:jc w:val="center"/>
            </w:pPr>
            <w:r>
              <w:rPr>
                <w:color w:val="000000"/>
                <w:sz w:val="24"/>
              </w:rPr>
              <w:t>1.30%</w:t>
            </w:r>
          </w:p>
        </w:tc>
        <w:tc>
          <w:tcPr>
            <w:tcW w:w="1250" w:type="dxa"/>
            <w:vAlign w:val="center"/>
          </w:tcPr>
          <w:p w:rsidR="00345EA6" w:rsidRDefault="00756E0F">
            <w:pPr>
              <w:jc w:val="center"/>
            </w:pPr>
            <w:r>
              <w:rPr>
                <w:color w:val="000000"/>
                <w:sz w:val="24"/>
              </w:rPr>
              <w:t>-3.72%</w:t>
            </w:r>
          </w:p>
        </w:tc>
        <w:tc>
          <w:tcPr>
            <w:tcW w:w="1250" w:type="dxa"/>
            <w:vAlign w:val="center"/>
          </w:tcPr>
          <w:p w:rsidR="00345EA6" w:rsidRDefault="00756E0F">
            <w:pPr>
              <w:jc w:val="center"/>
            </w:pPr>
            <w:r>
              <w:rPr>
                <w:color w:val="000000"/>
                <w:sz w:val="24"/>
              </w:rPr>
              <w:t>-0.67%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注：本基金的业绩比较基准为中国战略新兴产业成份指数收益率</w:t>
      </w:r>
      <w:r w:rsidRPr="005312D8">
        <w:rPr>
          <w:kern w:val="0"/>
          <w:sz w:val="24"/>
        </w:rPr>
        <w:t>×65%+</w:t>
      </w:r>
      <w:r w:rsidRPr="005312D8">
        <w:rPr>
          <w:kern w:val="0"/>
          <w:sz w:val="24"/>
        </w:rPr>
        <w:t>中证综合债券指数收益率</w:t>
      </w:r>
      <w:r w:rsidRPr="005312D8">
        <w:rPr>
          <w:kern w:val="0"/>
          <w:sz w:val="24"/>
        </w:rPr>
        <w:t>×35%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交银施罗德科锐科技创新混合型证券投资基金</w:t>
      </w:r>
    </w:p>
    <w:p w:rsidR="001548F9" w:rsidRPr="005312D8" w:rsidRDefault="00CE3047" w:rsidP="0048308E">
      <w:pPr>
        <w:spacing w:before="29" w:line="288" w:lineRule="auto"/>
        <w:jc w:val="center"/>
        <w:rPr>
          <w:kern w:val="0"/>
          <w:sz w:val="24"/>
        </w:rPr>
      </w:pPr>
      <w:r w:rsidRPr="005312D8">
        <w:rPr>
          <w:kern w:val="0"/>
          <w:sz w:val="24"/>
        </w:rPr>
        <w:lastRenderedPageBreak/>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2020</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20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20</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71614"/>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7161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345EA6" w:rsidRDefault="00756E0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lastRenderedPageBreak/>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证券</w:t>
            </w:r>
            <w:r w:rsidRPr="005312D8">
              <w:rPr>
                <w:color w:val="000000"/>
                <w:sz w:val="24"/>
              </w:rPr>
              <w:lastRenderedPageBreak/>
              <w:t>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345EA6">
        <w:tc>
          <w:tcPr>
            <w:tcW w:w="851" w:type="dxa"/>
            <w:vAlign w:val="center"/>
          </w:tcPr>
          <w:p w:rsidR="00345EA6" w:rsidRDefault="00756E0F">
            <w:pPr>
              <w:jc w:val="center"/>
            </w:pPr>
            <w:r>
              <w:rPr>
                <w:color w:val="000000"/>
                <w:sz w:val="24"/>
              </w:rPr>
              <w:t>杨浩</w:t>
            </w:r>
          </w:p>
        </w:tc>
        <w:tc>
          <w:tcPr>
            <w:tcW w:w="1417" w:type="dxa"/>
            <w:vAlign w:val="center"/>
          </w:tcPr>
          <w:p w:rsidR="00345EA6" w:rsidRDefault="00756E0F">
            <w:pPr>
              <w:jc w:val="center"/>
            </w:pPr>
            <w:r>
              <w:rPr>
                <w:color w:val="000000"/>
                <w:sz w:val="24"/>
              </w:rPr>
              <w:t>交银定期支付双息平衡混合、交银新生活力灵活配置混合、交银内核驱动混合、交银科锐科技创新混合的基金经理</w:t>
            </w:r>
          </w:p>
        </w:tc>
        <w:tc>
          <w:tcPr>
            <w:tcW w:w="1418" w:type="dxa"/>
            <w:vAlign w:val="center"/>
          </w:tcPr>
          <w:p w:rsidR="00345EA6" w:rsidRDefault="00756E0F">
            <w:pPr>
              <w:jc w:val="center"/>
            </w:pPr>
            <w:r>
              <w:rPr>
                <w:color w:val="000000"/>
                <w:sz w:val="24"/>
              </w:rPr>
              <w:t>2020-01-20</w:t>
            </w:r>
          </w:p>
        </w:tc>
        <w:tc>
          <w:tcPr>
            <w:tcW w:w="1417" w:type="dxa"/>
            <w:vAlign w:val="center"/>
          </w:tcPr>
          <w:p w:rsidR="00345EA6" w:rsidRDefault="00756E0F">
            <w:pPr>
              <w:jc w:val="center"/>
            </w:pPr>
            <w:r>
              <w:rPr>
                <w:color w:val="000000"/>
                <w:sz w:val="24"/>
              </w:rPr>
              <w:t>-</w:t>
            </w:r>
          </w:p>
        </w:tc>
        <w:tc>
          <w:tcPr>
            <w:tcW w:w="833" w:type="dxa"/>
            <w:vAlign w:val="center"/>
          </w:tcPr>
          <w:p w:rsidR="00345EA6" w:rsidRDefault="00756E0F">
            <w:pPr>
              <w:jc w:val="center"/>
            </w:pPr>
            <w:r>
              <w:rPr>
                <w:color w:val="000000"/>
                <w:sz w:val="24"/>
              </w:rPr>
              <w:t>10</w:t>
            </w:r>
            <w:r>
              <w:rPr>
                <w:color w:val="000000"/>
                <w:sz w:val="24"/>
              </w:rPr>
              <w:t>年</w:t>
            </w:r>
          </w:p>
        </w:tc>
        <w:tc>
          <w:tcPr>
            <w:tcW w:w="3062" w:type="dxa"/>
            <w:vAlign w:val="center"/>
          </w:tcPr>
          <w:p w:rsidR="00345EA6" w:rsidRDefault="00756E0F">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r w:rsidR="00345EA6">
        <w:tc>
          <w:tcPr>
            <w:tcW w:w="851" w:type="dxa"/>
            <w:vAlign w:val="center"/>
          </w:tcPr>
          <w:p w:rsidR="00345EA6" w:rsidRDefault="00756E0F">
            <w:pPr>
              <w:jc w:val="center"/>
            </w:pPr>
            <w:r>
              <w:rPr>
                <w:color w:val="000000"/>
                <w:sz w:val="24"/>
              </w:rPr>
              <w:t>田彧龙</w:t>
            </w:r>
          </w:p>
        </w:tc>
        <w:tc>
          <w:tcPr>
            <w:tcW w:w="1417" w:type="dxa"/>
            <w:vAlign w:val="center"/>
          </w:tcPr>
          <w:p w:rsidR="00345EA6" w:rsidRDefault="00756E0F">
            <w:pPr>
              <w:jc w:val="center"/>
            </w:pPr>
            <w:r>
              <w:rPr>
                <w:color w:val="000000"/>
                <w:sz w:val="24"/>
              </w:rPr>
              <w:t>交银数据产业灵活配置混合、交银科锐科技创新混合的基金经理</w:t>
            </w:r>
          </w:p>
        </w:tc>
        <w:tc>
          <w:tcPr>
            <w:tcW w:w="1418" w:type="dxa"/>
            <w:vAlign w:val="center"/>
          </w:tcPr>
          <w:p w:rsidR="00345EA6" w:rsidRDefault="00756E0F">
            <w:pPr>
              <w:jc w:val="center"/>
            </w:pPr>
            <w:r>
              <w:rPr>
                <w:color w:val="000000"/>
                <w:sz w:val="24"/>
              </w:rPr>
              <w:t>2020-01-20</w:t>
            </w:r>
          </w:p>
        </w:tc>
        <w:tc>
          <w:tcPr>
            <w:tcW w:w="1417" w:type="dxa"/>
            <w:vAlign w:val="center"/>
          </w:tcPr>
          <w:p w:rsidR="00345EA6" w:rsidRDefault="00756E0F">
            <w:pPr>
              <w:jc w:val="center"/>
            </w:pPr>
            <w:r>
              <w:rPr>
                <w:color w:val="000000"/>
                <w:sz w:val="24"/>
              </w:rPr>
              <w:t>-</w:t>
            </w:r>
          </w:p>
        </w:tc>
        <w:tc>
          <w:tcPr>
            <w:tcW w:w="833" w:type="dxa"/>
            <w:vAlign w:val="center"/>
          </w:tcPr>
          <w:p w:rsidR="00345EA6" w:rsidRDefault="00756E0F">
            <w:pPr>
              <w:jc w:val="center"/>
            </w:pPr>
            <w:r>
              <w:rPr>
                <w:color w:val="000000"/>
                <w:sz w:val="24"/>
              </w:rPr>
              <w:t>6</w:t>
            </w:r>
            <w:r>
              <w:rPr>
                <w:color w:val="000000"/>
                <w:sz w:val="24"/>
              </w:rPr>
              <w:t>年</w:t>
            </w:r>
          </w:p>
        </w:tc>
        <w:tc>
          <w:tcPr>
            <w:tcW w:w="3062" w:type="dxa"/>
            <w:vAlign w:val="center"/>
          </w:tcPr>
          <w:p w:rsidR="00345EA6" w:rsidRDefault="00756E0F">
            <w:r>
              <w:rPr>
                <w:color w:val="000000"/>
                <w:sz w:val="24"/>
              </w:rPr>
              <w:t>田彧龙先生，上海交通大学金融学硕士，浙江大学光电信息工程学学士。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bl>
    <w:p w:rsidR="00345EA6" w:rsidRDefault="00756E0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45EA6" w:rsidRDefault="00756E0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7161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7161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345EA6" w:rsidRDefault="00756E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5EA6" w:rsidRDefault="00756E0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45EA6" w:rsidRDefault="00756E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7161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年上半年，为了应对新冠疫情对经济的冲击，各国都采取了较为宽松的货币政策和有利的财政政策。在此之下，市场开始出现了较为强劲的反弹。目前看来，疫情短期反复仍给经济复苏等带来不确定性。</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7161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年下半年，我们仍然看好以</w:t>
      </w:r>
      <w:r w:rsidRPr="005312D8">
        <w:rPr>
          <w:color w:val="000000"/>
          <w:sz w:val="24"/>
        </w:rPr>
        <w:t>TMT</w:t>
      </w:r>
      <w:r w:rsidRPr="005312D8">
        <w:rPr>
          <w:color w:val="000000"/>
          <w:sz w:val="24"/>
        </w:rPr>
        <w:t>为代表的数据产业领域，虽然短期部分公司需求受到经济冲击，但是长期来看，在新的一轮科技赋能周期下，中国科技公司仍将大有可为。新基建政策的发力，会给</w:t>
      </w:r>
      <w:r w:rsidRPr="005312D8">
        <w:rPr>
          <w:color w:val="000000"/>
          <w:sz w:val="24"/>
        </w:rPr>
        <w:t>5G</w:t>
      </w:r>
      <w:r w:rsidRPr="005312D8">
        <w:rPr>
          <w:color w:val="000000"/>
          <w:sz w:val="24"/>
        </w:rPr>
        <w:t>、</w:t>
      </w:r>
      <w:r w:rsidRPr="005312D8">
        <w:rPr>
          <w:color w:val="000000"/>
          <w:sz w:val="24"/>
        </w:rPr>
        <w:t>IDC</w:t>
      </w:r>
      <w:r w:rsidRPr="005312D8">
        <w:rPr>
          <w:color w:val="000000"/>
          <w:sz w:val="24"/>
        </w:rPr>
        <w:t>等产业注入活力，同样值得重点关注。与此同时，我们关注到科创板有越来越多优质公司出现，这些公司管理架构优异，机制灵活，相信中长期来看，科创板或可诞生伟大公司。宏观层面，我们将重点关注流动性拐点。</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7162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345EA6" w:rsidRDefault="00756E0F">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345EA6" w:rsidRDefault="00756E0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7162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7162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1623"/>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7162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20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7162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71626"/>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w:t>
      </w:r>
      <w:r w:rsidRPr="005312D8">
        <w:rPr>
          <w:color w:val="000000"/>
          <w:sz w:val="24"/>
        </w:rPr>
        <w:lastRenderedPageBreak/>
        <w:t>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71627"/>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7162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会计主体：交银施罗德科锐科技创新混合型证券投资基金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56E0F" w:rsidRPr="005312D8" w:rsidTr="00756E0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306,079,773.03</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1,203,190.99</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217,213.50</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607,395,416.84</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607,395,416.84</w:t>
            </w:r>
          </w:p>
        </w:tc>
      </w:tr>
      <w:tr w:rsidR="00756E0F" w:rsidRPr="005312D8" w:rsidTr="00756E0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406,520.88</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71,335.25</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915,373,450.49</w:t>
            </w:r>
          </w:p>
        </w:tc>
      </w:tr>
      <w:tr w:rsidR="00756E0F" w:rsidRPr="005312D8" w:rsidTr="00756E0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20,685,754.84</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1,134,173.49</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189,028.91</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445,548.31</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155,117.36</w:t>
            </w:r>
          </w:p>
        </w:tc>
      </w:tr>
      <w:tr w:rsidR="00756E0F" w:rsidRPr="005312D8" w:rsidTr="00756E0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22,609,622.91</w:t>
            </w:r>
          </w:p>
        </w:tc>
      </w:tr>
      <w:tr w:rsidR="00756E0F" w:rsidRPr="005312D8" w:rsidTr="00756E0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792,686,410.74</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100,077,416.84</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892,763,827.58</w:t>
            </w:r>
          </w:p>
        </w:tc>
      </w:tr>
      <w:tr w:rsidR="00756E0F" w:rsidRPr="005312D8" w:rsidTr="00756E0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915,373,450.49</w:t>
            </w:r>
          </w:p>
        </w:tc>
      </w:tr>
    </w:tbl>
    <w:p w:rsidR="00345EA6" w:rsidRDefault="00756E0F">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1.1263</w:t>
      </w:r>
      <w:r>
        <w:rPr>
          <w:kern w:val="0"/>
          <w:sz w:val="24"/>
        </w:rPr>
        <w:t>元，基金份额总额</w:t>
      </w:r>
      <w:r>
        <w:rPr>
          <w:kern w:val="0"/>
          <w:sz w:val="24"/>
        </w:rPr>
        <w:t>792,686,410.74</w:t>
      </w:r>
      <w:r>
        <w:rPr>
          <w:kern w:val="0"/>
          <w:sz w:val="24"/>
        </w:rPr>
        <w:t>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、本财务报表的实际编制期间为</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20</w:t>
      </w:r>
      <w:r w:rsidRPr="005312D8">
        <w:rPr>
          <w:kern w:val="0"/>
          <w:sz w:val="24"/>
        </w:rPr>
        <w:t>日</w:t>
      </w:r>
      <w:r w:rsidRPr="005312D8">
        <w:rPr>
          <w:kern w:val="0"/>
          <w:sz w:val="24"/>
        </w:rPr>
        <w:t>(</w:t>
      </w:r>
      <w:r w:rsidRPr="005312D8">
        <w:rPr>
          <w:kern w:val="0"/>
          <w:sz w:val="24"/>
        </w:rPr>
        <w:t>基金合同生效日</w:t>
      </w:r>
      <w:r w:rsidRPr="005312D8">
        <w:rPr>
          <w:kern w:val="0"/>
          <w:sz w:val="24"/>
        </w:rPr>
        <w:t>)</w:t>
      </w:r>
      <w:r w:rsidRPr="005312D8">
        <w:rPr>
          <w:kern w:val="0"/>
          <w:sz w:val="24"/>
        </w:rPr>
        <w:t>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71629"/>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交银施罗德科锐科技创新混合型证券投资基金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20</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56E0F" w:rsidRPr="005312D8" w:rsidTr="00756E0F">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20</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756E0F" w:rsidRPr="005312D8" w:rsidTr="00756E0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120,229,151.98</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2,269,710.04</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2,269,710.04</w:t>
            </w:r>
          </w:p>
        </w:tc>
      </w:tr>
      <w:tr w:rsidR="00756E0F" w:rsidRPr="005312D8" w:rsidTr="00756E0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-180,742.70</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-2,641,221.92</w:t>
            </w:r>
          </w:p>
        </w:tc>
      </w:tr>
      <w:tr w:rsidR="00756E0F" w:rsidRPr="005312D8" w:rsidTr="00756E0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2,460,479.22</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117,620,299.95</w:t>
            </w:r>
          </w:p>
        </w:tc>
      </w:tr>
      <w:tr w:rsidR="00756E0F" w:rsidRPr="005312D8" w:rsidTr="00756E0F">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519,884.69</w:t>
            </w:r>
          </w:p>
        </w:tc>
      </w:tr>
      <w:tr w:rsidR="00756E0F" w:rsidRPr="005312D8" w:rsidTr="00756E0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9,155,520.30</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6,475,696.48</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1,079,282.77</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1,481,899.89</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756E0F" w:rsidRPr="005312D8" w:rsidTr="00756E0F">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118,641.16</w:t>
            </w:r>
          </w:p>
        </w:tc>
      </w:tr>
      <w:tr w:rsidR="00756E0F" w:rsidRPr="005312D8" w:rsidTr="00756E0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111,073,631.68</w:t>
            </w:r>
          </w:p>
        </w:tc>
      </w:tr>
      <w:tr w:rsidR="00756E0F" w:rsidRPr="005312D8" w:rsidTr="00756E0F">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56E0F" w:rsidRPr="005312D8" w:rsidTr="00756E0F">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111,073,631.68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7163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交银施罗德科锐科技创新混合型证券投资基金</w:t>
      </w:r>
    </w:p>
    <w:p w:rsidR="001548F9" w:rsidRPr="005312D8" w:rsidRDefault="001548F9" w:rsidP="0048308E">
      <w:pPr>
        <w:spacing w:before="29" w:line="288" w:lineRule="auto"/>
        <w:rPr>
          <w:kern w:val="0"/>
          <w:sz w:val="24"/>
        </w:rPr>
      </w:pPr>
      <w:r w:rsidRPr="005312D8">
        <w:rPr>
          <w:color w:val="000000"/>
          <w:sz w:val="24"/>
        </w:rPr>
        <w:lastRenderedPageBreak/>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20</w:t>
      </w:r>
      <w:r w:rsidRPr="005312D8">
        <w:rPr>
          <w:kern w:val="0"/>
          <w:sz w:val="24"/>
        </w:rPr>
        <w:t>日（基金合同生效日）至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20</w:t>
            </w:r>
            <w:r w:rsidRPr="005312D8">
              <w:rPr>
                <w:rFonts w:ascii="Times New Roman" w:hAnsi="Times New Roman"/>
                <w:b/>
              </w:rPr>
              <w:t>日（基金合同生效日）至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989,622,080.10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989,622,080.10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111,073,631.68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111,073,631.68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-196,935,669.36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-10,996,214.84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-207,931,884.20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-196,935,669.36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-10,996,214.84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-207,931,884.20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792,686,410.74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100,077,416.84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892,763,827.58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7163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345EA6" w:rsidRDefault="00756E0F">
      <w:pPr>
        <w:spacing w:before="29" w:line="288" w:lineRule="auto"/>
        <w:ind w:firstLineChars="200" w:firstLine="480"/>
        <w:rPr>
          <w:color w:val="000000"/>
          <w:sz w:val="24"/>
        </w:rPr>
      </w:pPr>
      <w:r>
        <w:rPr>
          <w:color w:val="000000"/>
          <w:sz w:val="24"/>
        </w:rPr>
        <w:t>交银施罗德科锐科技创新混合型证券投资基金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2676</w:t>
      </w:r>
      <w:r>
        <w:rPr>
          <w:color w:val="000000"/>
          <w:sz w:val="24"/>
        </w:rPr>
        <w:t>号《关于准予交银施罗德科锐科技创新混合型证券投资基金注册的批复》核准，由交银施罗德基金管理有限公司依照《中华人民共和国证券投资基金法》和《交银施罗德科锐科技创新混合型证券投资基金基金合同》负责公开募集。本基金为契约型开放式，存续期限不定，首次设立募集不包括认购资金利息共募集人民币</w:t>
      </w:r>
      <w:r>
        <w:rPr>
          <w:color w:val="000000"/>
          <w:sz w:val="24"/>
        </w:rPr>
        <w:t>989,487,681.19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0070</w:t>
      </w:r>
      <w:r>
        <w:rPr>
          <w:color w:val="000000"/>
          <w:sz w:val="24"/>
        </w:rPr>
        <w:t>号验资报告予以验证。经向中国证监会备</w:t>
      </w:r>
      <w:r>
        <w:rPr>
          <w:color w:val="000000"/>
          <w:sz w:val="24"/>
        </w:rPr>
        <w:lastRenderedPageBreak/>
        <w:t>案，《交银施罗德科锐科技创新混合型证券投资基金基金合同》于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日正式生效，基金合同生效日的基金份额总额为</w:t>
      </w:r>
      <w:r>
        <w:rPr>
          <w:color w:val="000000"/>
          <w:sz w:val="24"/>
        </w:rPr>
        <w:t>989,622,080.10</w:t>
      </w:r>
      <w:r>
        <w:rPr>
          <w:color w:val="000000"/>
          <w:sz w:val="24"/>
        </w:rPr>
        <w:t>份基金份额，其中认购资金利息折合</w:t>
      </w:r>
      <w:r>
        <w:rPr>
          <w:color w:val="000000"/>
          <w:sz w:val="24"/>
        </w:rPr>
        <w:t>134,398.91</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根据《中华人民共和国证券投资基金法》和《交银施罗德科锐科技创新混合型证券投资基金基金合同》的有关规定，本基金的投资范围为具有良好流动性的金融工具，包括国内依法发行上市的股票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含中小板、创业板及其他经中国证监会核准或准予注册上市的股票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。本基金的投资组合比例为：股票资产占基金资产的比例为</w:t>
      </w:r>
      <w:r w:rsidRPr="005312D8">
        <w:rPr>
          <w:color w:val="000000"/>
          <w:sz w:val="24"/>
        </w:rPr>
        <w:t>60%-95%</w:t>
      </w:r>
      <w:r w:rsidRPr="005312D8">
        <w:rPr>
          <w:color w:val="000000"/>
          <w:sz w:val="24"/>
        </w:rPr>
        <w:t>，其中投资于科技创新主题相关证券的比例不低于非现金基金资产的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，其中现金不包括结算备付金、存出保证金、应收申购款等。本基金的业绩比较基准为：中国战略新兴产业成份指数收益率</w:t>
      </w:r>
      <w:r w:rsidRPr="005312D8">
        <w:rPr>
          <w:color w:val="000000"/>
          <w:sz w:val="24"/>
        </w:rPr>
        <w:t>×65%+</w:t>
      </w:r>
      <w:r w:rsidRPr="005312D8">
        <w:rPr>
          <w:color w:val="000000"/>
          <w:sz w:val="24"/>
        </w:rPr>
        <w:t>中证综合债券指数收益率</w:t>
      </w:r>
      <w:r w:rsidRPr="005312D8">
        <w:rPr>
          <w:color w:val="000000"/>
          <w:sz w:val="24"/>
        </w:rPr>
        <w:t>×35%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颁布的《证券投资基金会计核算业务指引》、《交银施罗德科锐科技创新混合型证券投资基金基金合同》和在财务报表附注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20</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20</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20</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345EA6" w:rsidRDefault="00756E0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345EA6" w:rsidRDefault="00756E0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45EA6" w:rsidRDefault="00756E0F">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345EA6" w:rsidRDefault="00756E0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45EA6" w:rsidRDefault="00756E0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345EA6" w:rsidRDefault="00756E0F">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45EA6" w:rsidRDefault="00756E0F">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345EA6" w:rsidRDefault="00756E0F">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45EA6" w:rsidRDefault="00756E0F">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345EA6" w:rsidRDefault="00756E0F">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345EA6" w:rsidRDefault="00756E0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45EA6" w:rsidRDefault="00756E0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bCs/>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w:t>
      </w:r>
      <w:r w:rsidRPr="005312D8">
        <w:rPr>
          <w:color w:val="000000"/>
          <w:sz w:val="24"/>
        </w:rPr>
        <w:lastRenderedPageBreak/>
        <w:t>损益占基金净值比例计算的金额。损益平准金于基金申购确认日或基金赎回确认日认列，并于期末全额转入未分配利润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345EA6" w:rsidRDefault="00756E0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45EA6" w:rsidRDefault="00756E0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345EA6" w:rsidRDefault="00756E0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bCs/>
          <w:color w:val="000000"/>
          <w:kern w:val="0"/>
          <w:sz w:val="24"/>
        </w:rPr>
        <w:t>基金的收益分配政策</w:t>
      </w:r>
    </w:p>
    <w:p w:rsidR="00345EA6" w:rsidRDefault="00756E0F">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345EA6" w:rsidRDefault="00756E0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w:t>
      </w:r>
      <w:r>
        <w:rPr>
          <w:color w:val="000000"/>
          <w:sz w:val="24"/>
        </w:rPr>
        <w:lastRenderedPageBreak/>
        <w:t>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345EA6" w:rsidRDefault="00756E0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345EA6" w:rsidRDefault="00756E0F">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45EA6" w:rsidRDefault="00756E0F">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可转换债券、可交换债券和私募债券除外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45EA6" w:rsidRDefault="00756E0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45EA6" w:rsidRDefault="00756E0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345EA6" w:rsidRDefault="00756E0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45EA6" w:rsidRDefault="00756E0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45EA6" w:rsidRDefault="00756E0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45EA6" w:rsidRDefault="00756E0F">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345EA6" w:rsidRDefault="00756E0F">
      <w:pPr>
        <w:spacing w:before="29" w:line="288" w:lineRule="auto"/>
        <w:ind w:firstLineChars="200" w:firstLine="480"/>
        <w:rPr>
          <w:color w:val="000000"/>
          <w:sz w:val="24"/>
        </w:rPr>
      </w:pPr>
      <w:r>
        <w:rPr>
          <w:color w:val="000000"/>
          <w:sz w:val="24"/>
        </w:rPr>
        <w:lastRenderedPageBreak/>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306,079,773.03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306,079,773.03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489,775,116.89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607,395,416.84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117,620,299.95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489,775,116.89</w:t>
            </w:r>
          </w:p>
        </w:tc>
        <w:tc>
          <w:tcPr>
            <w:tcW w:w="2264" w:type="dxa"/>
            <w:vAlign w:val="bottom"/>
          </w:tcPr>
          <w:p w:rsidR="00A8543B" w:rsidRPr="005312D8" w:rsidRDefault="00A8543B" w:rsidP="0048308E">
            <w:pPr>
              <w:spacing w:before="29" w:line="288" w:lineRule="auto"/>
              <w:jc w:val="right"/>
              <w:rPr>
                <w:sz w:val="24"/>
              </w:rPr>
            </w:pPr>
            <w:r w:rsidRPr="005312D8">
              <w:rPr>
                <w:sz w:val="24"/>
              </w:rPr>
              <w:t>607,395,416.84</w:t>
            </w:r>
          </w:p>
        </w:tc>
        <w:tc>
          <w:tcPr>
            <w:tcW w:w="2265" w:type="dxa"/>
            <w:vAlign w:val="bottom"/>
          </w:tcPr>
          <w:p w:rsidR="00A8543B" w:rsidRPr="005312D8" w:rsidRDefault="00A8543B" w:rsidP="0048308E">
            <w:pPr>
              <w:spacing w:before="29" w:line="288" w:lineRule="auto"/>
              <w:jc w:val="right"/>
              <w:rPr>
                <w:sz w:val="24"/>
              </w:rPr>
            </w:pPr>
            <w:r w:rsidRPr="005312D8">
              <w:rPr>
                <w:sz w:val="24"/>
              </w:rPr>
              <w:t>117,620,299.95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70,696.05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541.40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97.80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71,335.25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445,548.31</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445,548.31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51,971.39</w:t>
            </w:r>
          </w:p>
        </w:tc>
      </w:tr>
      <w:tr w:rsidR="00345EA6">
        <w:tc>
          <w:tcPr>
            <w:tcW w:w="3610" w:type="dxa"/>
            <w:vAlign w:val="center"/>
          </w:tcPr>
          <w:p w:rsidR="00345EA6" w:rsidRDefault="00756E0F">
            <w:pPr>
              <w:jc w:val="left"/>
            </w:pPr>
            <w:r>
              <w:rPr>
                <w:sz w:val="24"/>
              </w:rPr>
              <w:t>预提信息披露费</w:t>
            </w:r>
          </w:p>
        </w:tc>
        <w:tc>
          <w:tcPr>
            <w:tcW w:w="5388" w:type="dxa"/>
            <w:vAlign w:val="center"/>
          </w:tcPr>
          <w:p w:rsidR="00345EA6" w:rsidRDefault="00756E0F">
            <w:pPr>
              <w:jc w:val="right"/>
            </w:pPr>
            <w:r>
              <w:rPr>
                <w:sz w:val="24"/>
              </w:rPr>
              <w:t>56,368.66</w:t>
            </w:r>
          </w:p>
        </w:tc>
      </w:tr>
      <w:tr w:rsidR="00345EA6">
        <w:tc>
          <w:tcPr>
            <w:tcW w:w="3610" w:type="dxa"/>
            <w:vAlign w:val="center"/>
          </w:tcPr>
          <w:p w:rsidR="00345EA6" w:rsidRDefault="00756E0F">
            <w:pPr>
              <w:jc w:val="left"/>
            </w:pPr>
            <w:r>
              <w:rPr>
                <w:sz w:val="24"/>
              </w:rPr>
              <w:t>预提审计费</w:t>
            </w:r>
          </w:p>
        </w:tc>
        <w:tc>
          <w:tcPr>
            <w:tcW w:w="5388" w:type="dxa"/>
            <w:vAlign w:val="center"/>
          </w:tcPr>
          <w:p w:rsidR="00345EA6" w:rsidRDefault="00756E0F">
            <w:pPr>
              <w:jc w:val="right"/>
            </w:pPr>
            <w:r>
              <w:rPr>
                <w:sz w:val="24"/>
              </w:rPr>
              <w:t>42,277.31</w:t>
            </w:r>
          </w:p>
        </w:tc>
      </w:tr>
      <w:tr w:rsidR="00345EA6">
        <w:tc>
          <w:tcPr>
            <w:tcW w:w="3610" w:type="dxa"/>
            <w:vAlign w:val="center"/>
          </w:tcPr>
          <w:p w:rsidR="00345EA6" w:rsidRDefault="00756E0F">
            <w:pPr>
              <w:jc w:val="left"/>
            </w:pPr>
            <w:r>
              <w:rPr>
                <w:sz w:val="24"/>
              </w:rPr>
              <w:t>预提账户维护费</w:t>
            </w:r>
          </w:p>
        </w:tc>
        <w:tc>
          <w:tcPr>
            <w:tcW w:w="5388" w:type="dxa"/>
            <w:vAlign w:val="center"/>
          </w:tcPr>
          <w:p w:rsidR="00345EA6" w:rsidRDefault="00756E0F">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155,117.36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基金合同生效日</w:t>
            </w:r>
          </w:p>
        </w:tc>
        <w:tc>
          <w:tcPr>
            <w:tcW w:w="2873" w:type="dxa"/>
            <w:vAlign w:val="center"/>
          </w:tcPr>
          <w:p w:rsidR="00FE7A92" w:rsidRPr="005312D8" w:rsidRDefault="00FE7A92" w:rsidP="00F51CBC">
            <w:pPr>
              <w:jc w:val="right"/>
              <w:rPr>
                <w:sz w:val="24"/>
              </w:rPr>
            </w:pPr>
            <w:r w:rsidRPr="005312D8">
              <w:rPr>
                <w:sz w:val="24"/>
              </w:rPr>
              <w:t>989,622,080.10</w:t>
            </w:r>
          </w:p>
        </w:tc>
        <w:tc>
          <w:tcPr>
            <w:tcW w:w="3364" w:type="dxa"/>
            <w:vAlign w:val="center"/>
          </w:tcPr>
          <w:p w:rsidR="00FE7A92" w:rsidRPr="005312D8" w:rsidRDefault="00FE7A92" w:rsidP="00F51CBC">
            <w:pPr>
              <w:jc w:val="right"/>
              <w:rPr>
                <w:sz w:val="24"/>
              </w:rPr>
            </w:pPr>
            <w:r w:rsidRPr="005312D8">
              <w:rPr>
                <w:sz w:val="24"/>
              </w:rPr>
              <w:t>989,622,080.10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-196,935,669.36</w:t>
            </w:r>
          </w:p>
        </w:tc>
        <w:tc>
          <w:tcPr>
            <w:tcW w:w="3364" w:type="dxa"/>
            <w:vAlign w:val="center"/>
          </w:tcPr>
          <w:p w:rsidR="00FE7A92" w:rsidRPr="005312D8" w:rsidRDefault="00FE7A92" w:rsidP="00F51CBC">
            <w:pPr>
              <w:jc w:val="right"/>
              <w:rPr>
                <w:sz w:val="24"/>
              </w:rPr>
            </w:pPr>
            <w:r w:rsidRPr="005312D8">
              <w:rPr>
                <w:sz w:val="24"/>
              </w:rPr>
              <w:t>-196,935,669.36</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792,686,410.74</w:t>
            </w:r>
          </w:p>
        </w:tc>
        <w:tc>
          <w:tcPr>
            <w:tcW w:w="3364" w:type="dxa"/>
            <w:vAlign w:val="center"/>
          </w:tcPr>
          <w:p w:rsidR="00FE7A92" w:rsidRPr="005312D8" w:rsidRDefault="00FE7A92" w:rsidP="00F51CBC">
            <w:pPr>
              <w:jc w:val="right"/>
              <w:rPr>
                <w:sz w:val="24"/>
              </w:rPr>
            </w:pPr>
            <w:r w:rsidRPr="005312D8">
              <w:rPr>
                <w:sz w:val="24"/>
              </w:rPr>
              <w:t>792,686,410.74</w:t>
            </w:r>
          </w:p>
        </w:tc>
      </w:tr>
    </w:tbl>
    <w:p w:rsidR="00345EA6" w:rsidRDefault="00756E0F">
      <w:pPr>
        <w:tabs>
          <w:tab w:val="left" w:pos="426"/>
        </w:tabs>
        <w:spacing w:before="29" w:line="288" w:lineRule="auto"/>
        <w:jc w:val="left"/>
        <w:rPr>
          <w:kern w:val="0"/>
          <w:sz w:val="24"/>
        </w:rPr>
      </w:pPr>
      <w:r>
        <w:rPr>
          <w:kern w:val="0"/>
          <w:sz w:val="24"/>
        </w:rPr>
        <w:t>注：</w:t>
      </w:r>
      <w:r>
        <w:rPr>
          <w:kern w:val="0"/>
          <w:sz w:val="24"/>
        </w:rPr>
        <w:t>1</w:t>
      </w:r>
      <w:r>
        <w:rPr>
          <w:kern w:val="0"/>
          <w:sz w:val="24"/>
        </w:rPr>
        <w:t>、本基金于</w:t>
      </w:r>
      <w:r>
        <w:rPr>
          <w:kern w:val="0"/>
          <w:sz w:val="24"/>
        </w:rPr>
        <w:t>2020</w:t>
      </w:r>
      <w:r>
        <w:rPr>
          <w:kern w:val="0"/>
          <w:sz w:val="24"/>
        </w:rPr>
        <w:t>年</w:t>
      </w:r>
      <w:r>
        <w:rPr>
          <w:kern w:val="0"/>
          <w:sz w:val="24"/>
        </w:rPr>
        <w:t>1</w:t>
      </w:r>
      <w:r>
        <w:rPr>
          <w:kern w:val="0"/>
          <w:sz w:val="24"/>
        </w:rPr>
        <w:t>月</w:t>
      </w:r>
      <w:r>
        <w:rPr>
          <w:kern w:val="0"/>
          <w:sz w:val="24"/>
        </w:rPr>
        <w:t>15</w:t>
      </w:r>
      <w:r>
        <w:rPr>
          <w:kern w:val="0"/>
          <w:sz w:val="24"/>
        </w:rPr>
        <w:t>日公开发售，共募集有效净认购资金人民币</w:t>
      </w:r>
      <w:r>
        <w:rPr>
          <w:kern w:val="0"/>
          <w:sz w:val="24"/>
        </w:rPr>
        <w:t>989,487,681.19</w:t>
      </w:r>
      <w:r>
        <w:rPr>
          <w:kern w:val="0"/>
          <w:sz w:val="24"/>
        </w:rPr>
        <w:t>元，折合为</w:t>
      </w:r>
      <w:r>
        <w:rPr>
          <w:kern w:val="0"/>
          <w:sz w:val="24"/>
        </w:rPr>
        <w:t>989,487,681.19</w:t>
      </w:r>
      <w:r>
        <w:rPr>
          <w:kern w:val="0"/>
          <w:sz w:val="24"/>
        </w:rPr>
        <w:t>份基金份额。根据《交银施罗德科锐科技创新混合型证券投资基金招募说明书》的规定，本基金设立募集期内认购资金产生的利息收入人民币</w:t>
      </w:r>
      <w:r>
        <w:rPr>
          <w:kern w:val="0"/>
          <w:sz w:val="24"/>
        </w:rPr>
        <w:t>134,398.91</w:t>
      </w:r>
      <w:r>
        <w:rPr>
          <w:kern w:val="0"/>
          <w:sz w:val="24"/>
        </w:rPr>
        <w:t>元在本基金成立后，折合为</w:t>
      </w:r>
      <w:r>
        <w:rPr>
          <w:kern w:val="0"/>
          <w:sz w:val="24"/>
        </w:rPr>
        <w:t>134,398.91</w:t>
      </w:r>
      <w:r>
        <w:rPr>
          <w:kern w:val="0"/>
          <w:sz w:val="24"/>
        </w:rPr>
        <w:t>份基金份额，划入基金份额持有人账户。</w:t>
      </w:r>
    </w:p>
    <w:p w:rsidR="00345EA6" w:rsidRDefault="00756E0F">
      <w:pPr>
        <w:tabs>
          <w:tab w:val="left" w:pos="426"/>
        </w:tabs>
        <w:spacing w:before="29" w:line="288" w:lineRule="auto"/>
        <w:jc w:val="left"/>
        <w:rPr>
          <w:kern w:val="0"/>
          <w:sz w:val="24"/>
        </w:rPr>
      </w:pPr>
      <w:r>
        <w:rPr>
          <w:kern w:val="0"/>
          <w:sz w:val="24"/>
        </w:rPr>
        <w:t>2</w:t>
      </w:r>
      <w:r>
        <w:rPr>
          <w:kern w:val="0"/>
          <w:sz w:val="24"/>
        </w:rPr>
        <w:t>、根据《交银施罗德科锐科技创新混合型证券投资基金基金合同》、《交银施罗德科锐科技创新混合型证券投资基金招募说明书》、《交银施罗德基金管理有限公司关于交银施罗德科锐科技创新混合型证券投资基金开放日常赎回业务的公告》的相关规定，本基金于</w:t>
      </w:r>
      <w:r>
        <w:rPr>
          <w:kern w:val="0"/>
          <w:sz w:val="24"/>
        </w:rPr>
        <w:t>2020</w:t>
      </w:r>
      <w:r>
        <w:rPr>
          <w:kern w:val="0"/>
          <w:sz w:val="24"/>
        </w:rPr>
        <w:t>年</w:t>
      </w:r>
      <w:r>
        <w:rPr>
          <w:kern w:val="0"/>
          <w:sz w:val="24"/>
        </w:rPr>
        <w:t>1</w:t>
      </w:r>
      <w:r>
        <w:rPr>
          <w:kern w:val="0"/>
          <w:sz w:val="24"/>
        </w:rPr>
        <w:t>月</w:t>
      </w:r>
      <w:r>
        <w:rPr>
          <w:kern w:val="0"/>
          <w:sz w:val="24"/>
        </w:rPr>
        <w:t>20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4</w:t>
      </w:r>
      <w:r>
        <w:rPr>
          <w:kern w:val="0"/>
          <w:sz w:val="24"/>
        </w:rPr>
        <w:t>月</w:t>
      </w:r>
      <w:r>
        <w:rPr>
          <w:kern w:val="0"/>
          <w:sz w:val="24"/>
        </w:rPr>
        <w:t>16</w:t>
      </w:r>
      <w:r>
        <w:rPr>
          <w:kern w:val="0"/>
          <w:sz w:val="24"/>
        </w:rPr>
        <w:t>日止期间暂不向投资人开放，基金赎回业务自</w:t>
      </w:r>
      <w:r>
        <w:rPr>
          <w:kern w:val="0"/>
          <w:sz w:val="24"/>
        </w:rPr>
        <w:t>2020</w:t>
      </w:r>
      <w:r>
        <w:rPr>
          <w:kern w:val="0"/>
          <w:sz w:val="24"/>
        </w:rPr>
        <w:t>年</w:t>
      </w:r>
      <w:r>
        <w:rPr>
          <w:kern w:val="0"/>
          <w:sz w:val="24"/>
        </w:rPr>
        <w:t>4</w:t>
      </w:r>
      <w:r>
        <w:rPr>
          <w:kern w:val="0"/>
          <w:sz w:val="24"/>
        </w:rPr>
        <w:t>月</w:t>
      </w:r>
      <w:r>
        <w:rPr>
          <w:kern w:val="0"/>
          <w:sz w:val="24"/>
        </w:rPr>
        <w:t>17</w:t>
      </w:r>
      <w:r>
        <w:rPr>
          <w:kern w:val="0"/>
          <w:sz w:val="24"/>
        </w:rPr>
        <w:t>日起开始办理。</w:t>
      </w:r>
    </w:p>
    <w:p w:rsidR="00345EA6" w:rsidRDefault="00756E0F">
      <w:pPr>
        <w:tabs>
          <w:tab w:val="left" w:pos="426"/>
        </w:tabs>
        <w:spacing w:before="29" w:line="288" w:lineRule="auto"/>
        <w:jc w:val="left"/>
        <w:rPr>
          <w:kern w:val="0"/>
          <w:sz w:val="24"/>
        </w:rPr>
      </w:pPr>
      <w:r>
        <w:rPr>
          <w:kern w:val="0"/>
          <w:sz w:val="24"/>
        </w:rPr>
        <w:t>3</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4</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-6,546,668.27</w:t>
            </w:r>
          </w:p>
        </w:tc>
        <w:tc>
          <w:tcPr>
            <w:tcW w:w="2100" w:type="dxa"/>
            <w:vAlign w:val="center"/>
          </w:tcPr>
          <w:p w:rsidR="001548F9" w:rsidRPr="005312D8" w:rsidRDefault="001548F9" w:rsidP="0048308E">
            <w:pPr>
              <w:spacing w:before="29" w:line="288" w:lineRule="auto"/>
              <w:jc w:val="right"/>
              <w:rPr>
                <w:sz w:val="24"/>
              </w:rPr>
            </w:pPr>
            <w:r w:rsidRPr="005312D8">
              <w:rPr>
                <w:sz w:val="24"/>
              </w:rPr>
              <w:t>117,620,299.95</w:t>
            </w:r>
          </w:p>
        </w:tc>
        <w:tc>
          <w:tcPr>
            <w:tcW w:w="2100" w:type="dxa"/>
            <w:vAlign w:val="center"/>
          </w:tcPr>
          <w:p w:rsidR="001548F9" w:rsidRPr="005312D8" w:rsidRDefault="001548F9" w:rsidP="0048308E">
            <w:pPr>
              <w:spacing w:before="29" w:line="288" w:lineRule="auto"/>
              <w:jc w:val="right"/>
              <w:rPr>
                <w:sz w:val="24"/>
              </w:rPr>
            </w:pPr>
            <w:r w:rsidRPr="005312D8">
              <w:rPr>
                <w:sz w:val="24"/>
              </w:rPr>
              <w:t>111,073,631.68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w:t>
            </w:r>
            <w:r w:rsidRPr="005312D8">
              <w:rPr>
                <w:color w:val="000000"/>
                <w:sz w:val="24"/>
              </w:rPr>
              <w:lastRenderedPageBreak/>
              <w:t>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lastRenderedPageBreak/>
              <w:t>2,276,235.91</w:t>
            </w:r>
          </w:p>
        </w:tc>
        <w:tc>
          <w:tcPr>
            <w:tcW w:w="2100" w:type="dxa"/>
            <w:vAlign w:val="center"/>
          </w:tcPr>
          <w:p w:rsidR="001548F9" w:rsidRPr="005312D8" w:rsidRDefault="001548F9" w:rsidP="0048308E">
            <w:pPr>
              <w:spacing w:before="29" w:line="288" w:lineRule="auto"/>
              <w:jc w:val="right"/>
              <w:rPr>
                <w:sz w:val="24"/>
              </w:rPr>
            </w:pPr>
            <w:r w:rsidRPr="005312D8">
              <w:rPr>
                <w:sz w:val="24"/>
              </w:rPr>
              <w:t>-13,272,450.75</w:t>
            </w:r>
          </w:p>
        </w:tc>
        <w:tc>
          <w:tcPr>
            <w:tcW w:w="2100" w:type="dxa"/>
            <w:vAlign w:val="center"/>
          </w:tcPr>
          <w:p w:rsidR="001548F9" w:rsidRPr="005312D8" w:rsidRDefault="001548F9" w:rsidP="0048308E">
            <w:pPr>
              <w:spacing w:before="29" w:line="288" w:lineRule="auto"/>
              <w:jc w:val="right"/>
              <w:rPr>
                <w:sz w:val="24"/>
              </w:rPr>
            </w:pPr>
            <w:r w:rsidRPr="005312D8">
              <w:rPr>
                <w:sz w:val="24"/>
              </w:rPr>
              <w:t>-10,996,214.84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2,276,235.91</w:t>
            </w:r>
          </w:p>
        </w:tc>
        <w:tc>
          <w:tcPr>
            <w:tcW w:w="2100" w:type="dxa"/>
            <w:vAlign w:val="center"/>
          </w:tcPr>
          <w:p w:rsidR="001548F9" w:rsidRPr="005312D8" w:rsidRDefault="001548F9" w:rsidP="0048308E">
            <w:pPr>
              <w:spacing w:before="29" w:line="288" w:lineRule="auto"/>
              <w:jc w:val="right"/>
              <w:rPr>
                <w:sz w:val="24"/>
              </w:rPr>
            </w:pPr>
            <w:r w:rsidRPr="005312D8">
              <w:rPr>
                <w:sz w:val="24"/>
              </w:rPr>
              <w:t>-13,272,450.75</w:t>
            </w:r>
          </w:p>
        </w:tc>
        <w:tc>
          <w:tcPr>
            <w:tcW w:w="2100" w:type="dxa"/>
            <w:vAlign w:val="center"/>
          </w:tcPr>
          <w:p w:rsidR="001548F9" w:rsidRPr="005312D8" w:rsidRDefault="001548F9" w:rsidP="0048308E">
            <w:pPr>
              <w:spacing w:before="29" w:line="288" w:lineRule="auto"/>
              <w:jc w:val="right"/>
              <w:rPr>
                <w:sz w:val="24"/>
              </w:rPr>
            </w:pPr>
            <w:r w:rsidRPr="005312D8">
              <w:rPr>
                <w:sz w:val="24"/>
              </w:rPr>
              <w:t>-10,996,214.84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-4,270,432.36</w:t>
            </w:r>
          </w:p>
        </w:tc>
        <w:tc>
          <w:tcPr>
            <w:tcW w:w="2100" w:type="dxa"/>
            <w:vAlign w:val="center"/>
          </w:tcPr>
          <w:p w:rsidR="001548F9" w:rsidRPr="005312D8" w:rsidRDefault="001548F9" w:rsidP="0048308E">
            <w:pPr>
              <w:spacing w:before="29" w:line="288" w:lineRule="auto"/>
              <w:jc w:val="right"/>
              <w:rPr>
                <w:sz w:val="24"/>
              </w:rPr>
            </w:pPr>
            <w:r w:rsidRPr="005312D8">
              <w:rPr>
                <w:sz w:val="24"/>
              </w:rPr>
              <w:t>104,347,849.20</w:t>
            </w:r>
          </w:p>
        </w:tc>
        <w:tc>
          <w:tcPr>
            <w:tcW w:w="2100" w:type="dxa"/>
            <w:vAlign w:val="center"/>
          </w:tcPr>
          <w:p w:rsidR="001548F9" w:rsidRPr="005312D8" w:rsidRDefault="001548F9" w:rsidP="0048308E">
            <w:pPr>
              <w:spacing w:before="29" w:line="288" w:lineRule="auto"/>
              <w:jc w:val="right"/>
              <w:rPr>
                <w:sz w:val="24"/>
              </w:rPr>
            </w:pPr>
            <w:r w:rsidRPr="005312D8">
              <w:rPr>
                <w:sz w:val="24"/>
              </w:rPr>
              <w:t>100,077,416.84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2,260,974.01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7,973.86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762.17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2,269,710.04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316,664,535.31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319,305,757.23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-2,641,221.92</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2,460,479.22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2,460,479.22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117,620,299.95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117,620,299.95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117,620,299.95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519,884.69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519,884.69</w:t>
            </w:r>
          </w:p>
        </w:tc>
      </w:tr>
    </w:tbl>
    <w:p w:rsidR="00345EA6" w:rsidRDefault="00756E0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w:t>
      </w:r>
      <w:r w:rsidRPr="005312D8">
        <w:rPr>
          <w:kern w:val="0"/>
          <w:sz w:val="24"/>
        </w:rPr>
        <w:lastRenderedPageBreak/>
        <w:t>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20</w:t>
            </w:r>
            <w:r w:rsidRPr="000307A0">
              <w:rPr>
                <w:rFonts w:eastAsiaTheme="minorEastAsia"/>
                <w:color w:val="000000" w:themeColor="text1"/>
                <w:szCs w:val="21"/>
              </w:rPr>
              <w:t>日（基金合同生效日）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1,481,899.89</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1,481,899.89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42,277.31</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56,368.66</w:t>
            </w:r>
          </w:p>
        </w:tc>
      </w:tr>
      <w:tr w:rsidR="00345EA6">
        <w:tc>
          <w:tcPr>
            <w:tcW w:w="3689" w:type="dxa"/>
            <w:vAlign w:val="center"/>
          </w:tcPr>
          <w:p w:rsidR="00345EA6" w:rsidRDefault="00756E0F">
            <w:pPr>
              <w:jc w:val="left"/>
            </w:pPr>
            <w:r>
              <w:rPr>
                <w:sz w:val="24"/>
              </w:rPr>
              <w:t>银行费用</w:t>
            </w:r>
          </w:p>
        </w:tc>
        <w:tc>
          <w:tcPr>
            <w:tcW w:w="5309" w:type="dxa"/>
            <w:vAlign w:val="center"/>
          </w:tcPr>
          <w:p w:rsidR="00345EA6" w:rsidRDefault="00756E0F">
            <w:pPr>
              <w:jc w:val="right"/>
            </w:pPr>
            <w:r>
              <w:rPr>
                <w:sz w:val="24"/>
              </w:rPr>
              <w:t>15,095.19</w:t>
            </w:r>
          </w:p>
        </w:tc>
      </w:tr>
      <w:tr w:rsidR="00345EA6">
        <w:tc>
          <w:tcPr>
            <w:tcW w:w="3689" w:type="dxa"/>
            <w:vAlign w:val="center"/>
          </w:tcPr>
          <w:p w:rsidR="00345EA6" w:rsidRDefault="00756E0F">
            <w:pPr>
              <w:jc w:val="left"/>
            </w:pPr>
            <w:r>
              <w:rPr>
                <w:sz w:val="24"/>
              </w:rPr>
              <w:t>债券账户费用</w:t>
            </w:r>
          </w:p>
        </w:tc>
        <w:tc>
          <w:tcPr>
            <w:tcW w:w="5309" w:type="dxa"/>
            <w:vAlign w:val="center"/>
          </w:tcPr>
          <w:p w:rsidR="00345EA6" w:rsidRDefault="00756E0F">
            <w:pPr>
              <w:jc w:val="right"/>
            </w:pPr>
            <w:r>
              <w:rPr>
                <w:sz w:val="24"/>
              </w:rPr>
              <w:t>4,500.00</w:t>
            </w:r>
          </w:p>
        </w:tc>
      </w:tr>
      <w:tr w:rsidR="00345EA6">
        <w:tc>
          <w:tcPr>
            <w:tcW w:w="3689" w:type="dxa"/>
            <w:vAlign w:val="center"/>
          </w:tcPr>
          <w:p w:rsidR="00345EA6" w:rsidRDefault="00756E0F">
            <w:pPr>
              <w:jc w:val="left"/>
            </w:pPr>
            <w:r>
              <w:rPr>
                <w:sz w:val="24"/>
              </w:rPr>
              <w:t>其他</w:t>
            </w:r>
          </w:p>
        </w:tc>
        <w:tc>
          <w:tcPr>
            <w:tcW w:w="5309" w:type="dxa"/>
            <w:vAlign w:val="center"/>
          </w:tcPr>
          <w:p w:rsidR="00345EA6" w:rsidRDefault="00756E0F">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118,641.16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345EA6">
        <w:tc>
          <w:tcPr>
            <w:tcW w:w="5219" w:type="dxa"/>
            <w:vAlign w:val="center"/>
          </w:tcPr>
          <w:p w:rsidR="00345EA6" w:rsidRDefault="00756E0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45EA6" w:rsidRDefault="00756E0F">
            <w:pPr>
              <w:jc w:val="left"/>
            </w:pPr>
            <w:r>
              <w:rPr>
                <w:color w:val="000000"/>
                <w:sz w:val="24"/>
              </w:rPr>
              <w:t>基金托管人、基金销售机构</w:t>
            </w:r>
          </w:p>
        </w:tc>
      </w:tr>
      <w:tr w:rsidR="00345EA6">
        <w:tc>
          <w:tcPr>
            <w:tcW w:w="5219" w:type="dxa"/>
            <w:vAlign w:val="center"/>
          </w:tcPr>
          <w:p w:rsidR="00345EA6" w:rsidRDefault="00756E0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45EA6" w:rsidRDefault="00756E0F">
            <w:pPr>
              <w:jc w:val="left"/>
            </w:pPr>
            <w:r>
              <w:rPr>
                <w:color w:val="000000"/>
                <w:sz w:val="24"/>
              </w:rPr>
              <w:t>基金管理人、基金销售机构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756E0F" w:rsidRPr="005312D8" w:rsidTr="00756E0F">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56E0F" w:rsidRPr="005312D8" w:rsidTr="00756E0F">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6,475,696.48</w:t>
            </w:r>
          </w:p>
        </w:tc>
      </w:tr>
      <w:tr w:rsidR="00756E0F" w:rsidRPr="005312D8" w:rsidTr="00756E0F">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2,839,584.69</w:t>
            </w:r>
          </w:p>
        </w:tc>
      </w:tr>
    </w:tbl>
    <w:p w:rsidR="00345EA6" w:rsidRDefault="00756E0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345EA6" w:rsidRDefault="00756E0F">
      <w:pPr>
        <w:tabs>
          <w:tab w:val="left" w:pos="426"/>
        </w:tabs>
        <w:spacing w:before="29" w:line="288" w:lineRule="auto"/>
        <w:jc w:val="left"/>
        <w:rPr>
          <w:kern w:val="0"/>
          <w:sz w:val="24"/>
        </w:rPr>
      </w:pP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756E0F" w:rsidRPr="005312D8" w:rsidTr="00756E0F">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日（基金合同生效日）至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56E0F" w:rsidRPr="005312D8" w:rsidTr="00756E0F">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1,079,282.77</w:t>
            </w:r>
          </w:p>
        </w:tc>
      </w:tr>
    </w:tbl>
    <w:p w:rsidR="00345EA6" w:rsidRDefault="00756E0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312D8" w:rsidRDefault="001548F9" w:rsidP="0048308E">
      <w:pPr>
        <w:tabs>
          <w:tab w:val="left" w:pos="426"/>
        </w:tabs>
        <w:spacing w:before="29" w:line="288" w:lineRule="auto"/>
        <w:jc w:val="left"/>
        <w:rPr>
          <w:kern w:val="0"/>
          <w:sz w:val="24"/>
        </w:rPr>
      </w:pPr>
      <w:r w:rsidRPr="005312D8">
        <w:rPr>
          <w:kern w:val="0"/>
          <w:sz w:val="24"/>
        </w:rPr>
        <w:t>其计算公式为：日托管费＝前一日基金资产净值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20</w:t>
            </w:r>
            <w:r w:rsidRPr="005312D8">
              <w:rPr>
                <w:color w:val="000000"/>
                <w:sz w:val="24"/>
              </w:rPr>
              <w:t>日（基金合同生效日）至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345EA6">
        <w:tc>
          <w:tcPr>
            <w:tcW w:w="2127" w:type="dxa"/>
            <w:vAlign w:val="center"/>
          </w:tcPr>
          <w:p w:rsidR="00345EA6" w:rsidRDefault="00756E0F">
            <w:pPr>
              <w:jc w:val="left"/>
            </w:pPr>
            <w:r>
              <w:rPr>
                <w:sz w:val="24"/>
              </w:rPr>
              <w:t>中国农业银行股份有限公司</w:t>
            </w:r>
          </w:p>
        </w:tc>
        <w:tc>
          <w:tcPr>
            <w:tcW w:w="3827" w:type="dxa"/>
            <w:vAlign w:val="center"/>
          </w:tcPr>
          <w:p w:rsidR="00345EA6" w:rsidRDefault="00756E0F">
            <w:pPr>
              <w:jc w:val="right"/>
            </w:pPr>
            <w:r>
              <w:rPr>
                <w:sz w:val="24"/>
              </w:rPr>
              <w:t>306,079,773.03</w:t>
            </w:r>
          </w:p>
        </w:tc>
        <w:tc>
          <w:tcPr>
            <w:tcW w:w="3044" w:type="dxa"/>
            <w:vAlign w:val="center"/>
          </w:tcPr>
          <w:p w:rsidR="00345EA6" w:rsidRDefault="00756E0F">
            <w:pPr>
              <w:jc w:val="right"/>
            </w:pPr>
            <w:r>
              <w:rPr>
                <w:sz w:val="24"/>
              </w:rPr>
              <w:t>2,260,974.01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lastRenderedPageBreak/>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lastRenderedPageBreak/>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w:t>
            </w:r>
            <w:r w:rsidRPr="005312D8">
              <w:rPr>
                <w:sz w:val="24"/>
              </w:rPr>
              <w:lastRenderedPageBreak/>
              <w:t>额</w:t>
            </w:r>
          </w:p>
        </w:tc>
        <w:tc>
          <w:tcPr>
            <w:tcW w:w="1134" w:type="dxa"/>
            <w:vAlign w:val="center"/>
          </w:tcPr>
          <w:p w:rsidR="001548F9" w:rsidRPr="005312D8" w:rsidRDefault="001548F9" w:rsidP="0048308E">
            <w:pPr>
              <w:spacing w:before="29" w:line="288" w:lineRule="auto"/>
              <w:jc w:val="center"/>
              <w:rPr>
                <w:sz w:val="24"/>
              </w:rPr>
            </w:pPr>
            <w:r w:rsidRPr="005312D8">
              <w:rPr>
                <w:sz w:val="24"/>
              </w:rPr>
              <w:lastRenderedPageBreak/>
              <w:t>期末</w:t>
            </w:r>
          </w:p>
          <w:p w:rsidR="001548F9" w:rsidRPr="005312D8" w:rsidRDefault="001548F9" w:rsidP="0048308E">
            <w:pPr>
              <w:spacing w:before="29" w:line="288" w:lineRule="auto"/>
              <w:jc w:val="center"/>
              <w:rPr>
                <w:sz w:val="24"/>
              </w:rPr>
            </w:pPr>
            <w:r w:rsidRPr="005312D8">
              <w:rPr>
                <w:sz w:val="24"/>
              </w:rPr>
              <w:t>估值总</w:t>
            </w:r>
            <w:r w:rsidRPr="005312D8">
              <w:rPr>
                <w:sz w:val="24"/>
              </w:rPr>
              <w:lastRenderedPageBreak/>
              <w:t>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lastRenderedPageBreak/>
              <w:t>备注</w:t>
            </w:r>
          </w:p>
        </w:tc>
      </w:tr>
      <w:tr w:rsidR="00345EA6">
        <w:tc>
          <w:tcPr>
            <w:tcW w:w="816" w:type="dxa"/>
            <w:vAlign w:val="center"/>
          </w:tcPr>
          <w:p w:rsidR="00345EA6" w:rsidRDefault="00756E0F">
            <w:pPr>
              <w:jc w:val="center"/>
            </w:pPr>
            <w:r>
              <w:rPr>
                <w:sz w:val="24"/>
              </w:rPr>
              <w:t>002352</w:t>
            </w:r>
          </w:p>
        </w:tc>
        <w:tc>
          <w:tcPr>
            <w:tcW w:w="818" w:type="dxa"/>
            <w:vAlign w:val="center"/>
          </w:tcPr>
          <w:p w:rsidR="00345EA6" w:rsidRDefault="00756E0F">
            <w:pPr>
              <w:jc w:val="center"/>
            </w:pPr>
            <w:r>
              <w:rPr>
                <w:sz w:val="24"/>
              </w:rPr>
              <w:t>顺丰控股</w:t>
            </w:r>
          </w:p>
        </w:tc>
        <w:tc>
          <w:tcPr>
            <w:tcW w:w="817" w:type="dxa"/>
            <w:vAlign w:val="center"/>
          </w:tcPr>
          <w:p w:rsidR="00345EA6" w:rsidRDefault="00756E0F">
            <w:pPr>
              <w:jc w:val="center"/>
            </w:pPr>
            <w:r>
              <w:rPr>
                <w:sz w:val="24"/>
              </w:rPr>
              <w:t>2020-02-10</w:t>
            </w:r>
          </w:p>
        </w:tc>
        <w:tc>
          <w:tcPr>
            <w:tcW w:w="819" w:type="dxa"/>
            <w:vAlign w:val="center"/>
          </w:tcPr>
          <w:p w:rsidR="00345EA6" w:rsidRDefault="00756E0F">
            <w:pPr>
              <w:jc w:val="center"/>
            </w:pPr>
            <w:r>
              <w:rPr>
                <w:sz w:val="24"/>
              </w:rPr>
              <w:t>2020-08-10</w:t>
            </w:r>
          </w:p>
        </w:tc>
        <w:tc>
          <w:tcPr>
            <w:tcW w:w="960" w:type="dxa"/>
            <w:vAlign w:val="center"/>
          </w:tcPr>
          <w:p w:rsidR="00345EA6" w:rsidRDefault="00756E0F">
            <w:pPr>
              <w:jc w:val="center"/>
            </w:pPr>
            <w:r>
              <w:rPr>
                <w:sz w:val="24"/>
              </w:rPr>
              <w:t>限售股</w:t>
            </w:r>
          </w:p>
        </w:tc>
        <w:tc>
          <w:tcPr>
            <w:tcW w:w="676" w:type="dxa"/>
            <w:vAlign w:val="center"/>
          </w:tcPr>
          <w:p w:rsidR="00345EA6" w:rsidRDefault="00756E0F">
            <w:pPr>
              <w:jc w:val="right"/>
            </w:pPr>
            <w:r>
              <w:rPr>
                <w:sz w:val="24"/>
              </w:rPr>
              <w:t>40.38</w:t>
            </w:r>
          </w:p>
        </w:tc>
        <w:tc>
          <w:tcPr>
            <w:tcW w:w="818" w:type="dxa"/>
            <w:vAlign w:val="center"/>
          </w:tcPr>
          <w:p w:rsidR="00345EA6" w:rsidRDefault="00756E0F">
            <w:pPr>
              <w:jc w:val="center"/>
            </w:pPr>
            <w:r>
              <w:rPr>
                <w:sz w:val="24"/>
              </w:rPr>
              <w:t>53.66</w:t>
            </w:r>
          </w:p>
        </w:tc>
        <w:tc>
          <w:tcPr>
            <w:tcW w:w="819" w:type="dxa"/>
            <w:vAlign w:val="center"/>
          </w:tcPr>
          <w:p w:rsidR="00345EA6" w:rsidRDefault="00756E0F">
            <w:pPr>
              <w:jc w:val="right"/>
            </w:pPr>
            <w:r>
              <w:rPr>
                <w:sz w:val="24"/>
              </w:rPr>
              <w:t>150,000</w:t>
            </w:r>
          </w:p>
        </w:tc>
        <w:tc>
          <w:tcPr>
            <w:tcW w:w="995" w:type="dxa"/>
            <w:vAlign w:val="center"/>
          </w:tcPr>
          <w:p w:rsidR="00345EA6" w:rsidRDefault="00756E0F">
            <w:pPr>
              <w:jc w:val="right"/>
            </w:pPr>
            <w:r>
              <w:rPr>
                <w:sz w:val="24"/>
              </w:rPr>
              <w:t>6,057,000.00</w:t>
            </w:r>
          </w:p>
        </w:tc>
        <w:tc>
          <w:tcPr>
            <w:tcW w:w="1052" w:type="dxa"/>
            <w:vAlign w:val="center"/>
          </w:tcPr>
          <w:p w:rsidR="00345EA6" w:rsidRDefault="00756E0F">
            <w:pPr>
              <w:jc w:val="right"/>
            </w:pPr>
            <w:r>
              <w:rPr>
                <w:sz w:val="24"/>
              </w:rPr>
              <w:t>8,049,000.00</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688566</w:t>
            </w:r>
          </w:p>
        </w:tc>
        <w:tc>
          <w:tcPr>
            <w:tcW w:w="818" w:type="dxa"/>
            <w:vAlign w:val="center"/>
          </w:tcPr>
          <w:p w:rsidR="00345EA6" w:rsidRDefault="00756E0F">
            <w:pPr>
              <w:jc w:val="center"/>
            </w:pPr>
            <w:r>
              <w:rPr>
                <w:sz w:val="24"/>
              </w:rPr>
              <w:t>吉贝尔</w:t>
            </w:r>
          </w:p>
        </w:tc>
        <w:tc>
          <w:tcPr>
            <w:tcW w:w="817" w:type="dxa"/>
            <w:vAlign w:val="center"/>
          </w:tcPr>
          <w:p w:rsidR="00345EA6" w:rsidRDefault="00756E0F">
            <w:pPr>
              <w:jc w:val="center"/>
            </w:pPr>
            <w:r>
              <w:rPr>
                <w:sz w:val="24"/>
              </w:rPr>
              <w:t>2020-05-08</w:t>
            </w:r>
          </w:p>
        </w:tc>
        <w:tc>
          <w:tcPr>
            <w:tcW w:w="819" w:type="dxa"/>
            <w:vAlign w:val="center"/>
          </w:tcPr>
          <w:p w:rsidR="00345EA6" w:rsidRDefault="00756E0F">
            <w:pPr>
              <w:jc w:val="center"/>
            </w:pPr>
            <w:r>
              <w:rPr>
                <w:sz w:val="24"/>
              </w:rPr>
              <w:t>2020-11-18</w:t>
            </w:r>
          </w:p>
        </w:tc>
        <w:tc>
          <w:tcPr>
            <w:tcW w:w="960" w:type="dxa"/>
            <w:vAlign w:val="center"/>
          </w:tcPr>
          <w:p w:rsidR="00345EA6" w:rsidRDefault="00756E0F">
            <w:pPr>
              <w:jc w:val="center"/>
            </w:pPr>
            <w:r>
              <w:rPr>
                <w:sz w:val="24"/>
              </w:rPr>
              <w:t>限售股</w:t>
            </w:r>
          </w:p>
        </w:tc>
        <w:tc>
          <w:tcPr>
            <w:tcW w:w="676" w:type="dxa"/>
            <w:vAlign w:val="center"/>
          </w:tcPr>
          <w:p w:rsidR="00345EA6" w:rsidRDefault="00756E0F">
            <w:pPr>
              <w:jc w:val="right"/>
            </w:pPr>
            <w:r>
              <w:rPr>
                <w:sz w:val="24"/>
              </w:rPr>
              <w:t>23.69</w:t>
            </w:r>
          </w:p>
        </w:tc>
        <w:tc>
          <w:tcPr>
            <w:tcW w:w="818" w:type="dxa"/>
            <w:vAlign w:val="center"/>
          </w:tcPr>
          <w:p w:rsidR="00345EA6" w:rsidRDefault="00756E0F">
            <w:pPr>
              <w:jc w:val="center"/>
            </w:pPr>
            <w:r>
              <w:rPr>
                <w:sz w:val="24"/>
              </w:rPr>
              <w:t>38.43</w:t>
            </w:r>
          </w:p>
        </w:tc>
        <w:tc>
          <w:tcPr>
            <w:tcW w:w="819" w:type="dxa"/>
            <w:vAlign w:val="center"/>
          </w:tcPr>
          <w:p w:rsidR="00345EA6" w:rsidRDefault="00756E0F">
            <w:pPr>
              <w:jc w:val="right"/>
            </w:pPr>
            <w:r>
              <w:rPr>
                <w:sz w:val="24"/>
              </w:rPr>
              <w:t>9,882</w:t>
            </w:r>
          </w:p>
        </w:tc>
        <w:tc>
          <w:tcPr>
            <w:tcW w:w="995" w:type="dxa"/>
            <w:vAlign w:val="center"/>
          </w:tcPr>
          <w:p w:rsidR="00345EA6" w:rsidRDefault="00756E0F">
            <w:pPr>
              <w:jc w:val="right"/>
            </w:pPr>
            <w:r>
              <w:rPr>
                <w:sz w:val="24"/>
              </w:rPr>
              <w:t>234,104.58</w:t>
            </w:r>
          </w:p>
        </w:tc>
        <w:tc>
          <w:tcPr>
            <w:tcW w:w="1052" w:type="dxa"/>
            <w:vAlign w:val="center"/>
          </w:tcPr>
          <w:p w:rsidR="00345EA6" w:rsidRDefault="00756E0F">
            <w:pPr>
              <w:jc w:val="right"/>
            </w:pPr>
            <w:r>
              <w:rPr>
                <w:sz w:val="24"/>
              </w:rPr>
              <w:t>379,765.26</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688377</w:t>
            </w:r>
          </w:p>
        </w:tc>
        <w:tc>
          <w:tcPr>
            <w:tcW w:w="818" w:type="dxa"/>
            <w:vAlign w:val="center"/>
          </w:tcPr>
          <w:p w:rsidR="00345EA6" w:rsidRDefault="00756E0F">
            <w:pPr>
              <w:jc w:val="center"/>
            </w:pPr>
            <w:r>
              <w:rPr>
                <w:sz w:val="24"/>
              </w:rPr>
              <w:t>迪威尔</w:t>
            </w:r>
          </w:p>
        </w:tc>
        <w:tc>
          <w:tcPr>
            <w:tcW w:w="817" w:type="dxa"/>
            <w:vAlign w:val="center"/>
          </w:tcPr>
          <w:p w:rsidR="00345EA6" w:rsidRDefault="00756E0F">
            <w:pPr>
              <w:jc w:val="center"/>
            </w:pPr>
            <w:r>
              <w:rPr>
                <w:sz w:val="24"/>
              </w:rPr>
              <w:t>2020-06-29</w:t>
            </w:r>
          </w:p>
        </w:tc>
        <w:tc>
          <w:tcPr>
            <w:tcW w:w="819" w:type="dxa"/>
            <w:vAlign w:val="center"/>
          </w:tcPr>
          <w:p w:rsidR="00345EA6" w:rsidRDefault="00756E0F">
            <w:pPr>
              <w:jc w:val="center"/>
            </w:pPr>
            <w:r>
              <w:rPr>
                <w:sz w:val="24"/>
              </w:rPr>
              <w:t>2020-07-08</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16.42</w:t>
            </w:r>
          </w:p>
        </w:tc>
        <w:tc>
          <w:tcPr>
            <w:tcW w:w="818" w:type="dxa"/>
            <w:vAlign w:val="center"/>
          </w:tcPr>
          <w:p w:rsidR="00345EA6" w:rsidRDefault="00756E0F">
            <w:pPr>
              <w:jc w:val="center"/>
            </w:pPr>
            <w:r>
              <w:rPr>
                <w:sz w:val="24"/>
              </w:rPr>
              <w:t>16.42</w:t>
            </w:r>
          </w:p>
        </w:tc>
        <w:tc>
          <w:tcPr>
            <w:tcW w:w="819" w:type="dxa"/>
            <w:vAlign w:val="center"/>
          </w:tcPr>
          <w:p w:rsidR="00345EA6" w:rsidRDefault="00756E0F">
            <w:pPr>
              <w:jc w:val="right"/>
            </w:pPr>
            <w:r>
              <w:rPr>
                <w:sz w:val="24"/>
              </w:rPr>
              <w:t>7,894</w:t>
            </w:r>
          </w:p>
        </w:tc>
        <w:tc>
          <w:tcPr>
            <w:tcW w:w="995" w:type="dxa"/>
            <w:vAlign w:val="center"/>
          </w:tcPr>
          <w:p w:rsidR="00345EA6" w:rsidRDefault="00756E0F">
            <w:pPr>
              <w:jc w:val="right"/>
            </w:pPr>
            <w:r>
              <w:rPr>
                <w:sz w:val="24"/>
              </w:rPr>
              <w:t>129,619.48</w:t>
            </w:r>
          </w:p>
        </w:tc>
        <w:tc>
          <w:tcPr>
            <w:tcW w:w="1052" w:type="dxa"/>
            <w:vAlign w:val="center"/>
          </w:tcPr>
          <w:p w:rsidR="00345EA6" w:rsidRDefault="00756E0F">
            <w:pPr>
              <w:jc w:val="right"/>
            </w:pPr>
            <w:r>
              <w:rPr>
                <w:sz w:val="24"/>
              </w:rPr>
              <w:t>129,619.48</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688277</w:t>
            </w:r>
          </w:p>
        </w:tc>
        <w:tc>
          <w:tcPr>
            <w:tcW w:w="818" w:type="dxa"/>
            <w:vAlign w:val="center"/>
          </w:tcPr>
          <w:p w:rsidR="00345EA6" w:rsidRDefault="00756E0F">
            <w:pPr>
              <w:jc w:val="center"/>
            </w:pPr>
            <w:r>
              <w:rPr>
                <w:sz w:val="24"/>
              </w:rPr>
              <w:t>天智航</w:t>
            </w:r>
          </w:p>
        </w:tc>
        <w:tc>
          <w:tcPr>
            <w:tcW w:w="817" w:type="dxa"/>
            <w:vAlign w:val="center"/>
          </w:tcPr>
          <w:p w:rsidR="00345EA6" w:rsidRDefault="00756E0F">
            <w:pPr>
              <w:jc w:val="center"/>
            </w:pPr>
            <w:r>
              <w:rPr>
                <w:sz w:val="24"/>
              </w:rPr>
              <w:t>2020-06-24</w:t>
            </w:r>
          </w:p>
        </w:tc>
        <w:tc>
          <w:tcPr>
            <w:tcW w:w="819" w:type="dxa"/>
            <w:vAlign w:val="center"/>
          </w:tcPr>
          <w:p w:rsidR="00345EA6" w:rsidRDefault="00756E0F">
            <w:pPr>
              <w:jc w:val="center"/>
            </w:pPr>
            <w:r>
              <w:rPr>
                <w:sz w:val="24"/>
              </w:rPr>
              <w:t>2020-07-07</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12.04</w:t>
            </w:r>
          </w:p>
        </w:tc>
        <w:tc>
          <w:tcPr>
            <w:tcW w:w="818" w:type="dxa"/>
            <w:vAlign w:val="center"/>
          </w:tcPr>
          <w:p w:rsidR="00345EA6" w:rsidRDefault="00756E0F">
            <w:pPr>
              <w:jc w:val="center"/>
            </w:pPr>
            <w:r>
              <w:rPr>
                <w:sz w:val="24"/>
              </w:rPr>
              <w:t>12.04</w:t>
            </w:r>
          </w:p>
        </w:tc>
        <w:tc>
          <w:tcPr>
            <w:tcW w:w="819" w:type="dxa"/>
            <w:vAlign w:val="center"/>
          </w:tcPr>
          <w:p w:rsidR="00345EA6" w:rsidRDefault="00756E0F">
            <w:pPr>
              <w:jc w:val="right"/>
            </w:pPr>
            <w:r>
              <w:rPr>
                <w:sz w:val="24"/>
              </w:rPr>
              <w:t>8,810</w:t>
            </w:r>
          </w:p>
        </w:tc>
        <w:tc>
          <w:tcPr>
            <w:tcW w:w="995" w:type="dxa"/>
            <w:vAlign w:val="center"/>
          </w:tcPr>
          <w:p w:rsidR="00345EA6" w:rsidRDefault="00756E0F">
            <w:pPr>
              <w:jc w:val="right"/>
            </w:pPr>
            <w:r>
              <w:rPr>
                <w:sz w:val="24"/>
              </w:rPr>
              <w:t>106,072.40</w:t>
            </w:r>
          </w:p>
        </w:tc>
        <w:tc>
          <w:tcPr>
            <w:tcW w:w="1052" w:type="dxa"/>
            <w:vAlign w:val="center"/>
          </w:tcPr>
          <w:p w:rsidR="00345EA6" w:rsidRDefault="00756E0F">
            <w:pPr>
              <w:jc w:val="right"/>
            </w:pPr>
            <w:r>
              <w:rPr>
                <w:sz w:val="24"/>
              </w:rPr>
              <w:t>106,072.40</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688528</w:t>
            </w:r>
          </w:p>
        </w:tc>
        <w:tc>
          <w:tcPr>
            <w:tcW w:w="818" w:type="dxa"/>
            <w:vAlign w:val="center"/>
          </w:tcPr>
          <w:p w:rsidR="00345EA6" w:rsidRDefault="00756E0F">
            <w:pPr>
              <w:jc w:val="center"/>
            </w:pPr>
            <w:r>
              <w:rPr>
                <w:sz w:val="24"/>
              </w:rPr>
              <w:t>秦川物联</w:t>
            </w:r>
          </w:p>
        </w:tc>
        <w:tc>
          <w:tcPr>
            <w:tcW w:w="817" w:type="dxa"/>
            <w:vAlign w:val="center"/>
          </w:tcPr>
          <w:p w:rsidR="00345EA6" w:rsidRDefault="00756E0F">
            <w:pPr>
              <w:jc w:val="center"/>
            </w:pPr>
            <w:r>
              <w:rPr>
                <w:sz w:val="24"/>
              </w:rPr>
              <w:t>2020-06-19</w:t>
            </w:r>
          </w:p>
        </w:tc>
        <w:tc>
          <w:tcPr>
            <w:tcW w:w="819" w:type="dxa"/>
            <w:vAlign w:val="center"/>
          </w:tcPr>
          <w:p w:rsidR="00345EA6" w:rsidRDefault="00756E0F">
            <w:pPr>
              <w:jc w:val="center"/>
            </w:pPr>
            <w:r>
              <w:rPr>
                <w:sz w:val="24"/>
              </w:rPr>
              <w:t>2020-07-01</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11.33</w:t>
            </w:r>
          </w:p>
        </w:tc>
        <w:tc>
          <w:tcPr>
            <w:tcW w:w="818" w:type="dxa"/>
            <w:vAlign w:val="center"/>
          </w:tcPr>
          <w:p w:rsidR="00345EA6" w:rsidRDefault="00756E0F">
            <w:pPr>
              <w:jc w:val="center"/>
            </w:pPr>
            <w:r>
              <w:rPr>
                <w:sz w:val="24"/>
              </w:rPr>
              <w:t>11.33</w:t>
            </w:r>
          </w:p>
        </w:tc>
        <w:tc>
          <w:tcPr>
            <w:tcW w:w="819" w:type="dxa"/>
            <w:vAlign w:val="center"/>
          </w:tcPr>
          <w:p w:rsidR="00345EA6" w:rsidRDefault="00756E0F">
            <w:pPr>
              <w:jc w:val="right"/>
            </w:pPr>
            <w:r>
              <w:rPr>
                <w:sz w:val="24"/>
              </w:rPr>
              <w:t>8,337</w:t>
            </w:r>
          </w:p>
        </w:tc>
        <w:tc>
          <w:tcPr>
            <w:tcW w:w="995" w:type="dxa"/>
            <w:vAlign w:val="center"/>
          </w:tcPr>
          <w:p w:rsidR="00345EA6" w:rsidRDefault="00756E0F">
            <w:pPr>
              <w:jc w:val="right"/>
            </w:pPr>
            <w:r>
              <w:rPr>
                <w:sz w:val="24"/>
              </w:rPr>
              <w:t>94,458.21</w:t>
            </w:r>
          </w:p>
        </w:tc>
        <w:tc>
          <w:tcPr>
            <w:tcW w:w="1052" w:type="dxa"/>
            <w:vAlign w:val="center"/>
          </w:tcPr>
          <w:p w:rsidR="00345EA6" w:rsidRDefault="00756E0F">
            <w:pPr>
              <w:jc w:val="right"/>
            </w:pPr>
            <w:r>
              <w:rPr>
                <w:sz w:val="24"/>
              </w:rPr>
              <w:t>94,458.21</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688600</w:t>
            </w:r>
          </w:p>
        </w:tc>
        <w:tc>
          <w:tcPr>
            <w:tcW w:w="818" w:type="dxa"/>
            <w:vAlign w:val="center"/>
          </w:tcPr>
          <w:p w:rsidR="00345EA6" w:rsidRDefault="00756E0F">
            <w:pPr>
              <w:jc w:val="center"/>
            </w:pPr>
            <w:r>
              <w:rPr>
                <w:sz w:val="24"/>
              </w:rPr>
              <w:t>皖仪科技</w:t>
            </w:r>
          </w:p>
        </w:tc>
        <w:tc>
          <w:tcPr>
            <w:tcW w:w="817" w:type="dxa"/>
            <w:vAlign w:val="center"/>
          </w:tcPr>
          <w:p w:rsidR="00345EA6" w:rsidRDefault="00756E0F">
            <w:pPr>
              <w:jc w:val="center"/>
            </w:pPr>
            <w:r>
              <w:rPr>
                <w:sz w:val="24"/>
              </w:rPr>
              <w:t>2020-06-23</w:t>
            </w:r>
          </w:p>
        </w:tc>
        <w:tc>
          <w:tcPr>
            <w:tcW w:w="819" w:type="dxa"/>
            <w:vAlign w:val="center"/>
          </w:tcPr>
          <w:p w:rsidR="00345EA6" w:rsidRDefault="00756E0F">
            <w:pPr>
              <w:jc w:val="center"/>
            </w:pPr>
            <w:r>
              <w:rPr>
                <w:sz w:val="24"/>
              </w:rPr>
              <w:t>2020-07-03</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15.50</w:t>
            </w:r>
          </w:p>
        </w:tc>
        <w:tc>
          <w:tcPr>
            <w:tcW w:w="818" w:type="dxa"/>
            <w:vAlign w:val="center"/>
          </w:tcPr>
          <w:p w:rsidR="00345EA6" w:rsidRDefault="00756E0F">
            <w:pPr>
              <w:jc w:val="center"/>
            </w:pPr>
            <w:r>
              <w:rPr>
                <w:sz w:val="24"/>
              </w:rPr>
              <w:t>15.50</w:t>
            </w:r>
          </w:p>
        </w:tc>
        <w:tc>
          <w:tcPr>
            <w:tcW w:w="819" w:type="dxa"/>
            <w:vAlign w:val="center"/>
          </w:tcPr>
          <w:p w:rsidR="00345EA6" w:rsidRDefault="00756E0F">
            <w:pPr>
              <w:jc w:val="right"/>
            </w:pPr>
            <w:r>
              <w:rPr>
                <w:sz w:val="24"/>
              </w:rPr>
              <w:t>5,468</w:t>
            </w:r>
          </w:p>
        </w:tc>
        <w:tc>
          <w:tcPr>
            <w:tcW w:w="995" w:type="dxa"/>
            <w:vAlign w:val="center"/>
          </w:tcPr>
          <w:p w:rsidR="00345EA6" w:rsidRDefault="00756E0F">
            <w:pPr>
              <w:jc w:val="right"/>
            </w:pPr>
            <w:r>
              <w:rPr>
                <w:sz w:val="24"/>
              </w:rPr>
              <w:t>84,754.00</w:t>
            </w:r>
          </w:p>
        </w:tc>
        <w:tc>
          <w:tcPr>
            <w:tcW w:w="1052" w:type="dxa"/>
            <w:vAlign w:val="center"/>
          </w:tcPr>
          <w:p w:rsidR="00345EA6" w:rsidRDefault="00756E0F">
            <w:pPr>
              <w:jc w:val="right"/>
            </w:pPr>
            <w:r>
              <w:rPr>
                <w:sz w:val="24"/>
              </w:rPr>
              <w:t>84,754.00</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300847</w:t>
            </w:r>
          </w:p>
        </w:tc>
        <w:tc>
          <w:tcPr>
            <w:tcW w:w="818" w:type="dxa"/>
            <w:vAlign w:val="center"/>
          </w:tcPr>
          <w:p w:rsidR="00345EA6" w:rsidRDefault="00756E0F">
            <w:pPr>
              <w:jc w:val="center"/>
            </w:pPr>
            <w:r>
              <w:rPr>
                <w:sz w:val="24"/>
              </w:rPr>
              <w:t>中船汉光</w:t>
            </w:r>
          </w:p>
        </w:tc>
        <w:tc>
          <w:tcPr>
            <w:tcW w:w="817" w:type="dxa"/>
            <w:vAlign w:val="center"/>
          </w:tcPr>
          <w:p w:rsidR="00345EA6" w:rsidRDefault="00756E0F">
            <w:pPr>
              <w:jc w:val="center"/>
            </w:pPr>
            <w:r>
              <w:rPr>
                <w:sz w:val="24"/>
              </w:rPr>
              <w:t>2020-06-29</w:t>
            </w:r>
          </w:p>
        </w:tc>
        <w:tc>
          <w:tcPr>
            <w:tcW w:w="819" w:type="dxa"/>
            <w:vAlign w:val="center"/>
          </w:tcPr>
          <w:p w:rsidR="00345EA6" w:rsidRDefault="00756E0F">
            <w:pPr>
              <w:jc w:val="center"/>
            </w:pPr>
            <w:r>
              <w:rPr>
                <w:sz w:val="24"/>
              </w:rPr>
              <w:t>2020-07-09</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6.94</w:t>
            </w:r>
          </w:p>
        </w:tc>
        <w:tc>
          <w:tcPr>
            <w:tcW w:w="818" w:type="dxa"/>
            <w:vAlign w:val="center"/>
          </w:tcPr>
          <w:p w:rsidR="00345EA6" w:rsidRDefault="00756E0F">
            <w:pPr>
              <w:jc w:val="center"/>
            </w:pPr>
            <w:r>
              <w:rPr>
                <w:sz w:val="24"/>
              </w:rPr>
              <w:t>6.94</w:t>
            </w:r>
          </w:p>
        </w:tc>
        <w:tc>
          <w:tcPr>
            <w:tcW w:w="819" w:type="dxa"/>
            <w:vAlign w:val="center"/>
          </w:tcPr>
          <w:p w:rsidR="00345EA6" w:rsidRDefault="00756E0F">
            <w:pPr>
              <w:jc w:val="right"/>
            </w:pPr>
            <w:r>
              <w:rPr>
                <w:sz w:val="24"/>
              </w:rPr>
              <w:t>1,420</w:t>
            </w:r>
          </w:p>
        </w:tc>
        <w:tc>
          <w:tcPr>
            <w:tcW w:w="995" w:type="dxa"/>
            <w:vAlign w:val="center"/>
          </w:tcPr>
          <w:p w:rsidR="00345EA6" w:rsidRDefault="00756E0F">
            <w:pPr>
              <w:jc w:val="right"/>
            </w:pPr>
            <w:r>
              <w:rPr>
                <w:sz w:val="24"/>
              </w:rPr>
              <w:t>9,854.80</w:t>
            </w:r>
          </w:p>
        </w:tc>
        <w:tc>
          <w:tcPr>
            <w:tcW w:w="1052" w:type="dxa"/>
            <w:vAlign w:val="center"/>
          </w:tcPr>
          <w:p w:rsidR="00345EA6" w:rsidRDefault="00756E0F">
            <w:pPr>
              <w:jc w:val="right"/>
            </w:pPr>
            <w:r>
              <w:rPr>
                <w:sz w:val="24"/>
              </w:rPr>
              <w:t>9,854.80</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300845</w:t>
            </w:r>
          </w:p>
        </w:tc>
        <w:tc>
          <w:tcPr>
            <w:tcW w:w="818" w:type="dxa"/>
            <w:vAlign w:val="center"/>
          </w:tcPr>
          <w:p w:rsidR="00345EA6" w:rsidRDefault="00756E0F">
            <w:pPr>
              <w:jc w:val="center"/>
            </w:pPr>
            <w:r>
              <w:rPr>
                <w:sz w:val="24"/>
              </w:rPr>
              <w:t>捷安高科</w:t>
            </w:r>
          </w:p>
        </w:tc>
        <w:tc>
          <w:tcPr>
            <w:tcW w:w="817" w:type="dxa"/>
            <w:vAlign w:val="center"/>
          </w:tcPr>
          <w:p w:rsidR="00345EA6" w:rsidRDefault="00756E0F">
            <w:pPr>
              <w:jc w:val="center"/>
            </w:pPr>
            <w:r>
              <w:rPr>
                <w:sz w:val="24"/>
              </w:rPr>
              <w:t>2020-06-24</w:t>
            </w:r>
          </w:p>
        </w:tc>
        <w:tc>
          <w:tcPr>
            <w:tcW w:w="819" w:type="dxa"/>
            <w:vAlign w:val="center"/>
          </w:tcPr>
          <w:p w:rsidR="00345EA6" w:rsidRDefault="00756E0F">
            <w:pPr>
              <w:jc w:val="center"/>
            </w:pPr>
            <w:r>
              <w:rPr>
                <w:sz w:val="24"/>
              </w:rPr>
              <w:t>2020-07-03</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17.63</w:t>
            </w:r>
          </w:p>
        </w:tc>
        <w:tc>
          <w:tcPr>
            <w:tcW w:w="818" w:type="dxa"/>
            <w:vAlign w:val="center"/>
          </w:tcPr>
          <w:p w:rsidR="00345EA6" w:rsidRDefault="00756E0F">
            <w:pPr>
              <w:jc w:val="center"/>
            </w:pPr>
            <w:r>
              <w:rPr>
                <w:sz w:val="24"/>
              </w:rPr>
              <w:t>17.63</w:t>
            </w:r>
          </w:p>
        </w:tc>
        <w:tc>
          <w:tcPr>
            <w:tcW w:w="819" w:type="dxa"/>
            <w:vAlign w:val="center"/>
          </w:tcPr>
          <w:p w:rsidR="00345EA6" w:rsidRDefault="00756E0F">
            <w:pPr>
              <w:jc w:val="right"/>
            </w:pPr>
            <w:r>
              <w:rPr>
                <w:sz w:val="24"/>
              </w:rPr>
              <w:t>470</w:t>
            </w:r>
          </w:p>
        </w:tc>
        <w:tc>
          <w:tcPr>
            <w:tcW w:w="995" w:type="dxa"/>
            <w:vAlign w:val="center"/>
          </w:tcPr>
          <w:p w:rsidR="00345EA6" w:rsidRDefault="00756E0F">
            <w:pPr>
              <w:jc w:val="right"/>
            </w:pPr>
            <w:r>
              <w:rPr>
                <w:sz w:val="24"/>
              </w:rPr>
              <w:t>8,286.10</w:t>
            </w:r>
          </w:p>
        </w:tc>
        <w:tc>
          <w:tcPr>
            <w:tcW w:w="1052" w:type="dxa"/>
            <w:vAlign w:val="center"/>
          </w:tcPr>
          <w:p w:rsidR="00345EA6" w:rsidRDefault="00756E0F">
            <w:pPr>
              <w:jc w:val="right"/>
            </w:pPr>
            <w:r>
              <w:rPr>
                <w:sz w:val="24"/>
              </w:rPr>
              <w:t>8,286.10</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300843</w:t>
            </w:r>
          </w:p>
        </w:tc>
        <w:tc>
          <w:tcPr>
            <w:tcW w:w="818" w:type="dxa"/>
            <w:vAlign w:val="center"/>
          </w:tcPr>
          <w:p w:rsidR="00345EA6" w:rsidRDefault="00756E0F">
            <w:pPr>
              <w:jc w:val="center"/>
            </w:pPr>
            <w:r>
              <w:rPr>
                <w:sz w:val="24"/>
              </w:rPr>
              <w:t>胜蓝股份</w:t>
            </w:r>
          </w:p>
        </w:tc>
        <w:tc>
          <w:tcPr>
            <w:tcW w:w="817" w:type="dxa"/>
            <w:vAlign w:val="center"/>
          </w:tcPr>
          <w:p w:rsidR="00345EA6" w:rsidRDefault="00756E0F">
            <w:pPr>
              <w:jc w:val="center"/>
            </w:pPr>
            <w:r>
              <w:rPr>
                <w:sz w:val="24"/>
              </w:rPr>
              <w:t>2020-06-23</w:t>
            </w:r>
          </w:p>
        </w:tc>
        <w:tc>
          <w:tcPr>
            <w:tcW w:w="819" w:type="dxa"/>
            <w:vAlign w:val="center"/>
          </w:tcPr>
          <w:p w:rsidR="00345EA6" w:rsidRDefault="00756E0F">
            <w:pPr>
              <w:jc w:val="center"/>
            </w:pPr>
            <w:r>
              <w:rPr>
                <w:sz w:val="24"/>
              </w:rPr>
              <w:t>2020-07-02</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10.01</w:t>
            </w:r>
          </w:p>
        </w:tc>
        <w:tc>
          <w:tcPr>
            <w:tcW w:w="818" w:type="dxa"/>
            <w:vAlign w:val="center"/>
          </w:tcPr>
          <w:p w:rsidR="00345EA6" w:rsidRDefault="00756E0F">
            <w:pPr>
              <w:jc w:val="center"/>
            </w:pPr>
            <w:r>
              <w:rPr>
                <w:sz w:val="24"/>
              </w:rPr>
              <w:t>10.01</w:t>
            </w:r>
          </w:p>
        </w:tc>
        <w:tc>
          <w:tcPr>
            <w:tcW w:w="819" w:type="dxa"/>
            <w:vAlign w:val="center"/>
          </w:tcPr>
          <w:p w:rsidR="00345EA6" w:rsidRDefault="00756E0F">
            <w:pPr>
              <w:jc w:val="right"/>
            </w:pPr>
            <w:r>
              <w:rPr>
                <w:sz w:val="24"/>
              </w:rPr>
              <w:t>751</w:t>
            </w:r>
          </w:p>
        </w:tc>
        <w:tc>
          <w:tcPr>
            <w:tcW w:w="995" w:type="dxa"/>
            <w:vAlign w:val="center"/>
          </w:tcPr>
          <w:p w:rsidR="00345EA6" w:rsidRDefault="00756E0F">
            <w:pPr>
              <w:jc w:val="right"/>
            </w:pPr>
            <w:r>
              <w:rPr>
                <w:sz w:val="24"/>
              </w:rPr>
              <w:t>7,517.51</w:t>
            </w:r>
          </w:p>
        </w:tc>
        <w:tc>
          <w:tcPr>
            <w:tcW w:w="1052" w:type="dxa"/>
            <w:vAlign w:val="center"/>
          </w:tcPr>
          <w:p w:rsidR="00345EA6" w:rsidRDefault="00756E0F">
            <w:pPr>
              <w:jc w:val="right"/>
            </w:pPr>
            <w:r>
              <w:rPr>
                <w:sz w:val="24"/>
              </w:rPr>
              <w:t>7,517.51</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300840</w:t>
            </w:r>
          </w:p>
        </w:tc>
        <w:tc>
          <w:tcPr>
            <w:tcW w:w="818" w:type="dxa"/>
            <w:vAlign w:val="center"/>
          </w:tcPr>
          <w:p w:rsidR="00345EA6" w:rsidRDefault="00756E0F">
            <w:pPr>
              <w:jc w:val="center"/>
            </w:pPr>
            <w:r>
              <w:rPr>
                <w:sz w:val="24"/>
              </w:rPr>
              <w:t>酷特智能</w:t>
            </w:r>
          </w:p>
        </w:tc>
        <w:tc>
          <w:tcPr>
            <w:tcW w:w="817" w:type="dxa"/>
            <w:vAlign w:val="center"/>
          </w:tcPr>
          <w:p w:rsidR="00345EA6" w:rsidRDefault="00756E0F">
            <w:pPr>
              <w:jc w:val="center"/>
            </w:pPr>
            <w:r>
              <w:rPr>
                <w:sz w:val="24"/>
              </w:rPr>
              <w:t>2020-06-30</w:t>
            </w:r>
          </w:p>
        </w:tc>
        <w:tc>
          <w:tcPr>
            <w:tcW w:w="819" w:type="dxa"/>
            <w:vAlign w:val="center"/>
          </w:tcPr>
          <w:p w:rsidR="00345EA6" w:rsidRDefault="00756E0F">
            <w:pPr>
              <w:jc w:val="center"/>
            </w:pPr>
            <w:r>
              <w:rPr>
                <w:sz w:val="24"/>
              </w:rPr>
              <w:t>2020-07-08</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5.94</w:t>
            </w:r>
          </w:p>
        </w:tc>
        <w:tc>
          <w:tcPr>
            <w:tcW w:w="818" w:type="dxa"/>
            <w:vAlign w:val="center"/>
          </w:tcPr>
          <w:p w:rsidR="00345EA6" w:rsidRDefault="00756E0F">
            <w:pPr>
              <w:jc w:val="center"/>
            </w:pPr>
            <w:r>
              <w:rPr>
                <w:sz w:val="24"/>
              </w:rPr>
              <w:t>5.94</w:t>
            </w:r>
          </w:p>
        </w:tc>
        <w:tc>
          <w:tcPr>
            <w:tcW w:w="819" w:type="dxa"/>
            <w:vAlign w:val="center"/>
          </w:tcPr>
          <w:p w:rsidR="00345EA6" w:rsidRDefault="00756E0F">
            <w:pPr>
              <w:jc w:val="right"/>
            </w:pPr>
            <w:r>
              <w:rPr>
                <w:sz w:val="24"/>
              </w:rPr>
              <w:t>1,185</w:t>
            </w:r>
          </w:p>
        </w:tc>
        <w:tc>
          <w:tcPr>
            <w:tcW w:w="995" w:type="dxa"/>
            <w:vAlign w:val="center"/>
          </w:tcPr>
          <w:p w:rsidR="00345EA6" w:rsidRDefault="00756E0F">
            <w:pPr>
              <w:jc w:val="right"/>
            </w:pPr>
            <w:r>
              <w:rPr>
                <w:sz w:val="24"/>
              </w:rPr>
              <w:t>7,038.90</w:t>
            </w:r>
          </w:p>
        </w:tc>
        <w:tc>
          <w:tcPr>
            <w:tcW w:w="1052" w:type="dxa"/>
            <w:vAlign w:val="center"/>
          </w:tcPr>
          <w:p w:rsidR="00345EA6" w:rsidRDefault="00756E0F">
            <w:pPr>
              <w:jc w:val="right"/>
            </w:pPr>
            <w:r>
              <w:rPr>
                <w:sz w:val="24"/>
              </w:rPr>
              <w:t>7,038.90</w:t>
            </w:r>
          </w:p>
        </w:tc>
        <w:tc>
          <w:tcPr>
            <w:tcW w:w="408" w:type="dxa"/>
            <w:vAlign w:val="center"/>
          </w:tcPr>
          <w:p w:rsidR="00345EA6" w:rsidRDefault="00756E0F">
            <w:pPr>
              <w:jc w:val="center"/>
            </w:pPr>
            <w:r>
              <w:rPr>
                <w:sz w:val="24"/>
              </w:rPr>
              <w:t>-</w:t>
            </w:r>
          </w:p>
        </w:tc>
      </w:tr>
      <w:tr w:rsidR="00345EA6">
        <w:tc>
          <w:tcPr>
            <w:tcW w:w="816" w:type="dxa"/>
            <w:vAlign w:val="center"/>
          </w:tcPr>
          <w:p w:rsidR="00345EA6" w:rsidRDefault="00756E0F">
            <w:pPr>
              <w:jc w:val="center"/>
            </w:pPr>
            <w:r>
              <w:rPr>
                <w:sz w:val="24"/>
              </w:rPr>
              <w:t>300846</w:t>
            </w:r>
          </w:p>
        </w:tc>
        <w:tc>
          <w:tcPr>
            <w:tcW w:w="818" w:type="dxa"/>
            <w:vAlign w:val="center"/>
          </w:tcPr>
          <w:p w:rsidR="00345EA6" w:rsidRDefault="00756E0F">
            <w:pPr>
              <w:jc w:val="center"/>
            </w:pPr>
            <w:r>
              <w:rPr>
                <w:sz w:val="24"/>
              </w:rPr>
              <w:t>首都在线</w:t>
            </w:r>
          </w:p>
        </w:tc>
        <w:tc>
          <w:tcPr>
            <w:tcW w:w="817" w:type="dxa"/>
            <w:vAlign w:val="center"/>
          </w:tcPr>
          <w:p w:rsidR="00345EA6" w:rsidRDefault="00756E0F">
            <w:pPr>
              <w:jc w:val="center"/>
            </w:pPr>
            <w:r>
              <w:rPr>
                <w:sz w:val="24"/>
              </w:rPr>
              <w:t>2020-06-22</w:t>
            </w:r>
          </w:p>
        </w:tc>
        <w:tc>
          <w:tcPr>
            <w:tcW w:w="819" w:type="dxa"/>
            <w:vAlign w:val="center"/>
          </w:tcPr>
          <w:p w:rsidR="00345EA6" w:rsidRDefault="00756E0F">
            <w:pPr>
              <w:jc w:val="center"/>
            </w:pPr>
            <w:r>
              <w:rPr>
                <w:sz w:val="24"/>
              </w:rPr>
              <w:t>2020-07-01</w:t>
            </w:r>
          </w:p>
        </w:tc>
        <w:tc>
          <w:tcPr>
            <w:tcW w:w="960" w:type="dxa"/>
            <w:vAlign w:val="center"/>
          </w:tcPr>
          <w:p w:rsidR="00345EA6" w:rsidRDefault="00756E0F">
            <w:pPr>
              <w:jc w:val="center"/>
            </w:pPr>
            <w:r>
              <w:rPr>
                <w:sz w:val="24"/>
              </w:rPr>
              <w:t>新股未上市</w:t>
            </w:r>
          </w:p>
        </w:tc>
        <w:tc>
          <w:tcPr>
            <w:tcW w:w="676" w:type="dxa"/>
            <w:vAlign w:val="center"/>
          </w:tcPr>
          <w:p w:rsidR="00345EA6" w:rsidRDefault="00756E0F">
            <w:pPr>
              <w:jc w:val="right"/>
            </w:pPr>
            <w:r>
              <w:rPr>
                <w:sz w:val="24"/>
              </w:rPr>
              <w:t>3.37</w:t>
            </w:r>
          </w:p>
        </w:tc>
        <w:tc>
          <w:tcPr>
            <w:tcW w:w="818" w:type="dxa"/>
            <w:vAlign w:val="center"/>
          </w:tcPr>
          <w:p w:rsidR="00345EA6" w:rsidRDefault="00756E0F">
            <w:pPr>
              <w:jc w:val="center"/>
            </w:pPr>
            <w:r>
              <w:rPr>
                <w:sz w:val="24"/>
              </w:rPr>
              <w:t>3.37</w:t>
            </w:r>
          </w:p>
        </w:tc>
        <w:tc>
          <w:tcPr>
            <w:tcW w:w="819" w:type="dxa"/>
            <w:vAlign w:val="center"/>
          </w:tcPr>
          <w:p w:rsidR="00345EA6" w:rsidRDefault="00756E0F">
            <w:pPr>
              <w:jc w:val="right"/>
            </w:pPr>
            <w:r>
              <w:rPr>
                <w:sz w:val="24"/>
              </w:rPr>
              <w:t>1,131</w:t>
            </w:r>
          </w:p>
        </w:tc>
        <w:tc>
          <w:tcPr>
            <w:tcW w:w="995" w:type="dxa"/>
            <w:vAlign w:val="center"/>
          </w:tcPr>
          <w:p w:rsidR="00345EA6" w:rsidRDefault="00756E0F">
            <w:pPr>
              <w:jc w:val="right"/>
            </w:pPr>
            <w:r>
              <w:rPr>
                <w:sz w:val="24"/>
              </w:rPr>
              <w:t>3,811.47</w:t>
            </w:r>
          </w:p>
        </w:tc>
        <w:tc>
          <w:tcPr>
            <w:tcW w:w="1052" w:type="dxa"/>
            <w:vAlign w:val="center"/>
          </w:tcPr>
          <w:p w:rsidR="00345EA6" w:rsidRDefault="00756E0F">
            <w:pPr>
              <w:jc w:val="right"/>
            </w:pPr>
            <w:r>
              <w:rPr>
                <w:sz w:val="24"/>
              </w:rPr>
              <w:t>3,811.47</w:t>
            </w:r>
          </w:p>
        </w:tc>
        <w:tc>
          <w:tcPr>
            <w:tcW w:w="408" w:type="dxa"/>
            <w:vAlign w:val="center"/>
          </w:tcPr>
          <w:p w:rsidR="00345EA6" w:rsidRDefault="00756E0F">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345EA6" w:rsidRDefault="00756E0F">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科创板及其他经中国证监会核准或准予注册上市的股票）、债券（含国债、央行票</w:t>
      </w:r>
      <w:r>
        <w:rPr>
          <w:color w:val="000000"/>
          <w:sz w:val="24"/>
        </w:rPr>
        <w:lastRenderedPageBreak/>
        <w:t>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在日常经营活动中面临的与这些金融工具相关的风险主要包括信用风险、流动性风险及市场风险。本基金可投资科创板股票，会面临科创板机制下因投资标的、市场制度以及交易规则等差异带来的特有风险，包括流动性风险、退市风险和投资集中风险等。本基金的基金管理人从事风险管理的主要目标是争取将以上风险控制在限定的范围之内，在严格控制风险的前提下，追求超越业绩比较基准的投资回报，力争实现基金资产的长期稳健增值。</w:t>
      </w:r>
    </w:p>
    <w:p w:rsidR="00345EA6" w:rsidRDefault="00756E0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45EA6" w:rsidRDefault="00756E0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345EA6" w:rsidRDefault="00756E0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45EA6" w:rsidRDefault="00756E0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w:t>
      </w:r>
      <w:r w:rsidRPr="005312D8">
        <w:rPr>
          <w:color w:val="000000"/>
          <w:sz w:val="24"/>
        </w:rPr>
        <w:lastRenderedPageBreak/>
        <w:t>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345EA6" w:rsidRDefault="00756E0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45EA6" w:rsidRDefault="00756E0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45EA6" w:rsidRDefault="00756E0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345EA6" w:rsidRDefault="00756E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45EA6" w:rsidRDefault="00756E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45EA6" w:rsidRDefault="00756E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w:t>
      </w:r>
      <w:r>
        <w:rPr>
          <w:rFonts w:eastAsiaTheme="minorEastAsia"/>
          <w:color w:val="000000" w:themeColor="text1"/>
          <w:kern w:val="0"/>
          <w:sz w:val="24"/>
        </w:rPr>
        <w:lastRenderedPageBreak/>
        <w:t>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45EA6" w:rsidRDefault="00756E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45EA6" w:rsidRDefault="00756E0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345EA6" w:rsidRDefault="00756E0F">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45EA6" w:rsidRDefault="00756E0F">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45EA6">
        <w:tc>
          <w:tcPr>
            <w:tcW w:w="1740" w:type="dxa"/>
            <w:vAlign w:val="center"/>
          </w:tcPr>
          <w:p w:rsidR="00345EA6" w:rsidRDefault="00756E0F">
            <w:pPr>
              <w:jc w:val="left"/>
            </w:pPr>
            <w:r>
              <w:rPr>
                <w:color w:val="000000"/>
                <w:sz w:val="18"/>
                <w:szCs w:val="18"/>
              </w:rPr>
              <w:t>银行存款</w:t>
            </w:r>
          </w:p>
        </w:tc>
        <w:tc>
          <w:tcPr>
            <w:tcW w:w="1559" w:type="dxa"/>
            <w:vAlign w:val="center"/>
          </w:tcPr>
          <w:p w:rsidR="00345EA6" w:rsidRDefault="00756E0F">
            <w:pPr>
              <w:jc w:val="left"/>
            </w:pPr>
            <w:r>
              <w:rPr>
                <w:color w:val="000000"/>
                <w:sz w:val="18"/>
                <w:szCs w:val="18"/>
              </w:rPr>
              <w:t>306,079,773.03</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w:t>
            </w:r>
          </w:p>
        </w:tc>
        <w:tc>
          <w:tcPr>
            <w:tcW w:w="1446" w:type="dxa"/>
            <w:vAlign w:val="center"/>
          </w:tcPr>
          <w:p w:rsidR="00345EA6" w:rsidRDefault="00756E0F">
            <w:pPr>
              <w:jc w:val="left"/>
            </w:pPr>
            <w:r>
              <w:rPr>
                <w:color w:val="000000"/>
                <w:sz w:val="18"/>
                <w:szCs w:val="18"/>
              </w:rPr>
              <w:t>306,079,773.03</w:t>
            </w:r>
          </w:p>
        </w:tc>
      </w:tr>
      <w:tr w:rsidR="00345EA6">
        <w:tc>
          <w:tcPr>
            <w:tcW w:w="1740" w:type="dxa"/>
            <w:vAlign w:val="center"/>
          </w:tcPr>
          <w:p w:rsidR="00345EA6" w:rsidRDefault="00756E0F">
            <w:pPr>
              <w:jc w:val="left"/>
            </w:pPr>
            <w:r>
              <w:rPr>
                <w:color w:val="000000"/>
                <w:sz w:val="18"/>
                <w:szCs w:val="18"/>
              </w:rPr>
              <w:t>结算备付金</w:t>
            </w:r>
          </w:p>
        </w:tc>
        <w:tc>
          <w:tcPr>
            <w:tcW w:w="1559" w:type="dxa"/>
            <w:vAlign w:val="center"/>
          </w:tcPr>
          <w:p w:rsidR="00345EA6" w:rsidRDefault="00756E0F">
            <w:pPr>
              <w:jc w:val="left"/>
            </w:pPr>
            <w:r>
              <w:rPr>
                <w:color w:val="000000"/>
                <w:sz w:val="18"/>
                <w:szCs w:val="18"/>
              </w:rPr>
              <w:t>1,203,190.99</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w:t>
            </w:r>
          </w:p>
        </w:tc>
        <w:tc>
          <w:tcPr>
            <w:tcW w:w="1446" w:type="dxa"/>
            <w:vAlign w:val="center"/>
          </w:tcPr>
          <w:p w:rsidR="00345EA6" w:rsidRDefault="00756E0F">
            <w:pPr>
              <w:jc w:val="left"/>
            </w:pPr>
            <w:r>
              <w:rPr>
                <w:color w:val="000000"/>
                <w:sz w:val="18"/>
                <w:szCs w:val="18"/>
              </w:rPr>
              <w:t>1,203,190.99</w:t>
            </w:r>
          </w:p>
        </w:tc>
      </w:tr>
      <w:tr w:rsidR="00345EA6">
        <w:tc>
          <w:tcPr>
            <w:tcW w:w="1740" w:type="dxa"/>
            <w:vAlign w:val="center"/>
          </w:tcPr>
          <w:p w:rsidR="00345EA6" w:rsidRDefault="00756E0F">
            <w:pPr>
              <w:jc w:val="left"/>
            </w:pPr>
            <w:r>
              <w:rPr>
                <w:color w:val="000000"/>
                <w:sz w:val="18"/>
                <w:szCs w:val="18"/>
              </w:rPr>
              <w:t>存出保证金</w:t>
            </w:r>
          </w:p>
        </w:tc>
        <w:tc>
          <w:tcPr>
            <w:tcW w:w="1559" w:type="dxa"/>
            <w:vAlign w:val="center"/>
          </w:tcPr>
          <w:p w:rsidR="00345EA6" w:rsidRDefault="00756E0F">
            <w:pPr>
              <w:jc w:val="left"/>
            </w:pPr>
            <w:r>
              <w:rPr>
                <w:color w:val="000000"/>
                <w:sz w:val="18"/>
                <w:szCs w:val="18"/>
              </w:rPr>
              <w:t>217,213.50</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w:t>
            </w:r>
          </w:p>
        </w:tc>
        <w:tc>
          <w:tcPr>
            <w:tcW w:w="1446" w:type="dxa"/>
            <w:vAlign w:val="center"/>
          </w:tcPr>
          <w:p w:rsidR="00345EA6" w:rsidRDefault="00756E0F">
            <w:pPr>
              <w:jc w:val="left"/>
            </w:pPr>
            <w:r>
              <w:rPr>
                <w:color w:val="000000"/>
                <w:sz w:val="18"/>
                <w:szCs w:val="18"/>
              </w:rPr>
              <w:t>217,213.50</w:t>
            </w:r>
          </w:p>
        </w:tc>
      </w:tr>
      <w:tr w:rsidR="00345EA6">
        <w:tc>
          <w:tcPr>
            <w:tcW w:w="1740" w:type="dxa"/>
            <w:vAlign w:val="center"/>
          </w:tcPr>
          <w:p w:rsidR="00345EA6" w:rsidRDefault="00756E0F">
            <w:pPr>
              <w:jc w:val="left"/>
            </w:pPr>
            <w:r>
              <w:rPr>
                <w:color w:val="000000"/>
                <w:sz w:val="18"/>
                <w:szCs w:val="18"/>
              </w:rPr>
              <w:t>交易性金融资产</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607,395,416.84</w:t>
            </w:r>
          </w:p>
        </w:tc>
        <w:tc>
          <w:tcPr>
            <w:tcW w:w="1446" w:type="dxa"/>
            <w:vAlign w:val="center"/>
          </w:tcPr>
          <w:p w:rsidR="00345EA6" w:rsidRDefault="00756E0F">
            <w:pPr>
              <w:jc w:val="left"/>
            </w:pPr>
            <w:r>
              <w:rPr>
                <w:color w:val="000000"/>
                <w:sz w:val="18"/>
                <w:szCs w:val="18"/>
              </w:rPr>
              <w:t>607,395,416.84</w:t>
            </w:r>
          </w:p>
        </w:tc>
      </w:tr>
      <w:tr w:rsidR="00345EA6">
        <w:tc>
          <w:tcPr>
            <w:tcW w:w="1740" w:type="dxa"/>
            <w:vAlign w:val="center"/>
          </w:tcPr>
          <w:p w:rsidR="00345EA6" w:rsidRDefault="00756E0F">
            <w:pPr>
              <w:jc w:val="left"/>
            </w:pPr>
            <w:r>
              <w:rPr>
                <w:color w:val="000000"/>
                <w:sz w:val="18"/>
                <w:szCs w:val="18"/>
              </w:rPr>
              <w:t>应收证券清算款</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406,520.88</w:t>
            </w:r>
          </w:p>
        </w:tc>
        <w:tc>
          <w:tcPr>
            <w:tcW w:w="1446" w:type="dxa"/>
            <w:vAlign w:val="center"/>
          </w:tcPr>
          <w:p w:rsidR="00345EA6" w:rsidRDefault="00756E0F">
            <w:pPr>
              <w:jc w:val="left"/>
            </w:pPr>
            <w:r>
              <w:rPr>
                <w:color w:val="000000"/>
                <w:sz w:val="18"/>
                <w:szCs w:val="18"/>
              </w:rPr>
              <w:t>406,520.88</w:t>
            </w:r>
          </w:p>
        </w:tc>
      </w:tr>
      <w:tr w:rsidR="00345EA6">
        <w:tc>
          <w:tcPr>
            <w:tcW w:w="1740" w:type="dxa"/>
            <w:vAlign w:val="center"/>
          </w:tcPr>
          <w:p w:rsidR="00345EA6" w:rsidRDefault="00756E0F">
            <w:pPr>
              <w:jc w:val="left"/>
            </w:pPr>
            <w:r>
              <w:rPr>
                <w:color w:val="000000"/>
                <w:sz w:val="18"/>
                <w:szCs w:val="18"/>
              </w:rPr>
              <w:t>应收利息</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71,335.25</w:t>
            </w:r>
          </w:p>
        </w:tc>
        <w:tc>
          <w:tcPr>
            <w:tcW w:w="1446" w:type="dxa"/>
            <w:vAlign w:val="center"/>
          </w:tcPr>
          <w:p w:rsidR="00345EA6" w:rsidRDefault="00756E0F">
            <w:pPr>
              <w:jc w:val="left"/>
            </w:pPr>
            <w:r>
              <w:rPr>
                <w:color w:val="000000"/>
                <w:sz w:val="18"/>
                <w:szCs w:val="18"/>
              </w:rPr>
              <w:t>71,335.25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307,500,177.52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607,873,272.97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915,373,450.49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45EA6">
        <w:tc>
          <w:tcPr>
            <w:tcW w:w="1740" w:type="dxa"/>
            <w:vAlign w:val="center"/>
          </w:tcPr>
          <w:p w:rsidR="00345EA6" w:rsidRDefault="00756E0F">
            <w:pPr>
              <w:jc w:val="left"/>
            </w:pPr>
            <w:r>
              <w:rPr>
                <w:color w:val="000000"/>
                <w:sz w:val="18"/>
                <w:szCs w:val="18"/>
              </w:rPr>
              <w:t>应付赎回款</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20,685,754.84</w:t>
            </w:r>
          </w:p>
        </w:tc>
        <w:tc>
          <w:tcPr>
            <w:tcW w:w="1446" w:type="dxa"/>
            <w:vAlign w:val="center"/>
          </w:tcPr>
          <w:p w:rsidR="00345EA6" w:rsidRDefault="00756E0F">
            <w:pPr>
              <w:jc w:val="left"/>
            </w:pPr>
            <w:r>
              <w:rPr>
                <w:color w:val="000000"/>
                <w:sz w:val="18"/>
                <w:szCs w:val="18"/>
              </w:rPr>
              <w:t>20,685,754.84</w:t>
            </w:r>
          </w:p>
        </w:tc>
      </w:tr>
      <w:tr w:rsidR="00345EA6">
        <w:tc>
          <w:tcPr>
            <w:tcW w:w="1740" w:type="dxa"/>
            <w:vAlign w:val="center"/>
          </w:tcPr>
          <w:p w:rsidR="00345EA6" w:rsidRDefault="00756E0F">
            <w:pPr>
              <w:jc w:val="left"/>
            </w:pPr>
            <w:r>
              <w:rPr>
                <w:color w:val="000000"/>
                <w:sz w:val="18"/>
                <w:szCs w:val="18"/>
              </w:rPr>
              <w:t>应付管理人报酬</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1,134,173.49</w:t>
            </w:r>
          </w:p>
        </w:tc>
        <w:tc>
          <w:tcPr>
            <w:tcW w:w="1446" w:type="dxa"/>
            <w:vAlign w:val="center"/>
          </w:tcPr>
          <w:p w:rsidR="00345EA6" w:rsidRDefault="00756E0F">
            <w:pPr>
              <w:jc w:val="left"/>
            </w:pPr>
            <w:r>
              <w:rPr>
                <w:color w:val="000000"/>
                <w:sz w:val="18"/>
                <w:szCs w:val="18"/>
              </w:rPr>
              <w:t>1,134,173.49</w:t>
            </w:r>
          </w:p>
        </w:tc>
      </w:tr>
      <w:tr w:rsidR="00345EA6">
        <w:tc>
          <w:tcPr>
            <w:tcW w:w="1740" w:type="dxa"/>
            <w:vAlign w:val="center"/>
          </w:tcPr>
          <w:p w:rsidR="00345EA6" w:rsidRDefault="00756E0F">
            <w:pPr>
              <w:jc w:val="left"/>
            </w:pPr>
            <w:r>
              <w:rPr>
                <w:color w:val="000000"/>
                <w:sz w:val="18"/>
                <w:szCs w:val="18"/>
              </w:rPr>
              <w:t>应付托管费</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189,028.91</w:t>
            </w:r>
          </w:p>
        </w:tc>
        <w:tc>
          <w:tcPr>
            <w:tcW w:w="1446" w:type="dxa"/>
            <w:vAlign w:val="center"/>
          </w:tcPr>
          <w:p w:rsidR="00345EA6" w:rsidRDefault="00756E0F">
            <w:pPr>
              <w:jc w:val="left"/>
            </w:pPr>
            <w:r>
              <w:rPr>
                <w:color w:val="000000"/>
                <w:sz w:val="18"/>
                <w:szCs w:val="18"/>
              </w:rPr>
              <w:t>189,028.91</w:t>
            </w:r>
          </w:p>
        </w:tc>
      </w:tr>
      <w:tr w:rsidR="00345EA6">
        <w:tc>
          <w:tcPr>
            <w:tcW w:w="1740" w:type="dxa"/>
            <w:vAlign w:val="center"/>
          </w:tcPr>
          <w:p w:rsidR="00345EA6" w:rsidRDefault="00756E0F">
            <w:pPr>
              <w:jc w:val="left"/>
            </w:pPr>
            <w:r>
              <w:rPr>
                <w:color w:val="000000"/>
                <w:sz w:val="18"/>
                <w:szCs w:val="18"/>
              </w:rPr>
              <w:t>应付交易费用</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445,548.31</w:t>
            </w:r>
          </w:p>
        </w:tc>
        <w:tc>
          <w:tcPr>
            <w:tcW w:w="1446" w:type="dxa"/>
            <w:vAlign w:val="center"/>
          </w:tcPr>
          <w:p w:rsidR="00345EA6" w:rsidRDefault="00756E0F">
            <w:pPr>
              <w:jc w:val="left"/>
            </w:pPr>
            <w:r>
              <w:rPr>
                <w:color w:val="000000"/>
                <w:sz w:val="18"/>
                <w:szCs w:val="18"/>
              </w:rPr>
              <w:t>445,548.31</w:t>
            </w:r>
          </w:p>
        </w:tc>
      </w:tr>
      <w:tr w:rsidR="00345EA6">
        <w:tc>
          <w:tcPr>
            <w:tcW w:w="1740" w:type="dxa"/>
            <w:vAlign w:val="center"/>
          </w:tcPr>
          <w:p w:rsidR="00345EA6" w:rsidRDefault="00756E0F">
            <w:pPr>
              <w:jc w:val="left"/>
            </w:pPr>
            <w:r>
              <w:rPr>
                <w:color w:val="000000"/>
                <w:sz w:val="18"/>
                <w:szCs w:val="18"/>
              </w:rPr>
              <w:t>其他负债</w:t>
            </w:r>
          </w:p>
        </w:tc>
        <w:tc>
          <w:tcPr>
            <w:tcW w:w="1559" w:type="dxa"/>
            <w:vAlign w:val="center"/>
          </w:tcPr>
          <w:p w:rsidR="00345EA6" w:rsidRDefault="00756E0F">
            <w:pPr>
              <w:jc w:val="left"/>
            </w:pPr>
            <w:r>
              <w:rPr>
                <w:color w:val="000000"/>
                <w:sz w:val="18"/>
                <w:szCs w:val="18"/>
              </w:rPr>
              <w:t>-</w:t>
            </w:r>
          </w:p>
        </w:tc>
        <w:tc>
          <w:tcPr>
            <w:tcW w:w="1473" w:type="dxa"/>
            <w:vAlign w:val="center"/>
          </w:tcPr>
          <w:p w:rsidR="00345EA6" w:rsidRDefault="00756E0F">
            <w:pPr>
              <w:jc w:val="left"/>
            </w:pPr>
            <w:r>
              <w:rPr>
                <w:color w:val="000000"/>
                <w:sz w:val="18"/>
                <w:szCs w:val="18"/>
              </w:rPr>
              <w:t>-</w:t>
            </w:r>
          </w:p>
        </w:tc>
        <w:tc>
          <w:tcPr>
            <w:tcW w:w="1221" w:type="dxa"/>
            <w:vAlign w:val="center"/>
          </w:tcPr>
          <w:p w:rsidR="00345EA6" w:rsidRDefault="00756E0F">
            <w:pPr>
              <w:jc w:val="left"/>
            </w:pPr>
            <w:r>
              <w:rPr>
                <w:color w:val="000000"/>
                <w:sz w:val="18"/>
                <w:szCs w:val="18"/>
              </w:rPr>
              <w:t>-</w:t>
            </w:r>
          </w:p>
        </w:tc>
        <w:tc>
          <w:tcPr>
            <w:tcW w:w="1559" w:type="dxa"/>
            <w:vAlign w:val="center"/>
          </w:tcPr>
          <w:p w:rsidR="00345EA6" w:rsidRDefault="00756E0F">
            <w:pPr>
              <w:jc w:val="left"/>
            </w:pPr>
            <w:r>
              <w:rPr>
                <w:color w:val="000000"/>
                <w:sz w:val="18"/>
                <w:szCs w:val="18"/>
              </w:rPr>
              <w:t>155,117.36</w:t>
            </w:r>
          </w:p>
        </w:tc>
        <w:tc>
          <w:tcPr>
            <w:tcW w:w="1446" w:type="dxa"/>
            <w:vAlign w:val="center"/>
          </w:tcPr>
          <w:p w:rsidR="00345EA6" w:rsidRDefault="00756E0F">
            <w:pPr>
              <w:jc w:val="left"/>
            </w:pPr>
            <w:r>
              <w:rPr>
                <w:color w:val="000000"/>
                <w:sz w:val="18"/>
                <w:szCs w:val="18"/>
              </w:rPr>
              <w:t>155,117.36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22,609,622.91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22,609,622.91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307,500,177.52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585,263,650.06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892,763,827.58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345EA6" w:rsidRDefault="00756E0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w:t>
      </w:r>
      <w:r>
        <w:rPr>
          <w:color w:val="000000"/>
          <w:sz w:val="24"/>
        </w:rPr>
        <w:lastRenderedPageBreak/>
        <w:t>市或银行间同业市场交易的股票和债券，所面临的其他价格风险来源于单个证券发行主体自身经营情况或特殊事项的影响，也可能来源于证券市场整体波动的影响。</w:t>
      </w:r>
    </w:p>
    <w:p w:rsidR="00345EA6" w:rsidRDefault="00756E0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本基金通过投资组合的分散化降低其他价格风险。股票投资占基金资产的比例为</w:t>
      </w:r>
      <w:r w:rsidRPr="005312D8">
        <w:rPr>
          <w:color w:val="000000"/>
          <w:sz w:val="24"/>
        </w:rPr>
        <w:t>60%-95%</w:t>
      </w:r>
      <w:r w:rsidRPr="005312D8">
        <w:rPr>
          <w:color w:val="000000"/>
          <w:sz w:val="24"/>
        </w:rPr>
        <w:t>，其中投资于科技创新主题相关证券的比例不低于非现金基金资产的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607,395,416.84</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68.04</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607,395,416.84</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68.04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63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63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607,395,416.84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66.35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607,395,416.84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66.35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307,282,964.02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33.57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695,069.63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915,373,450.49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7163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7163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17,059,590.00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1.91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419,683,793.64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47.01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28,649,527.50</w:t>
            </w:r>
          </w:p>
        </w:tc>
        <w:tc>
          <w:tcPr>
            <w:tcW w:w="2052" w:type="dxa"/>
            <w:vAlign w:val="center"/>
          </w:tcPr>
          <w:p w:rsidR="001548F9" w:rsidRPr="005312D8" w:rsidRDefault="001548F9" w:rsidP="0048308E">
            <w:pPr>
              <w:spacing w:before="29" w:line="288" w:lineRule="auto"/>
              <w:jc w:val="right"/>
              <w:rPr>
                <w:sz w:val="24"/>
              </w:rPr>
            </w:pPr>
            <w:r w:rsidRPr="005312D8">
              <w:rPr>
                <w:sz w:val="24"/>
              </w:rPr>
              <w:t>3.21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65,194,763.13</w:t>
            </w:r>
          </w:p>
        </w:tc>
        <w:tc>
          <w:tcPr>
            <w:tcW w:w="2052" w:type="dxa"/>
            <w:vAlign w:val="center"/>
          </w:tcPr>
          <w:p w:rsidR="001548F9" w:rsidRPr="005312D8" w:rsidRDefault="001548F9" w:rsidP="0048308E">
            <w:pPr>
              <w:spacing w:before="29" w:line="288" w:lineRule="auto"/>
              <w:jc w:val="right"/>
              <w:rPr>
                <w:sz w:val="24"/>
              </w:rPr>
            </w:pPr>
            <w:r w:rsidRPr="005312D8">
              <w:rPr>
                <w:sz w:val="24"/>
              </w:rPr>
              <w:t>7.30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18,274,474.00</w:t>
            </w:r>
          </w:p>
        </w:tc>
        <w:tc>
          <w:tcPr>
            <w:tcW w:w="2052" w:type="dxa"/>
            <w:vAlign w:val="center"/>
          </w:tcPr>
          <w:p w:rsidR="001548F9" w:rsidRPr="005312D8" w:rsidRDefault="001548F9" w:rsidP="0048308E">
            <w:pPr>
              <w:spacing w:before="29" w:line="288" w:lineRule="auto"/>
              <w:jc w:val="right"/>
              <w:rPr>
                <w:sz w:val="24"/>
              </w:rPr>
            </w:pPr>
            <w:r w:rsidRPr="005312D8">
              <w:rPr>
                <w:sz w:val="24"/>
              </w:rPr>
              <w:t>2.05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20,255,436.00</w:t>
            </w:r>
          </w:p>
        </w:tc>
        <w:tc>
          <w:tcPr>
            <w:tcW w:w="2052" w:type="dxa"/>
            <w:vAlign w:val="center"/>
          </w:tcPr>
          <w:p w:rsidR="001548F9" w:rsidRPr="005312D8" w:rsidRDefault="001548F9" w:rsidP="0048308E">
            <w:pPr>
              <w:spacing w:before="29" w:line="288" w:lineRule="auto"/>
              <w:jc w:val="right"/>
              <w:rPr>
                <w:sz w:val="24"/>
              </w:rPr>
            </w:pPr>
            <w:r w:rsidRPr="005312D8">
              <w:rPr>
                <w:sz w:val="24"/>
              </w:rPr>
              <w:t>2.27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17,466,266.25</w:t>
            </w:r>
          </w:p>
        </w:tc>
        <w:tc>
          <w:tcPr>
            <w:tcW w:w="2052" w:type="dxa"/>
            <w:vAlign w:val="center"/>
          </w:tcPr>
          <w:p w:rsidR="001548F9" w:rsidRPr="005312D8" w:rsidRDefault="001548F9" w:rsidP="0048308E">
            <w:pPr>
              <w:spacing w:before="29" w:line="288" w:lineRule="auto"/>
              <w:jc w:val="right"/>
              <w:rPr>
                <w:sz w:val="24"/>
              </w:rPr>
            </w:pPr>
            <w:r w:rsidRPr="005312D8">
              <w:rPr>
                <w:sz w:val="24"/>
              </w:rPr>
              <w:t>1.96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20,798,800.00</w:t>
            </w:r>
          </w:p>
        </w:tc>
        <w:tc>
          <w:tcPr>
            <w:tcW w:w="2052" w:type="dxa"/>
            <w:vAlign w:val="center"/>
          </w:tcPr>
          <w:p w:rsidR="001548F9" w:rsidRPr="005312D8" w:rsidRDefault="001548F9" w:rsidP="0048308E">
            <w:pPr>
              <w:spacing w:before="29" w:line="288" w:lineRule="auto"/>
              <w:jc w:val="right"/>
              <w:rPr>
                <w:sz w:val="24"/>
              </w:rPr>
            </w:pPr>
            <w:r w:rsidRPr="005312D8">
              <w:rPr>
                <w:sz w:val="24"/>
              </w:rPr>
              <w:t>2.33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607,395,416.84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68.04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7163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7163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345EA6">
        <w:tc>
          <w:tcPr>
            <w:tcW w:w="862" w:type="dxa"/>
            <w:vAlign w:val="center"/>
          </w:tcPr>
          <w:p w:rsidR="00345EA6" w:rsidRDefault="00756E0F">
            <w:pPr>
              <w:jc w:val="center"/>
            </w:pPr>
            <w:r>
              <w:rPr>
                <w:color w:val="000000"/>
                <w:sz w:val="24"/>
              </w:rPr>
              <w:t>1</w:t>
            </w:r>
          </w:p>
        </w:tc>
        <w:tc>
          <w:tcPr>
            <w:tcW w:w="1346" w:type="dxa"/>
            <w:vAlign w:val="center"/>
          </w:tcPr>
          <w:p w:rsidR="00345EA6" w:rsidRDefault="00756E0F">
            <w:pPr>
              <w:jc w:val="center"/>
            </w:pPr>
            <w:r>
              <w:rPr>
                <w:color w:val="000000"/>
                <w:sz w:val="24"/>
              </w:rPr>
              <w:t>002475</w:t>
            </w:r>
          </w:p>
        </w:tc>
        <w:tc>
          <w:tcPr>
            <w:tcW w:w="1795" w:type="dxa"/>
            <w:vAlign w:val="center"/>
          </w:tcPr>
          <w:p w:rsidR="00345EA6" w:rsidRDefault="00756E0F">
            <w:pPr>
              <w:jc w:val="center"/>
            </w:pPr>
            <w:r>
              <w:rPr>
                <w:color w:val="000000"/>
                <w:sz w:val="24"/>
              </w:rPr>
              <w:t>立讯精密</w:t>
            </w:r>
          </w:p>
        </w:tc>
        <w:tc>
          <w:tcPr>
            <w:tcW w:w="1346" w:type="dxa"/>
            <w:vAlign w:val="center"/>
          </w:tcPr>
          <w:p w:rsidR="00345EA6" w:rsidRDefault="00756E0F">
            <w:pPr>
              <w:jc w:val="right"/>
            </w:pPr>
            <w:r>
              <w:rPr>
                <w:color w:val="000000"/>
                <w:sz w:val="24"/>
              </w:rPr>
              <w:t>656,485</w:t>
            </w:r>
          </w:p>
        </w:tc>
        <w:tc>
          <w:tcPr>
            <w:tcW w:w="1944" w:type="dxa"/>
            <w:vAlign w:val="center"/>
          </w:tcPr>
          <w:p w:rsidR="00345EA6" w:rsidRDefault="00756E0F">
            <w:pPr>
              <w:jc w:val="right"/>
            </w:pPr>
            <w:r>
              <w:rPr>
                <w:color w:val="000000"/>
                <w:sz w:val="24"/>
              </w:rPr>
              <w:t>33,710,504.75</w:t>
            </w:r>
          </w:p>
        </w:tc>
        <w:tc>
          <w:tcPr>
            <w:tcW w:w="1705" w:type="dxa"/>
            <w:vAlign w:val="center"/>
          </w:tcPr>
          <w:p w:rsidR="00345EA6" w:rsidRDefault="00756E0F">
            <w:pPr>
              <w:jc w:val="right"/>
            </w:pPr>
            <w:r>
              <w:rPr>
                <w:color w:val="000000"/>
                <w:sz w:val="24"/>
              </w:rPr>
              <w:t>3.78</w:t>
            </w:r>
          </w:p>
        </w:tc>
      </w:tr>
      <w:tr w:rsidR="00345EA6">
        <w:tc>
          <w:tcPr>
            <w:tcW w:w="862" w:type="dxa"/>
            <w:vAlign w:val="center"/>
          </w:tcPr>
          <w:p w:rsidR="00345EA6" w:rsidRDefault="00756E0F">
            <w:pPr>
              <w:jc w:val="center"/>
            </w:pPr>
            <w:r>
              <w:rPr>
                <w:color w:val="000000"/>
                <w:sz w:val="24"/>
              </w:rPr>
              <w:t>2</w:t>
            </w:r>
          </w:p>
        </w:tc>
        <w:tc>
          <w:tcPr>
            <w:tcW w:w="1346" w:type="dxa"/>
            <w:vAlign w:val="center"/>
          </w:tcPr>
          <w:p w:rsidR="00345EA6" w:rsidRDefault="00756E0F">
            <w:pPr>
              <w:jc w:val="center"/>
            </w:pPr>
            <w:r>
              <w:rPr>
                <w:color w:val="000000"/>
                <w:sz w:val="24"/>
              </w:rPr>
              <w:t>002555</w:t>
            </w:r>
          </w:p>
        </w:tc>
        <w:tc>
          <w:tcPr>
            <w:tcW w:w="1795" w:type="dxa"/>
            <w:vAlign w:val="center"/>
          </w:tcPr>
          <w:p w:rsidR="00345EA6" w:rsidRDefault="00756E0F">
            <w:pPr>
              <w:jc w:val="center"/>
            </w:pPr>
            <w:r>
              <w:rPr>
                <w:color w:val="000000"/>
                <w:sz w:val="24"/>
              </w:rPr>
              <w:t>三七互娱</w:t>
            </w:r>
          </w:p>
        </w:tc>
        <w:tc>
          <w:tcPr>
            <w:tcW w:w="1346" w:type="dxa"/>
            <w:vAlign w:val="center"/>
          </w:tcPr>
          <w:p w:rsidR="00345EA6" w:rsidRDefault="00756E0F">
            <w:pPr>
              <w:jc w:val="right"/>
            </w:pPr>
            <w:r>
              <w:rPr>
                <w:color w:val="000000"/>
                <w:sz w:val="24"/>
              </w:rPr>
              <w:t>719,200</w:t>
            </w:r>
          </w:p>
        </w:tc>
        <w:tc>
          <w:tcPr>
            <w:tcW w:w="1944" w:type="dxa"/>
            <w:vAlign w:val="center"/>
          </w:tcPr>
          <w:p w:rsidR="00345EA6" w:rsidRDefault="00756E0F">
            <w:pPr>
              <w:jc w:val="right"/>
            </w:pPr>
            <w:r>
              <w:rPr>
                <w:color w:val="000000"/>
                <w:sz w:val="24"/>
              </w:rPr>
              <w:t>33,658,560.00</w:t>
            </w:r>
          </w:p>
        </w:tc>
        <w:tc>
          <w:tcPr>
            <w:tcW w:w="1705" w:type="dxa"/>
            <w:vAlign w:val="center"/>
          </w:tcPr>
          <w:p w:rsidR="00345EA6" w:rsidRDefault="00756E0F">
            <w:pPr>
              <w:jc w:val="right"/>
            </w:pPr>
            <w:r>
              <w:rPr>
                <w:color w:val="000000"/>
                <w:sz w:val="24"/>
              </w:rPr>
              <w:t>3.77</w:t>
            </w:r>
          </w:p>
        </w:tc>
      </w:tr>
      <w:tr w:rsidR="00345EA6">
        <w:tc>
          <w:tcPr>
            <w:tcW w:w="862" w:type="dxa"/>
            <w:vAlign w:val="center"/>
          </w:tcPr>
          <w:p w:rsidR="00345EA6" w:rsidRDefault="00756E0F">
            <w:pPr>
              <w:jc w:val="center"/>
            </w:pPr>
            <w:r>
              <w:rPr>
                <w:color w:val="000000"/>
                <w:sz w:val="24"/>
              </w:rPr>
              <w:t>3</w:t>
            </w:r>
          </w:p>
        </w:tc>
        <w:tc>
          <w:tcPr>
            <w:tcW w:w="1346" w:type="dxa"/>
            <w:vAlign w:val="center"/>
          </w:tcPr>
          <w:p w:rsidR="00345EA6" w:rsidRDefault="00756E0F">
            <w:pPr>
              <w:jc w:val="center"/>
            </w:pPr>
            <w:r>
              <w:rPr>
                <w:color w:val="000000"/>
                <w:sz w:val="24"/>
              </w:rPr>
              <w:t>002837</w:t>
            </w:r>
          </w:p>
        </w:tc>
        <w:tc>
          <w:tcPr>
            <w:tcW w:w="1795" w:type="dxa"/>
            <w:vAlign w:val="center"/>
          </w:tcPr>
          <w:p w:rsidR="00345EA6" w:rsidRDefault="00756E0F">
            <w:pPr>
              <w:jc w:val="center"/>
            </w:pPr>
            <w:r>
              <w:rPr>
                <w:color w:val="000000"/>
                <w:sz w:val="24"/>
              </w:rPr>
              <w:t>英维克</w:t>
            </w:r>
          </w:p>
        </w:tc>
        <w:tc>
          <w:tcPr>
            <w:tcW w:w="1346" w:type="dxa"/>
            <w:vAlign w:val="center"/>
          </w:tcPr>
          <w:p w:rsidR="00345EA6" w:rsidRDefault="00756E0F">
            <w:pPr>
              <w:jc w:val="right"/>
            </w:pPr>
            <w:r>
              <w:rPr>
                <w:color w:val="000000"/>
                <w:sz w:val="24"/>
              </w:rPr>
              <w:t>945,000</w:t>
            </w:r>
          </w:p>
        </w:tc>
        <w:tc>
          <w:tcPr>
            <w:tcW w:w="1944" w:type="dxa"/>
            <w:vAlign w:val="center"/>
          </w:tcPr>
          <w:p w:rsidR="00345EA6" w:rsidRDefault="00756E0F">
            <w:pPr>
              <w:jc w:val="right"/>
            </w:pPr>
            <w:r>
              <w:rPr>
                <w:color w:val="000000"/>
                <w:sz w:val="24"/>
              </w:rPr>
              <w:t>27,990,900.00</w:t>
            </w:r>
          </w:p>
        </w:tc>
        <w:tc>
          <w:tcPr>
            <w:tcW w:w="1705" w:type="dxa"/>
            <w:vAlign w:val="center"/>
          </w:tcPr>
          <w:p w:rsidR="00345EA6" w:rsidRDefault="00756E0F">
            <w:pPr>
              <w:jc w:val="right"/>
            </w:pPr>
            <w:r>
              <w:rPr>
                <w:color w:val="000000"/>
                <w:sz w:val="24"/>
              </w:rPr>
              <w:t>3.14</w:t>
            </w:r>
          </w:p>
        </w:tc>
      </w:tr>
      <w:tr w:rsidR="00345EA6">
        <w:tc>
          <w:tcPr>
            <w:tcW w:w="862" w:type="dxa"/>
            <w:vAlign w:val="center"/>
          </w:tcPr>
          <w:p w:rsidR="00345EA6" w:rsidRDefault="00756E0F">
            <w:pPr>
              <w:jc w:val="center"/>
            </w:pPr>
            <w:r>
              <w:rPr>
                <w:color w:val="000000"/>
                <w:sz w:val="24"/>
              </w:rPr>
              <w:t>4</w:t>
            </w:r>
          </w:p>
        </w:tc>
        <w:tc>
          <w:tcPr>
            <w:tcW w:w="1346" w:type="dxa"/>
            <w:vAlign w:val="center"/>
          </w:tcPr>
          <w:p w:rsidR="00345EA6" w:rsidRDefault="00756E0F">
            <w:pPr>
              <w:jc w:val="center"/>
            </w:pPr>
            <w:r>
              <w:rPr>
                <w:color w:val="000000"/>
                <w:sz w:val="24"/>
              </w:rPr>
              <w:t>002050</w:t>
            </w:r>
          </w:p>
        </w:tc>
        <w:tc>
          <w:tcPr>
            <w:tcW w:w="1795" w:type="dxa"/>
            <w:vAlign w:val="center"/>
          </w:tcPr>
          <w:p w:rsidR="00345EA6" w:rsidRDefault="00756E0F">
            <w:pPr>
              <w:jc w:val="center"/>
            </w:pPr>
            <w:r>
              <w:rPr>
                <w:color w:val="000000"/>
                <w:sz w:val="24"/>
              </w:rPr>
              <w:t>三花智控</w:t>
            </w:r>
          </w:p>
        </w:tc>
        <w:tc>
          <w:tcPr>
            <w:tcW w:w="1346" w:type="dxa"/>
            <w:vAlign w:val="center"/>
          </w:tcPr>
          <w:p w:rsidR="00345EA6" w:rsidRDefault="00756E0F">
            <w:pPr>
              <w:jc w:val="right"/>
            </w:pPr>
            <w:r>
              <w:rPr>
                <w:color w:val="000000"/>
                <w:sz w:val="24"/>
              </w:rPr>
              <w:t>1,193,219</w:t>
            </w:r>
          </w:p>
        </w:tc>
        <w:tc>
          <w:tcPr>
            <w:tcW w:w="1944" w:type="dxa"/>
            <w:vAlign w:val="center"/>
          </w:tcPr>
          <w:p w:rsidR="00345EA6" w:rsidRDefault="00756E0F">
            <w:pPr>
              <w:jc w:val="right"/>
            </w:pPr>
            <w:r>
              <w:rPr>
                <w:color w:val="000000"/>
                <w:sz w:val="24"/>
              </w:rPr>
              <w:t>26,131,496.10</w:t>
            </w:r>
          </w:p>
        </w:tc>
        <w:tc>
          <w:tcPr>
            <w:tcW w:w="1705" w:type="dxa"/>
            <w:vAlign w:val="center"/>
          </w:tcPr>
          <w:p w:rsidR="00345EA6" w:rsidRDefault="00756E0F">
            <w:pPr>
              <w:jc w:val="right"/>
            </w:pPr>
            <w:r>
              <w:rPr>
                <w:color w:val="000000"/>
                <w:sz w:val="24"/>
              </w:rPr>
              <w:t>2.93</w:t>
            </w:r>
          </w:p>
        </w:tc>
      </w:tr>
      <w:tr w:rsidR="00345EA6">
        <w:tc>
          <w:tcPr>
            <w:tcW w:w="862" w:type="dxa"/>
            <w:vAlign w:val="center"/>
          </w:tcPr>
          <w:p w:rsidR="00345EA6" w:rsidRDefault="00756E0F">
            <w:pPr>
              <w:jc w:val="center"/>
            </w:pPr>
            <w:r>
              <w:rPr>
                <w:color w:val="000000"/>
                <w:sz w:val="24"/>
              </w:rPr>
              <w:t>5</w:t>
            </w:r>
          </w:p>
        </w:tc>
        <w:tc>
          <w:tcPr>
            <w:tcW w:w="1346" w:type="dxa"/>
            <w:vAlign w:val="center"/>
          </w:tcPr>
          <w:p w:rsidR="00345EA6" w:rsidRDefault="00756E0F">
            <w:pPr>
              <w:jc w:val="center"/>
            </w:pPr>
            <w:r>
              <w:rPr>
                <w:color w:val="000000"/>
                <w:sz w:val="24"/>
              </w:rPr>
              <w:t>300463</w:t>
            </w:r>
          </w:p>
        </w:tc>
        <w:tc>
          <w:tcPr>
            <w:tcW w:w="1795" w:type="dxa"/>
            <w:vAlign w:val="center"/>
          </w:tcPr>
          <w:p w:rsidR="00345EA6" w:rsidRDefault="00756E0F">
            <w:pPr>
              <w:jc w:val="center"/>
            </w:pPr>
            <w:r>
              <w:rPr>
                <w:color w:val="000000"/>
                <w:sz w:val="24"/>
              </w:rPr>
              <w:t>迈克生物</w:t>
            </w:r>
          </w:p>
        </w:tc>
        <w:tc>
          <w:tcPr>
            <w:tcW w:w="1346" w:type="dxa"/>
            <w:vAlign w:val="center"/>
          </w:tcPr>
          <w:p w:rsidR="00345EA6" w:rsidRDefault="00756E0F">
            <w:pPr>
              <w:jc w:val="right"/>
            </w:pPr>
            <w:r>
              <w:rPr>
                <w:color w:val="000000"/>
                <w:sz w:val="24"/>
              </w:rPr>
              <w:t>429,100</w:t>
            </w:r>
          </w:p>
        </w:tc>
        <w:tc>
          <w:tcPr>
            <w:tcW w:w="1944" w:type="dxa"/>
            <w:vAlign w:val="center"/>
          </w:tcPr>
          <w:p w:rsidR="00345EA6" w:rsidRDefault="00756E0F">
            <w:pPr>
              <w:jc w:val="right"/>
            </w:pPr>
            <w:r>
              <w:rPr>
                <w:color w:val="000000"/>
                <w:sz w:val="24"/>
              </w:rPr>
              <w:t>24,986,493.00</w:t>
            </w:r>
          </w:p>
        </w:tc>
        <w:tc>
          <w:tcPr>
            <w:tcW w:w="1705" w:type="dxa"/>
            <w:vAlign w:val="center"/>
          </w:tcPr>
          <w:p w:rsidR="00345EA6" w:rsidRDefault="00756E0F">
            <w:pPr>
              <w:jc w:val="right"/>
            </w:pPr>
            <w:r>
              <w:rPr>
                <w:color w:val="000000"/>
                <w:sz w:val="24"/>
              </w:rPr>
              <w:t>2.80</w:t>
            </w:r>
          </w:p>
        </w:tc>
      </w:tr>
      <w:tr w:rsidR="00345EA6">
        <w:tc>
          <w:tcPr>
            <w:tcW w:w="862" w:type="dxa"/>
            <w:vAlign w:val="center"/>
          </w:tcPr>
          <w:p w:rsidR="00345EA6" w:rsidRDefault="00756E0F">
            <w:pPr>
              <w:jc w:val="center"/>
            </w:pPr>
            <w:r>
              <w:rPr>
                <w:color w:val="000000"/>
                <w:sz w:val="24"/>
              </w:rPr>
              <w:t>6</w:t>
            </w:r>
          </w:p>
        </w:tc>
        <w:tc>
          <w:tcPr>
            <w:tcW w:w="1346" w:type="dxa"/>
            <w:vAlign w:val="center"/>
          </w:tcPr>
          <w:p w:rsidR="00345EA6" w:rsidRDefault="00756E0F">
            <w:pPr>
              <w:jc w:val="center"/>
            </w:pPr>
            <w:r>
              <w:rPr>
                <w:color w:val="000000"/>
                <w:sz w:val="24"/>
              </w:rPr>
              <w:t>002352</w:t>
            </w:r>
          </w:p>
        </w:tc>
        <w:tc>
          <w:tcPr>
            <w:tcW w:w="1795" w:type="dxa"/>
            <w:vAlign w:val="center"/>
          </w:tcPr>
          <w:p w:rsidR="00345EA6" w:rsidRDefault="00756E0F">
            <w:pPr>
              <w:jc w:val="center"/>
            </w:pPr>
            <w:r>
              <w:rPr>
                <w:color w:val="000000"/>
                <w:sz w:val="24"/>
              </w:rPr>
              <w:t>顺丰控股</w:t>
            </w:r>
          </w:p>
        </w:tc>
        <w:tc>
          <w:tcPr>
            <w:tcW w:w="1346" w:type="dxa"/>
            <w:vAlign w:val="center"/>
          </w:tcPr>
          <w:p w:rsidR="00345EA6" w:rsidRDefault="00756E0F">
            <w:pPr>
              <w:jc w:val="right"/>
            </w:pPr>
            <w:r>
              <w:rPr>
                <w:color w:val="000000"/>
                <w:sz w:val="24"/>
              </w:rPr>
              <w:t>442,215</w:t>
            </w:r>
          </w:p>
        </w:tc>
        <w:tc>
          <w:tcPr>
            <w:tcW w:w="1944" w:type="dxa"/>
            <w:vAlign w:val="center"/>
          </w:tcPr>
          <w:p w:rsidR="00345EA6" w:rsidRDefault="00756E0F">
            <w:pPr>
              <w:jc w:val="right"/>
            </w:pPr>
            <w:r>
              <w:rPr>
                <w:color w:val="000000"/>
                <w:sz w:val="24"/>
              </w:rPr>
              <w:t>24,033,160.50</w:t>
            </w:r>
          </w:p>
        </w:tc>
        <w:tc>
          <w:tcPr>
            <w:tcW w:w="1705" w:type="dxa"/>
            <w:vAlign w:val="center"/>
          </w:tcPr>
          <w:p w:rsidR="00345EA6" w:rsidRDefault="00756E0F">
            <w:pPr>
              <w:jc w:val="right"/>
            </w:pPr>
            <w:r>
              <w:rPr>
                <w:color w:val="000000"/>
                <w:sz w:val="24"/>
              </w:rPr>
              <w:t>2.69</w:t>
            </w:r>
          </w:p>
        </w:tc>
      </w:tr>
      <w:tr w:rsidR="00345EA6">
        <w:tc>
          <w:tcPr>
            <w:tcW w:w="862" w:type="dxa"/>
            <w:vAlign w:val="center"/>
          </w:tcPr>
          <w:p w:rsidR="00345EA6" w:rsidRDefault="00756E0F">
            <w:pPr>
              <w:jc w:val="center"/>
            </w:pPr>
            <w:r>
              <w:rPr>
                <w:color w:val="000000"/>
                <w:sz w:val="24"/>
              </w:rPr>
              <w:t>7</w:t>
            </w:r>
          </w:p>
        </w:tc>
        <w:tc>
          <w:tcPr>
            <w:tcW w:w="1346" w:type="dxa"/>
            <w:vAlign w:val="center"/>
          </w:tcPr>
          <w:p w:rsidR="00345EA6" w:rsidRDefault="00756E0F">
            <w:pPr>
              <w:jc w:val="center"/>
            </w:pPr>
            <w:r>
              <w:rPr>
                <w:color w:val="000000"/>
                <w:sz w:val="24"/>
              </w:rPr>
              <w:t>002049</w:t>
            </w:r>
          </w:p>
        </w:tc>
        <w:tc>
          <w:tcPr>
            <w:tcW w:w="1795" w:type="dxa"/>
            <w:vAlign w:val="center"/>
          </w:tcPr>
          <w:p w:rsidR="00345EA6" w:rsidRDefault="00756E0F">
            <w:pPr>
              <w:jc w:val="center"/>
            </w:pPr>
            <w:r>
              <w:rPr>
                <w:color w:val="000000"/>
                <w:sz w:val="24"/>
              </w:rPr>
              <w:t>紫光国微</w:t>
            </w:r>
          </w:p>
        </w:tc>
        <w:tc>
          <w:tcPr>
            <w:tcW w:w="1346" w:type="dxa"/>
            <w:vAlign w:val="center"/>
          </w:tcPr>
          <w:p w:rsidR="00345EA6" w:rsidRDefault="00756E0F">
            <w:pPr>
              <w:jc w:val="right"/>
            </w:pPr>
            <w:r>
              <w:rPr>
                <w:color w:val="000000"/>
                <w:sz w:val="24"/>
              </w:rPr>
              <w:t>319,200</w:t>
            </w:r>
          </w:p>
        </w:tc>
        <w:tc>
          <w:tcPr>
            <w:tcW w:w="1944" w:type="dxa"/>
            <w:vAlign w:val="center"/>
          </w:tcPr>
          <w:p w:rsidR="00345EA6" w:rsidRDefault="00756E0F">
            <w:pPr>
              <w:jc w:val="right"/>
            </w:pPr>
            <w:r>
              <w:rPr>
                <w:color w:val="000000"/>
                <w:sz w:val="24"/>
              </w:rPr>
              <w:t>23,221,800.00</w:t>
            </w:r>
          </w:p>
        </w:tc>
        <w:tc>
          <w:tcPr>
            <w:tcW w:w="1705" w:type="dxa"/>
            <w:vAlign w:val="center"/>
          </w:tcPr>
          <w:p w:rsidR="00345EA6" w:rsidRDefault="00756E0F">
            <w:pPr>
              <w:jc w:val="right"/>
            </w:pPr>
            <w:r>
              <w:rPr>
                <w:color w:val="000000"/>
                <w:sz w:val="24"/>
              </w:rPr>
              <w:t>2.60</w:t>
            </w:r>
          </w:p>
        </w:tc>
      </w:tr>
      <w:tr w:rsidR="00345EA6">
        <w:tc>
          <w:tcPr>
            <w:tcW w:w="862" w:type="dxa"/>
            <w:vAlign w:val="center"/>
          </w:tcPr>
          <w:p w:rsidR="00345EA6" w:rsidRDefault="00756E0F">
            <w:pPr>
              <w:jc w:val="center"/>
            </w:pPr>
            <w:r>
              <w:rPr>
                <w:color w:val="000000"/>
                <w:sz w:val="24"/>
              </w:rPr>
              <w:t>8</w:t>
            </w:r>
          </w:p>
        </w:tc>
        <w:tc>
          <w:tcPr>
            <w:tcW w:w="1346" w:type="dxa"/>
            <w:vAlign w:val="center"/>
          </w:tcPr>
          <w:p w:rsidR="00345EA6" w:rsidRDefault="00756E0F">
            <w:pPr>
              <w:jc w:val="center"/>
            </w:pPr>
            <w:r>
              <w:rPr>
                <w:color w:val="000000"/>
                <w:sz w:val="24"/>
              </w:rPr>
              <w:t>300014</w:t>
            </w:r>
          </w:p>
        </w:tc>
        <w:tc>
          <w:tcPr>
            <w:tcW w:w="1795" w:type="dxa"/>
            <w:vAlign w:val="center"/>
          </w:tcPr>
          <w:p w:rsidR="00345EA6" w:rsidRDefault="00756E0F">
            <w:pPr>
              <w:jc w:val="center"/>
            </w:pPr>
            <w:r>
              <w:rPr>
                <w:color w:val="000000"/>
                <w:sz w:val="24"/>
              </w:rPr>
              <w:t>亿纬锂能</w:t>
            </w:r>
          </w:p>
        </w:tc>
        <w:tc>
          <w:tcPr>
            <w:tcW w:w="1346" w:type="dxa"/>
            <w:vAlign w:val="center"/>
          </w:tcPr>
          <w:p w:rsidR="00345EA6" w:rsidRDefault="00756E0F">
            <w:pPr>
              <w:jc w:val="right"/>
            </w:pPr>
            <w:r>
              <w:rPr>
                <w:color w:val="000000"/>
                <w:sz w:val="24"/>
              </w:rPr>
              <w:t>452,028</w:t>
            </w:r>
          </w:p>
        </w:tc>
        <w:tc>
          <w:tcPr>
            <w:tcW w:w="1944" w:type="dxa"/>
            <w:vAlign w:val="center"/>
          </w:tcPr>
          <w:p w:rsidR="00345EA6" w:rsidRDefault="00756E0F">
            <w:pPr>
              <w:jc w:val="right"/>
            </w:pPr>
            <w:r>
              <w:rPr>
                <w:color w:val="000000"/>
                <w:sz w:val="24"/>
              </w:rPr>
              <w:t>21,629,539.80</w:t>
            </w:r>
          </w:p>
        </w:tc>
        <w:tc>
          <w:tcPr>
            <w:tcW w:w="1705" w:type="dxa"/>
            <w:vAlign w:val="center"/>
          </w:tcPr>
          <w:p w:rsidR="00345EA6" w:rsidRDefault="00756E0F">
            <w:pPr>
              <w:jc w:val="right"/>
            </w:pPr>
            <w:r>
              <w:rPr>
                <w:color w:val="000000"/>
                <w:sz w:val="24"/>
              </w:rPr>
              <w:t>2.42</w:t>
            </w:r>
          </w:p>
        </w:tc>
      </w:tr>
      <w:tr w:rsidR="00345EA6">
        <w:tc>
          <w:tcPr>
            <w:tcW w:w="862" w:type="dxa"/>
            <w:vAlign w:val="center"/>
          </w:tcPr>
          <w:p w:rsidR="00345EA6" w:rsidRDefault="00756E0F">
            <w:pPr>
              <w:jc w:val="center"/>
            </w:pPr>
            <w:r>
              <w:rPr>
                <w:color w:val="000000"/>
                <w:sz w:val="24"/>
              </w:rPr>
              <w:t>9</w:t>
            </w:r>
          </w:p>
        </w:tc>
        <w:tc>
          <w:tcPr>
            <w:tcW w:w="1346" w:type="dxa"/>
            <w:vAlign w:val="center"/>
          </w:tcPr>
          <w:p w:rsidR="00345EA6" w:rsidRDefault="00756E0F">
            <w:pPr>
              <w:jc w:val="center"/>
            </w:pPr>
            <w:r>
              <w:rPr>
                <w:color w:val="000000"/>
                <w:sz w:val="24"/>
              </w:rPr>
              <w:t>000725</w:t>
            </w:r>
          </w:p>
        </w:tc>
        <w:tc>
          <w:tcPr>
            <w:tcW w:w="1795" w:type="dxa"/>
            <w:vAlign w:val="center"/>
          </w:tcPr>
          <w:p w:rsidR="00345EA6" w:rsidRDefault="00756E0F">
            <w:pPr>
              <w:jc w:val="center"/>
            </w:pPr>
            <w:r>
              <w:rPr>
                <w:color w:val="000000"/>
                <w:sz w:val="24"/>
              </w:rPr>
              <w:t>京东方</w:t>
            </w:r>
            <w:r>
              <w:rPr>
                <w:color w:val="000000"/>
                <w:sz w:val="24"/>
              </w:rPr>
              <w:t>A</w:t>
            </w:r>
          </w:p>
        </w:tc>
        <w:tc>
          <w:tcPr>
            <w:tcW w:w="1346" w:type="dxa"/>
            <w:vAlign w:val="center"/>
          </w:tcPr>
          <w:p w:rsidR="00345EA6" w:rsidRDefault="00756E0F">
            <w:pPr>
              <w:jc w:val="right"/>
            </w:pPr>
            <w:r>
              <w:rPr>
                <w:color w:val="000000"/>
                <w:sz w:val="24"/>
              </w:rPr>
              <w:t>4,535,100</w:t>
            </w:r>
          </w:p>
        </w:tc>
        <w:tc>
          <w:tcPr>
            <w:tcW w:w="1944" w:type="dxa"/>
            <w:vAlign w:val="center"/>
          </w:tcPr>
          <w:p w:rsidR="00345EA6" w:rsidRDefault="00756E0F">
            <w:pPr>
              <w:jc w:val="right"/>
            </w:pPr>
            <w:r>
              <w:rPr>
                <w:color w:val="000000"/>
                <w:sz w:val="24"/>
              </w:rPr>
              <w:t>21,178,917.00</w:t>
            </w:r>
          </w:p>
        </w:tc>
        <w:tc>
          <w:tcPr>
            <w:tcW w:w="1705" w:type="dxa"/>
            <w:vAlign w:val="center"/>
          </w:tcPr>
          <w:p w:rsidR="00345EA6" w:rsidRDefault="00756E0F">
            <w:pPr>
              <w:jc w:val="right"/>
            </w:pPr>
            <w:r>
              <w:rPr>
                <w:color w:val="000000"/>
                <w:sz w:val="24"/>
              </w:rPr>
              <w:t>2.37</w:t>
            </w:r>
          </w:p>
        </w:tc>
      </w:tr>
      <w:tr w:rsidR="00345EA6">
        <w:tc>
          <w:tcPr>
            <w:tcW w:w="862" w:type="dxa"/>
            <w:vAlign w:val="center"/>
          </w:tcPr>
          <w:p w:rsidR="00345EA6" w:rsidRDefault="00756E0F">
            <w:pPr>
              <w:jc w:val="center"/>
            </w:pPr>
            <w:r>
              <w:rPr>
                <w:color w:val="000000"/>
                <w:sz w:val="24"/>
              </w:rPr>
              <w:t>10</w:t>
            </w:r>
          </w:p>
        </w:tc>
        <w:tc>
          <w:tcPr>
            <w:tcW w:w="1346" w:type="dxa"/>
            <w:vAlign w:val="center"/>
          </w:tcPr>
          <w:p w:rsidR="00345EA6" w:rsidRDefault="00756E0F">
            <w:pPr>
              <w:jc w:val="center"/>
            </w:pPr>
            <w:r>
              <w:rPr>
                <w:color w:val="000000"/>
                <w:sz w:val="24"/>
              </w:rPr>
              <w:t>300413</w:t>
            </w:r>
          </w:p>
        </w:tc>
        <w:tc>
          <w:tcPr>
            <w:tcW w:w="1795" w:type="dxa"/>
            <w:vAlign w:val="center"/>
          </w:tcPr>
          <w:p w:rsidR="00345EA6" w:rsidRDefault="00756E0F">
            <w:pPr>
              <w:jc w:val="center"/>
            </w:pPr>
            <w:r>
              <w:rPr>
                <w:color w:val="000000"/>
                <w:sz w:val="24"/>
              </w:rPr>
              <w:t>芒果超媒</w:t>
            </w:r>
          </w:p>
        </w:tc>
        <w:tc>
          <w:tcPr>
            <w:tcW w:w="1346" w:type="dxa"/>
            <w:vAlign w:val="center"/>
          </w:tcPr>
          <w:p w:rsidR="00345EA6" w:rsidRDefault="00756E0F">
            <w:pPr>
              <w:jc w:val="right"/>
            </w:pPr>
            <w:r>
              <w:rPr>
                <w:color w:val="000000"/>
                <w:sz w:val="24"/>
              </w:rPr>
              <w:t>319,000</w:t>
            </w:r>
          </w:p>
        </w:tc>
        <w:tc>
          <w:tcPr>
            <w:tcW w:w="1944" w:type="dxa"/>
            <w:vAlign w:val="center"/>
          </w:tcPr>
          <w:p w:rsidR="00345EA6" w:rsidRDefault="00756E0F">
            <w:pPr>
              <w:jc w:val="right"/>
            </w:pPr>
            <w:r>
              <w:rPr>
                <w:color w:val="000000"/>
                <w:sz w:val="24"/>
              </w:rPr>
              <w:t>20,798,800.00</w:t>
            </w:r>
          </w:p>
        </w:tc>
        <w:tc>
          <w:tcPr>
            <w:tcW w:w="1705" w:type="dxa"/>
            <w:vAlign w:val="center"/>
          </w:tcPr>
          <w:p w:rsidR="00345EA6" w:rsidRDefault="00756E0F">
            <w:pPr>
              <w:jc w:val="right"/>
            </w:pPr>
            <w:r>
              <w:rPr>
                <w:color w:val="000000"/>
                <w:sz w:val="24"/>
              </w:rPr>
              <w:t>2.33</w:t>
            </w:r>
          </w:p>
        </w:tc>
      </w:tr>
      <w:tr w:rsidR="00345EA6">
        <w:tc>
          <w:tcPr>
            <w:tcW w:w="862" w:type="dxa"/>
            <w:vAlign w:val="center"/>
          </w:tcPr>
          <w:p w:rsidR="00345EA6" w:rsidRDefault="00756E0F">
            <w:pPr>
              <w:jc w:val="center"/>
            </w:pPr>
            <w:r>
              <w:rPr>
                <w:color w:val="000000"/>
                <w:sz w:val="24"/>
              </w:rPr>
              <w:t>11</w:t>
            </w:r>
          </w:p>
        </w:tc>
        <w:tc>
          <w:tcPr>
            <w:tcW w:w="1346" w:type="dxa"/>
            <w:vAlign w:val="center"/>
          </w:tcPr>
          <w:p w:rsidR="00345EA6" w:rsidRDefault="00756E0F">
            <w:pPr>
              <w:jc w:val="center"/>
            </w:pPr>
            <w:r>
              <w:rPr>
                <w:color w:val="000000"/>
                <w:sz w:val="24"/>
              </w:rPr>
              <w:t>000002</w:t>
            </w:r>
          </w:p>
        </w:tc>
        <w:tc>
          <w:tcPr>
            <w:tcW w:w="1795" w:type="dxa"/>
            <w:vAlign w:val="center"/>
          </w:tcPr>
          <w:p w:rsidR="00345EA6" w:rsidRDefault="00756E0F">
            <w:pPr>
              <w:jc w:val="center"/>
            </w:pPr>
            <w:r>
              <w:rPr>
                <w:color w:val="000000"/>
                <w:sz w:val="24"/>
              </w:rPr>
              <w:t>万科</w:t>
            </w:r>
            <w:r>
              <w:rPr>
                <w:color w:val="000000"/>
                <w:sz w:val="24"/>
              </w:rPr>
              <w:t>A</w:t>
            </w:r>
          </w:p>
        </w:tc>
        <w:tc>
          <w:tcPr>
            <w:tcW w:w="1346" w:type="dxa"/>
            <w:vAlign w:val="center"/>
          </w:tcPr>
          <w:p w:rsidR="00345EA6" w:rsidRDefault="00756E0F">
            <w:pPr>
              <w:jc w:val="right"/>
            </w:pPr>
            <w:r>
              <w:rPr>
                <w:color w:val="000000"/>
                <w:sz w:val="24"/>
              </w:rPr>
              <w:t>699,100</w:t>
            </w:r>
          </w:p>
        </w:tc>
        <w:tc>
          <w:tcPr>
            <w:tcW w:w="1944" w:type="dxa"/>
            <w:vAlign w:val="center"/>
          </w:tcPr>
          <w:p w:rsidR="00345EA6" w:rsidRDefault="00756E0F">
            <w:pPr>
              <w:jc w:val="right"/>
            </w:pPr>
            <w:r>
              <w:rPr>
                <w:color w:val="000000"/>
                <w:sz w:val="24"/>
              </w:rPr>
              <w:t>18,274,474.00</w:t>
            </w:r>
          </w:p>
        </w:tc>
        <w:tc>
          <w:tcPr>
            <w:tcW w:w="1705" w:type="dxa"/>
            <w:vAlign w:val="center"/>
          </w:tcPr>
          <w:p w:rsidR="00345EA6" w:rsidRDefault="00756E0F">
            <w:pPr>
              <w:jc w:val="right"/>
            </w:pPr>
            <w:r>
              <w:rPr>
                <w:color w:val="000000"/>
                <w:sz w:val="24"/>
              </w:rPr>
              <w:t>2.05</w:t>
            </w:r>
          </w:p>
        </w:tc>
      </w:tr>
      <w:tr w:rsidR="00345EA6">
        <w:tc>
          <w:tcPr>
            <w:tcW w:w="862" w:type="dxa"/>
            <w:vAlign w:val="center"/>
          </w:tcPr>
          <w:p w:rsidR="00345EA6" w:rsidRDefault="00756E0F">
            <w:pPr>
              <w:jc w:val="center"/>
            </w:pPr>
            <w:r>
              <w:rPr>
                <w:color w:val="000000"/>
                <w:sz w:val="24"/>
              </w:rPr>
              <w:t>12</w:t>
            </w:r>
          </w:p>
        </w:tc>
        <w:tc>
          <w:tcPr>
            <w:tcW w:w="1346" w:type="dxa"/>
            <w:vAlign w:val="center"/>
          </w:tcPr>
          <w:p w:rsidR="00345EA6" w:rsidRDefault="00756E0F">
            <w:pPr>
              <w:jc w:val="center"/>
            </w:pPr>
            <w:r>
              <w:rPr>
                <w:color w:val="000000"/>
                <w:sz w:val="24"/>
              </w:rPr>
              <w:t>002607</w:t>
            </w:r>
          </w:p>
        </w:tc>
        <w:tc>
          <w:tcPr>
            <w:tcW w:w="1795" w:type="dxa"/>
            <w:vAlign w:val="center"/>
          </w:tcPr>
          <w:p w:rsidR="00345EA6" w:rsidRDefault="00756E0F">
            <w:pPr>
              <w:jc w:val="center"/>
            </w:pPr>
            <w:r>
              <w:rPr>
                <w:color w:val="000000"/>
                <w:sz w:val="24"/>
              </w:rPr>
              <w:t>中公教育</w:t>
            </w:r>
          </w:p>
        </w:tc>
        <w:tc>
          <w:tcPr>
            <w:tcW w:w="1346" w:type="dxa"/>
            <w:vAlign w:val="center"/>
          </w:tcPr>
          <w:p w:rsidR="00345EA6" w:rsidRDefault="00756E0F">
            <w:pPr>
              <w:jc w:val="right"/>
            </w:pPr>
            <w:r>
              <w:rPr>
                <w:color w:val="000000"/>
                <w:sz w:val="24"/>
              </w:rPr>
              <w:t>629,415</w:t>
            </w:r>
          </w:p>
        </w:tc>
        <w:tc>
          <w:tcPr>
            <w:tcW w:w="1944" w:type="dxa"/>
            <w:vAlign w:val="center"/>
          </w:tcPr>
          <w:p w:rsidR="00345EA6" w:rsidRDefault="00756E0F">
            <w:pPr>
              <w:jc w:val="right"/>
            </w:pPr>
            <w:r>
              <w:rPr>
                <w:color w:val="000000"/>
                <w:sz w:val="24"/>
              </w:rPr>
              <w:t>17,466,266.25</w:t>
            </w:r>
          </w:p>
        </w:tc>
        <w:tc>
          <w:tcPr>
            <w:tcW w:w="1705" w:type="dxa"/>
            <w:vAlign w:val="center"/>
          </w:tcPr>
          <w:p w:rsidR="00345EA6" w:rsidRDefault="00756E0F">
            <w:pPr>
              <w:jc w:val="right"/>
            </w:pPr>
            <w:r>
              <w:rPr>
                <w:color w:val="000000"/>
                <w:sz w:val="24"/>
              </w:rPr>
              <w:t>1.96</w:t>
            </w:r>
          </w:p>
        </w:tc>
      </w:tr>
      <w:tr w:rsidR="00345EA6">
        <w:tc>
          <w:tcPr>
            <w:tcW w:w="862" w:type="dxa"/>
            <w:vAlign w:val="center"/>
          </w:tcPr>
          <w:p w:rsidR="00345EA6" w:rsidRDefault="00756E0F">
            <w:pPr>
              <w:jc w:val="center"/>
            </w:pPr>
            <w:r>
              <w:rPr>
                <w:color w:val="000000"/>
                <w:sz w:val="24"/>
              </w:rPr>
              <w:t>13</w:t>
            </w:r>
          </w:p>
        </w:tc>
        <w:tc>
          <w:tcPr>
            <w:tcW w:w="1346" w:type="dxa"/>
            <w:vAlign w:val="center"/>
          </w:tcPr>
          <w:p w:rsidR="00345EA6" w:rsidRDefault="00756E0F">
            <w:pPr>
              <w:jc w:val="center"/>
            </w:pPr>
            <w:r>
              <w:rPr>
                <w:color w:val="000000"/>
                <w:sz w:val="24"/>
              </w:rPr>
              <w:t>000998</w:t>
            </w:r>
          </w:p>
        </w:tc>
        <w:tc>
          <w:tcPr>
            <w:tcW w:w="1795" w:type="dxa"/>
            <w:vAlign w:val="center"/>
          </w:tcPr>
          <w:p w:rsidR="00345EA6" w:rsidRDefault="00756E0F">
            <w:pPr>
              <w:jc w:val="center"/>
            </w:pPr>
            <w:r>
              <w:rPr>
                <w:color w:val="000000"/>
                <w:sz w:val="24"/>
              </w:rPr>
              <w:t>隆平高科</w:t>
            </w:r>
          </w:p>
        </w:tc>
        <w:tc>
          <w:tcPr>
            <w:tcW w:w="1346" w:type="dxa"/>
            <w:vAlign w:val="center"/>
          </w:tcPr>
          <w:p w:rsidR="00345EA6" w:rsidRDefault="00756E0F">
            <w:pPr>
              <w:jc w:val="right"/>
            </w:pPr>
            <w:r>
              <w:rPr>
                <w:color w:val="000000"/>
                <w:sz w:val="24"/>
              </w:rPr>
              <w:t>1,024,600</w:t>
            </w:r>
          </w:p>
        </w:tc>
        <w:tc>
          <w:tcPr>
            <w:tcW w:w="1944" w:type="dxa"/>
            <w:vAlign w:val="center"/>
          </w:tcPr>
          <w:p w:rsidR="00345EA6" w:rsidRDefault="00756E0F">
            <w:pPr>
              <w:jc w:val="right"/>
            </w:pPr>
            <w:r>
              <w:rPr>
                <w:color w:val="000000"/>
                <w:sz w:val="24"/>
              </w:rPr>
              <w:t>17,059,590.00</w:t>
            </w:r>
          </w:p>
        </w:tc>
        <w:tc>
          <w:tcPr>
            <w:tcW w:w="1705" w:type="dxa"/>
            <w:vAlign w:val="center"/>
          </w:tcPr>
          <w:p w:rsidR="00345EA6" w:rsidRDefault="00756E0F">
            <w:pPr>
              <w:jc w:val="right"/>
            </w:pPr>
            <w:r>
              <w:rPr>
                <w:color w:val="000000"/>
                <w:sz w:val="24"/>
              </w:rPr>
              <w:t>1.91</w:t>
            </w:r>
          </w:p>
        </w:tc>
      </w:tr>
      <w:tr w:rsidR="00345EA6">
        <w:tc>
          <w:tcPr>
            <w:tcW w:w="862" w:type="dxa"/>
            <w:vAlign w:val="center"/>
          </w:tcPr>
          <w:p w:rsidR="00345EA6" w:rsidRDefault="00756E0F">
            <w:pPr>
              <w:jc w:val="center"/>
            </w:pPr>
            <w:r>
              <w:rPr>
                <w:color w:val="000000"/>
                <w:sz w:val="24"/>
              </w:rPr>
              <w:lastRenderedPageBreak/>
              <w:t>14</w:t>
            </w:r>
          </w:p>
        </w:tc>
        <w:tc>
          <w:tcPr>
            <w:tcW w:w="1346" w:type="dxa"/>
            <w:vAlign w:val="center"/>
          </w:tcPr>
          <w:p w:rsidR="00345EA6" w:rsidRDefault="00756E0F">
            <w:pPr>
              <w:jc w:val="center"/>
            </w:pPr>
            <w:r>
              <w:rPr>
                <w:color w:val="000000"/>
                <w:sz w:val="24"/>
              </w:rPr>
              <w:t>000651</w:t>
            </w:r>
          </w:p>
        </w:tc>
        <w:tc>
          <w:tcPr>
            <w:tcW w:w="1795" w:type="dxa"/>
            <w:vAlign w:val="center"/>
          </w:tcPr>
          <w:p w:rsidR="00345EA6" w:rsidRDefault="00756E0F">
            <w:pPr>
              <w:jc w:val="center"/>
            </w:pPr>
            <w:r>
              <w:rPr>
                <w:color w:val="000000"/>
                <w:sz w:val="24"/>
              </w:rPr>
              <w:t>格力电器</w:t>
            </w:r>
          </w:p>
        </w:tc>
        <w:tc>
          <w:tcPr>
            <w:tcW w:w="1346" w:type="dxa"/>
            <w:vAlign w:val="center"/>
          </w:tcPr>
          <w:p w:rsidR="00345EA6" w:rsidRDefault="00756E0F">
            <w:pPr>
              <w:jc w:val="right"/>
            </w:pPr>
            <w:r>
              <w:rPr>
                <w:color w:val="000000"/>
                <w:sz w:val="24"/>
              </w:rPr>
              <w:t>261,300</w:t>
            </w:r>
          </w:p>
        </w:tc>
        <w:tc>
          <w:tcPr>
            <w:tcW w:w="1944" w:type="dxa"/>
            <w:vAlign w:val="center"/>
          </w:tcPr>
          <w:p w:rsidR="00345EA6" w:rsidRDefault="00756E0F">
            <w:pPr>
              <w:jc w:val="right"/>
            </w:pPr>
            <w:r>
              <w:rPr>
                <w:color w:val="000000"/>
                <w:sz w:val="24"/>
              </w:rPr>
              <w:t>14,781,741.00</w:t>
            </w:r>
          </w:p>
        </w:tc>
        <w:tc>
          <w:tcPr>
            <w:tcW w:w="1705" w:type="dxa"/>
            <w:vAlign w:val="center"/>
          </w:tcPr>
          <w:p w:rsidR="00345EA6" w:rsidRDefault="00756E0F">
            <w:pPr>
              <w:jc w:val="right"/>
            </w:pPr>
            <w:r>
              <w:rPr>
                <w:color w:val="000000"/>
                <w:sz w:val="24"/>
              </w:rPr>
              <w:t>1.66</w:t>
            </w:r>
          </w:p>
        </w:tc>
      </w:tr>
      <w:tr w:rsidR="00345EA6">
        <w:tc>
          <w:tcPr>
            <w:tcW w:w="862" w:type="dxa"/>
            <w:vAlign w:val="center"/>
          </w:tcPr>
          <w:p w:rsidR="00345EA6" w:rsidRDefault="00756E0F">
            <w:pPr>
              <w:jc w:val="center"/>
            </w:pPr>
            <w:r>
              <w:rPr>
                <w:color w:val="000000"/>
                <w:sz w:val="24"/>
              </w:rPr>
              <w:t>15</w:t>
            </w:r>
          </w:p>
        </w:tc>
        <w:tc>
          <w:tcPr>
            <w:tcW w:w="1346" w:type="dxa"/>
            <w:vAlign w:val="center"/>
          </w:tcPr>
          <w:p w:rsidR="00345EA6" w:rsidRDefault="00756E0F">
            <w:pPr>
              <w:jc w:val="center"/>
            </w:pPr>
            <w:r>
              <w:rPr>
                <w:color w:val="000000"/>
                <w:sz w:val="24"/>
              </w:rPr>
              <w:t>300724</w:t>
            </w:r>
          </w:p>
        </w:tc>
        <w:tc>
          <w:tcPr>
            <w:tcW w:w="1795" w:type="dxa"/>
            <w:vAlign w:val="center"/>
          </w:tcPr>
          <w:p w:rsidR="00345EA6" w:rsidRDefault="00756E0F">
            <w:pPr>
              <w:jc w:val="center"/>
            </w:pPr>
            <w:r>
              <w:rPr>
                <w:color w:val="000000"/>
                <w:sz w:val="24"/>
              </w:rPr>
              <w:t>捷佳伟创</w:t>
            </w:r>
          </w:p>
        </w:tc>
        <w:tc>
          <w:tcPr>
            <w:tcW w:w="1346" w:type="dxa"/>
            <w:vAlign w:val="center"/>
          </w:tcPr>
          <w:p w:rsidR="00345EA6" w:rsidRDefault="00756E0F">
            <w:pPr>
              <w:jc w:val="right"/>
            </w:pPr>
            <w:r>
              <w:rPr>
                <w:color w:val="000000"/>
                <w:sz w:val="24"/>
              </w:rPr>
              <w:t>164,953</w:t>
            </w:r>
          </w:p>
        </w:tc>
        <w:tc>
          <w:tcPr>
            <w:tcW w:w="1944" w:type="dxa"/>
            <w:vAlign w:val="center"/>
          </w:tcPr>
          <w:p w:rsidR="00345EA6" w:rsidRDefault="00756E0F">
            <w:pPr>
              <w:jc w:val="right"/>
            </w:pPr>
            <w:r>
              <w:rPr>
                <w:color w:val="000000"/>
                <w:sz w:val="24"/>
              </w:rPr>
              <w:t>14,603,289.09</w:t>
            </w:r>
          </w:p>
        </w:tc>
        <w:tc>
          <w:tcPr>
            <w:tcW w:w="1705" w:type="dxa"/>
            <w:vAlign w:val="center"/>
          </w:tcPr>
          <w:p w:rsidR="00345EA6" w:rsidRDefault="00756E0F">
            <w:pPr>
              <w:jc w:val="right"/>
            </w:pPr>
            <w:r>
              <w:rPr>
                <w:color w:val="000000"/>
                <w:sz w:val="24"/>
              </w:rPr>
              <w:t>1.64</w:t>
            </w:r>
          </w:p>
        </w:tc>
      </w:tr>
      <w:tr w:rsidR="00345EA6">
        <w:tc>
          <w:tcPr>
            <w:tcW w:w="862" w:type="dxa"/>
            <w:vAlign w:val="center"/>
          </w:tcPr>
          <w:p w:rsidR="00345EA6" w:rsidRDefault="00756E0F">
            <w:pPr>
              <w:jc w:val="center"/>
            </w:pPr>
            <w:r>
              <w:rPr>
                <w:color w:val="000000"/>
                <w:sz w:val="24"/>
              </w:rPr>
              <w:t>16</w:t>
            </w:r>
          </w:p>
        </w:tc>
        <w:tc>
          <w:tcPr>
            <w:tcW w:w="1346" w:type="dxa"/>
            <w:vAlign w:val="center"/>
          </w:tcPr>
          <w:p w:rsidR="00345EA6" w:rsidRDefault="00756E0F">
            <w:pPr>
              <w:jc w:val="center"/>
            </w:pPr>
            <w:r>
              <w:rPr>
                <w:color w:val="000000"/>
                <w:sz w:val="24"/>
              </w:rPr>
              <w:t>603186</w:t>
            </w:r>
          </w:p>
        </w:tc>
        <w:tc>
          <w:tcPr>
            <w:tcW w:w="1795" w:type="dxa"/>
            <w:vAlign w:val="center"/>
          </w:tcPr>
          <w:p w:rsidR="00345EA6" w:rsidRDefault="00756E0F">
            <w:pPr>
              <w:jc w:val="center"/>
            </w:pPr>
            <w:r>
              <w:rPr>
                <w:color w:val="000000"/>
                <w:sz w:val="24"/>
              </w:rPr>
              <w:t>华正新材</w:t>
            </w:r>
          </w:p>
        </w:tc>
        <w:tc>
          <w:tcPr>
            <w:tcW w:w="1346" w:type="dxa"/>
            <w:vAlign w:val="center"/>
          </w:tcPr>
          <w:p w:rsidR="00345EA6" w:rsidRDefault="00756E0F">
            <w:pPr>
              <w:jc w:val="right"/>
            </w:pPr>
            <w:r>
              <w:rPr>
                <w:color w:val="000000"/>
                <w:sz w:val="24"/>
              </w:rPr>
              <w:t>289,000</w:t>
            </w:r>
          </w:p>
        </w:tc>
        <w:tc>
          <w:tcPr>
            <w:tcW w:w="1944" w:type="dxa"/>
            <w:vAlign w:val="center"/>
          </w:tcPr>
          <w:p w:rsidR="00345EA6" w:rsidRDefault="00756E0F">
            <w:pPr>
              <w:jc w:val="right"/>
            </w:pPr>
            <w:r>
              <w:rPr>
                <w:color w:val="000000"/>
                <w:sz w:val="24"/>
              </w:rPr>
              <w:t>14,383,530.00</w:t>
            </w:r>
          </w:p>
        </w:tc>
        <w:tc>
          <w:tcPr>
            <w:tcW w:w="1705" w:type="dxa"/>
            <w:vAlign w:val="center"/>
          </w:tcPr>
          <w:p w:rsidR="00345EA6" w:rsidRDefault="00756E0F">
            <w:pPr>
              <w:jc w:val="right"/>
            </w:pPr>
            <w:r>
              <w:rPr>
                <w:color w:val="000000"/>
                <w:sz w:val="24"/>
              </w:rPr>
              <w:t>1.61</w:t>
            </w:r>
          </w:p>
        </w:tc>
      </w:tr>
      <w:tr w:rsidR="00345EA6">
        <w:tc>
          <w:tcPr>
            <w:tcW w:w="862" w:type="dxa"/>
            <w:vAlign w:val="center"/>
          </w:tcPr>
          <w:p w:rsidR="00345EA6" w:rsidRDefault="00756E0F">
            <w:pPr>
              <w:jc w:val="center"/>
            </w:pPr>
            <w:r>
              <w:rPr>
                <w:color w:val="000000"/>
                <w:sz w:val="24"/>
              </w:rPr>
              <w:t>17</w:t>
            </w:r>
          </w:p>
        </w:tc>
        <w:tc>
          <w:tcPr>
            <w:tcW w:w="1346" w:type="dxa"/>
            <w:vAlign w:val="center"/>
          </w:tcPr>
          <w:p w:rsidR="00345EA6" w:rsidRDefault="00756E0F">
            <w:pPr>
              <w:jc w:val="center"/>
            </w:pPr>
            <w:r>
              <w:rPr>
                <w:color w:val="000000"/>
                <w:sz w:val="24"/>
              </w:rPr>
              <w:t>603259</w:t>
            </w:r>
          </w:p>
        </w:tc>
        <w:tc>
          <w:tcPr>
            <w:tcW w:w="1795" w:type="dxa"/>
            <w:vAlign w:val="center"/>
          </w:tcPr>
          <w:p w:rsidR="00345EA6" w:rsidRDefault="00756E0F">
            <w:pPr>
              <w:jc w:val="center"/>
            </w:pPr>
            <w:r>
              <w:rPr>
                <w:color w:val="000000"/>
                <w:sz w:val="24"/>
              </w:rPr>
              <w:t>药明康德</w:t>
            </w:r>
          </w:p>
        </w:tc>
        <w:tc>
          <w:tcPr>
            <w:tcW w:w="1346" w:type="dxa"/>
            <w:vAlign w:val="center"/>
          </w:tcPr>
          <w:p w:rsidR="00345EA6" w:rsidRDefault="00756E0F">
            <w:pPr>
              <w:jc w:val="right"/>
            </w:pPr>
            <w:r>
              <w:rPr>
                <w:color w:val="000000"/>
                <w:sz w:val="24"/>
              </w:rPr>
              <w:t>148,260</w:t>
            </w:r>
          </w:p>
        </w:tc>
        <w:tc>
          <w:tcPr>
            <w:tcW w:w="1944" w:type="dxa"/>
            <w:vAlign w:val="center"/>
          </w:tcPr>
          <w:p w:rsidR="00345EA6" w:rsidRDefault="00756E0F">
            <w:pPr>
              <w:jc w:val="right"/>
            </w:pPr>
            <w:r>
              <w:rPr>
                <w:color w:val="000000"/>
                <w:sz w:val="24"/>
              </w:rPr>
              <w:t>14,321,916.00</w:t>
            </w:r>
          </w:p>
        </w:tc>
        <w:tc>
          <w:tcPr>
            <w:tcW w:w="1705" w:type="dxa"/>
            <w:vAlign w:val="center"/>
          </w:tcPr>
          <w:p w:rsidR="00345EA6" w:rsidRDefault="00756E0F">
            <w:pPr>
              <w:jc w:val="right"/>
            </w:pPr>
            <w:r>
              <w:rPr>
                <w:color w:val="000000"/>
                <w:sz w:val="24"/>
              </w:rPr>
              <w:t>1.60</w:t>
            </w:r>
          </w:p>
        </w:tc>
      </w:tr>
      <w:tr w:rsidR="00345EA6">
        <w:tc>
          <w:tcPr>
            <w:tcW w:w="862" w:type="dxa"/>
            <w:vAlign w:val="center"/>
          </w:tcPr>
          <w:p w:rsidR="00345EA6" w:rsidRDefault="00756E0F">
            <w:pPr>
              <w:jc w:val="center"/>
            </w:pPr>
            <w:r>
              <w:rPr>
                <w:color w:val="000000"/>
                <w:sz w:val="24"/>
              </w:rPr>
              <w:t>18</w:t>
            </w:r>
          </w:p>
        </w:tc>
        <w:tc>
          <w:tcPr>
            <w:tcW w:w="1346" w:type="dxa"/>
            <w:vAlign w:val="center"/>
          </w:tcPr>
          <w:p w:rsidR="00345EA6" w:rsidRDefault="00756E0F">
            <w:pPr>
              <w:jc w:val="center"/>
            </w:pPr>
            <w:r>
              <w:rPr>
                <w:color w:val="000000"/>
                <w:sz w:val="24"/>
              </w:rPr>
              <w:t>300760</w:t>
            </w:r>
          </w:p>
        </w:tc>
        <w:tc>
          <w:tcPr>
            <w:tcW w:w="1795" w:type="dxa"/>
            <w:vAlign w:val="center"/>
          </w:tcPr>
          <w:p w:rsidR="00345EA6" w:rsidRDefault="00756E0F">
            <w:pPr>
              <w:jc w:val="center"/>
            </w:pPr>
            <w:r>
              <w:rPr>
                <w:color w:val="000000"/>
                <w:sz w:val="24"/>
              </w:rPr>
              <w:t>迈瑞医疗</w:t>
            </w:r>
          </w:p>
        </w:tc>
        <w:tc>
          <w:tcPr>
            <w:tcW w:w="1346" w:type="dxa"/>
            <w:vAlign w:val="center"/>
          </w:tcPr>
          <w:p w:rsidR="00345EA6" w:rsidRDefault="00756E0F">
            <w:pPr>
              <w:jc w:val="right"/>
            </w:pPr>
            <w:r>
              <w:rPr>
                <w:color w:val="000000"/>
                <w:sz w:val="24"/>
              </w:rPr>
              <w:t>41,600</w:t>
            </w:r>
          </w:p>
        </w:tc>
        <w:tc>
          <w:tcPr>
            <w:tcW w:w="1944" w:type="dxa"/>
            <w:vAlign w:val="center"/>
          </w:tcPr>
          <w:p w:rsidR="00345EA6" w:rsidRDefault="00756E0F">
            <w:pPr>
              <w:jc w:val="right"/>
            </w:pPr>
            <w:r>
              <w:rPr>
                <w:color w:val="000000"/>
                <w:sz w:val="24"/>
              </w:rPr>
              <w:t>12,717,120.00</w:t>
            </w:r>
          </w:p>
        </w:tc>
        <w:tc>
          <w:tcPr>
            <w:tcW w:w="1705" w:type="dxa"/>
            <w:vAlign w:val="center"/>
          </w:tcPr>
          <w:p w:rsidR="00345EA6" w:rsidRDefault="00756E0F">
            <w:pPr>
              <w:jc w:val="right"/>
            </w:pPr>
            <w:r>
              <w:rPr>
                <w:color w:val="000000"/>
                <w:sz w:val="24"/>
              </w:rPr>
              <w:t>1.42</w:t>
            </w:r>
          </w:p>
        </w:tc>
      </w:tr>
      <w:tr w:rsidR="00345EA6">
        <w:tc>
          <w:tcPr>
            <w:tcW w:w="862" w:type="dxa"/>
            <w:vAlign w:val="center"/>
          </w:tcPr>
          <w:p w:rsidR="00345EA6" w:rsidRDefault="00756E0F">
            <w:pPr>
              <w:jc w:val="center"/>
            </w:pPr>
            <w:r>
              <w:rPr>
                <w:color w:val="000000"/>
                <w:sz w:val="24"/>
              </w:rPr>
              <w:t>19</w:t>
            </w:r>
          </w:p>
        </w:tc>
        <w:tc>
          <w:tcPr>
            <w:tcW w:w="1346" w:type="dxa"/>
            <w:vAlign w:val="center"/>
          </w:tcPr>
          <w:p w:rsidR="00345EA6" w:rsidRDefault="00756E0F">
            <w:pPr>
              <w:jc w:val="center"/>
            </w:pPr>
            <w:r>
              <w:rPr>
                <w:color w:val="000000"/>
                <w:sz w:val="24"/>
              </w:rPr>
              <w:t>300601</w:t>
            </w:r>
          </w:p>
        </w:tc>
        <w:tc>
          <w:tcPr>
            <w:tcW w:w="1795" w:type="dxa"/>
            <w:vAlign w:val="center"/>
          </w:tcPr>
          <w:p w:rsidR="00345EA6" w:rsidRDefault="00756E0F">
            <w:pPr>
              <w:jc w:val="center"/>
            </w:pPr>
            <w:r>
              <w:rPr>
                <w:color w:val="000000"/>
                <w:sz w:val="24"/>
              </w:rPr>
              <w:t>康泰生物</w:t>
            </w:r>
          </w:p>
        </w:tc>
        <w:tc>
          <w:tcPr>
            <w:tcW w:w="1346" w:type="dxa"/>
            <w:vAlign w:val="center"/>
          </w:tcPr>
          <w:p w:rsidR="00345EA6" w:rsidRDefault="00756E0F">
            <w:pPr>
              <w:jc w:val="right"/>
            </w:pPr>
            <w:r>
              <w:rPr>
                <w:color w:val="000000"/>
                <w:sz w:val="24"/>
              </w:rPr>
              <w:t>75,300</w:t>
            </w:r>
          </w:p>
        </w:tc>
        <w:tc>
          <w:tcPr>
            <w:tcW w:w="1944" w:type="dxa"/>
            <w:vAlign w:val="center"/>
          </w:tcPr>
          <w:p w:rsidR="00345EA6" w:rsidRDefault="00756E0F">
            <w:pPr>
              <w:jc w:val="right"/>
            </w:pPr>
            <w:r>
              <w:rPr>
                <w:color w:val="000000"/>
                <w:sz w:val="24"/>
              </w:rPr>
              <w:t>12,210,648.00</w:t>
            </w:r>
          </w:p>
        </w:tc>
        <w:tc>
          <w:tcPr>
            <w:tcW w:w="1705" w:type="dxa"/>
            <w:vAlign w:val="center"/>
          </w:tcPr>
          <w:p w:rsidR="00345EA6" w:rsidRDefault="00756E0F">
            <w:pPr>
              <w:jc w:val="right"/>
            </w:pPr>
            <w:r>
              <w:rPr>
                <w:color w:val="000000"/>
                <w:sz w:val="24"/>
              </w:rPr>
              <w:t>1.37</w:t>
            </w:r>
          </w:p>
        </w:tc>
      </w:tr>
      <w:tr w:rsidR="00345EA6">
        <w:tc>
          <w:tcPr>
            <w:tcW w:w="862" w:type="dxa"/>
            <w:vAlign w:val="center"/>
          </w:tcPr>
          <w:p w:rsidR="00345EA6" w:rsidRDefault="00756E0F">
            <w:pPr>
              <w:jc w:val="center"/>
            </w:pPr>
            <w:r>
              <w:rPr>
                <w:color w:val="000000"/>
                <w:sz w:val="24"/>
              </w:rPr>
              <w:t>20</w:t>
            </w:r>
          </w:p>
        </w:tc>
        <w:tc>
          <w:tcPr>
            <w:tcW w:w="1346" w:type="dxa"/>
            <w:vAlign w:val="center"/>
          </w:tcPr>
          <w:p w:rsidR="00345EA6" w:rsidRDefault="00756E0F">
            <w:pPr>
              <w:jc w:val="center"/>
            </w:pPr>
            <w:r>
              <w:rPr>
                <w:color w:val="000000"/>
                <w:sz w:val="24"/>
              </w:rPr>
              <w:t>688188</w:t>
            </w:r>
          </w:p>
        </w:tc>
        <w:tc>
          <w:tcPr>
            <w:tcW w:w="1795" w:type="dxa"/>
            <w:vAlign w:val="center"/>
          </w:tcPr>
          <w:p w:rsidR="00345EA6" w:rsidRDefault="00756E0F">
            <w:pPr>
              <w:jc w:val="center"/>
            </w:pPr>
            <w:r>
              <w:rPr>
                <w:color w:val="000000"/>
                <w:sz w:val="24"/>
              </w:rPr>
              <w:t>柏楚电子</w:t>
            </w:r>
          </w:p>
        </w:tc>
        <w:tc>
          <w:tcPr>
            <w:tcW w:w="1346" w:type="dxa"/>
            <w:vAlign w:val="center"/>
          </w:tcPr>
          <w:p w:rsidR="00345EA6" w:rsidRDefault="00756E0F">
            <w:pPr>
              <w:jc w:val="right"/>
            </w:pPr>
            <w:r>
              <w:rPr>
                <w:color w:val="000000"/>
                <w:sz w:val="24"/>
              </w:rPr>
              <w:t>73,738</w:t>
            </w:r>
          </w:p>
        </w:tc>
        <w:tc>
          <w:tcPr>
            <w:tcW w:w="1944" w:type="dxa"/>
            <w:vAlign w:val="center"/>
          </w:tcPr>
          <w:p w:rsidR="00345EA6" w:rsidRDefault="00756E0F">
            <w:pPr>
              <w:jc w:val="right"/>
            </w:pPr>
            <w:r>
              <w:rPr>
                <w:color w:val="000000"/>
                <w:sz w:val="24"/>
              </w:rPr>
              <w:t>12,026,667.80</w:t>
            </w:r>
          </w:p>
        </w:tc>
        <w:tc>
          <w:tcPr>
            <w:tcW w:w="1705" w:type="dxa"/>
            <w:vAlign w:val="center"/>
          </w:tcPr>
          <w:p w:rsidR="00345EA6" w:rsidRDefault="00756E0F">
            <w:pPr>
              <w:jc w:val="right"/>
            </w:pPr>
            <w:r>
              <w:rPr>
                <w:color w:val="000000"/>
                <w:sz w:val="24"/>
              </w:rPr>
              <w:t>1.35</w:t>
            </w:r>
          </w:p>
        </w:tc>
      </w:tr>
      <w:tr w:rsidR="00345EA6">
        <w:tc>
          <w:tcPr>
            <w:tcW w:w="862" w:type="dxa"/>
            <w:vAlign w:val="center"/>
          </w:tcPr>
          <w:p w:rsidR="00345EA6" w:rsidRDefault="00756E0F">
            <w:pPr>
              <w:jc w:val="center"/>
            </w:pPr>
            <w:r>
              <w:rPr>
                <w:color w:val="000000"/>
                <w:sz w:val="24"/>
              </w:rPr>
              <w:t>21</w:t>
            </w:r>
          </w:p>
        </w:tc>
        <w:tc>
          <w:tcPr>
            <w:tcW w:w="1346" w:type="dxa"/>
            <w:vAlign w:val="center"/>
          </w:tcPr>
          <w:p w:rsidR="00345EA6" w:rsidRDefault="00756E0F">
            <w:pPr>
              <w:jc w:val="center"/>
            </w:pPr>
            <w:r>
              <w:rPr>
                <w:color w:val="000000"/>
                <w:sz w:val="24"/>
              </w:rPr>
              <w:t>002216</w:t>
            </w:r>
          </w:p>
        </w:tc>
        <w:tc>
          <w:tcPr>
            <w:tcW w:w="1795" w:type="dxa"/>
            <w:vAlign w:val="center"/>
          </w:tcPr>
          <w:p w:rsidR="00345EA6" w:rsidRDefault="00756E0F">
            <w:pPr>
              <w:jc w:val="center"/>
            </w:pPr>
            <w:r>
              <w:rPr>
                <w:color w:val="000000"/>
                <w:sz w:val="24"/>
              </w:rPr>
              <w:t>三全食品</w:t>
            </w:r>
          </w:p>
        </w:tc>
        <w:tc>
          <w:tcPr>
            <w:tcW w:w="1346" w:type="dxa"/>
            <w:vAlign w:val="center"/>
          </w:tcPr>
          <w:p w:rsidR="00345EA6" w:rsidRDefault="00756E0F">
            <w:pPr>
              <w:jc w:val="right"/>
            </w:pPr>
            <w:r>
              <w:rPr>
                <w:color w:val="000000"/>
                <w:sz w:val="24"/>
              </w:rPr>
              <w:t>481,200</w:t>
            </w:r>
          </w:p>
        </w:tc>
        <w:tc>
          <w:tcPr>
            <w:tcW w:w="1944" w:type="dxa"/>
            <w:vAlign w:val="center"/>
          </w:tcPr>
          <w:p w:rsidR="00345EA6" w:rsidRDefault="00756E0F">
            <w:pPr>
              <w:jc w:val="right"/>
            </w:pPr>
            <w:r>
              <w:rPr>
                <w:color w:val="000000"/>
                <w:sz w:val="24"/>
              </w:rPr>
              <w:t>11,500,680.00</w:t>
            </w:r>
          </w:p>
        </w:tc>
        <w:tc>
          <w:tcPr>
            <w:tcW w:w="1705" w:type="dxa"/>
            <w:vAlign w:val="center"/>
          </w:tcPr>
          <w:p w:rsidR="00345EA6" w:rsidRDefault="00756E0F">
            <w:pPr>
              <w:jc w:val="right"/>
            </w:pPr>
            <w:r>
              <w:rPr>
                <w:color w:val="000000"/>
                <w:sz w:val="24"/>
              </w:rPr>
              <w:t>1.29</w:t>
            </w:r>
          </w:p>
        </w:tc>
      </w:tr>
      <w:tr w:rsidR="00345EA6">
        <w:tc>
          <w:tcPr>
            <w:tcW w:w="862" w:type="dxa"/>
            <w:vAlign w:val="center"/>
          </w:tcPr>
          <w:p w:rsidR="00345EA6" w:rsidRDefault="00756E0F">
            <w:pPr>
              <w:jc w:val="center"/>
            </w:pPr>
            <w:r>
              <w:rPr>
                <w:color w:val="000000"/>
                <w:sz w:val="24"/>
              </w:rPr>
              <w:t>22</w:t>
            </w:r>
          </w:p>
        </w:tc>
        <w:tc>
          <w:tcPr>
            <w:tcW w:w="1346" w:type="dxa"/>
            <w:vAlign w:val="center"/>
          </w:tcPr>
          <w:p w:rsidR="00345EA6" w:rsidRDefault="00756E0F">
            <w:pPr>
              <w:jc w:val="center"/>
            </w:pPr>
            <w:r>
              <w:rPr>
                <w:color w:val="000000"/>
                <w:sz w:val="24"/>
              </w:rPr>
              <w:t>600216</w:t>
            </w:r>
          </w:p>
        </w:tc>
        <w:tc>
          <w:tcPr>
            <w:tcW w:w="1795" w:type="dxa"/>
            <w:vAlign w:val="center"/>
          </w:tcPr>
          <w:p w:rsidR="00345EA6" w:rsidRDefault="00756E0F">
            <w:pPr>
              <w:jc w:val="center"/>
            </w:pPr>
            <w:r>
              <w:rPr>
                <w:color w:val="000000"/>
                <w:sz w:val="24"/>
              </w:rPr>
              <w:t>浙江医药</w:t>
            </w:r>
          </w:p>
        </w:tc>
        <w:tc>
          <w:tcPr>
            <w:tcW w:w="1346" w:type="dxa"/>
            <w:vAlign w:val="center"/>
          </w:tcPr>
          <w:p w:rsidR="00345EA6" w:rsidRDefault="00756E0F">
            <w:pPr>
              <w:jc w:val="right"/>
            </w:pPr>
            <w:r>
              <w:rPr>
                <w:color w:val="000000"/>
                <w:sz w:val="24"/>
              </w:rPr>
              <w:t>587,500</w:t>
            </w:r>
          </w:p>
        </w:tc>
        <w:tc>
          <w:tcPr>
            <w:tcW w:w="1944" w:type="dxa"/>
            <w:vAlign w:val="center"/>
          </w:tcPr>
          <w:p w:rsidR="00345EA6" w:rsidRDefault="00756E0F">
            <w:pPr>
              <w:jc w:val="right"/>
            </w:pPr>
            <w:r>
              <w:rPr>
                <w:color w:val="000000"/>
                <w:sz w:val="24"/>
              </w:rPr>
              <w:t>11,315,250.00</w:t>
            </w:r>
          </w:p>
        </w:tc>
        <w:tc>
          <w:tcPr>
            <w:tcW w:w="1705" w:type="dxa"/>
            <w:vAlign w:val="center"/>
          </w:tcPr>
          <w:p w:rsidR="00345EA6" w:rsidRDefault="00756E0F">
            <w:pPr>
              <w:jc w:val="right"/>
            </w:pPr>
            <w:r>
              <w:rPr>
                <w:color w:val="000000"/>
                <w:sz w:val="24"/>
              </w:rPr>
              <w:t>1.27</w:t>
            </w:r>
          </w:p>
        </w:tc>
      </w:tr>
      <w:tr w:rsidR="00345EA6">
        <w:tc>
          <w:tcPr>
            <w:tcW w:w="862" w:type="dxa"/>
            <w:vAlign w:val="center"/>
          </w:tcPr>
          <w:p w:rsidR="00345EA6" w:rsidRDefault="00756E0F">
            <w:pPr>
              <w:jc w:val="center"/>
            </w:pPr>
            <w:r>
              <w:rPr>
                <w:color w:val="000000"/>
                <w:sz w:val="24"/>
              </w:rPr>
              <w:t>23</w:t>
            </w:r>
          </w:p>
        </w:tc>
        <w:tc>
          <w:tcPr>
            <w:tcW w:w="1346" w:type="dxa"/>
            <w:vAlign w:val="center"/>
          </w:tcPr>
          <w:p w:rsidR="00345EA6" w:rsidRDefault="00756E0F">
            <w:pPr>
              <w:jc w:val="center"/>
            </w:pPr>
            <w:r>
              <w:rPr>
                <w:color w:val="000000"/>
                <w:sz w:val="24"/>
              </w:rPr>
              <w:t>002841</w:t>
            </w:r>
          </w:p>
        </w:tc>
        <w:tc>
          <w:tcPr>
            <w:tcW w:w="1795" w:type="dxa"/>
            <w:vAlign w:val="center"/>
          </w:tcPr>
          <w:p w:rsidR="00345EA6" w:rsidRDefault="00756E0F">
            <w:pPr>
              <w:jc w:val="center"/>
            </w:pPr>
            <w:r>
              <w:rPr>
                <w:color w:val="000000"/>
                <w:sz w:val="24"/>
              </w:rPr>
              <w:t>视源股份</w:t>
            </w:r>
          </w:p>
        </w:tc>
        <w:tc>
          <w:tcPr>
            <w:tcW w:w="1346" w:type="dxa"/>
            <w:vAlign w:val="center"/>
          </w:tcPr>
          <w:p w:rsidR="00345EA6" w:rsidRDefault="00756E0F">
            <w:pPr>
              <w:jc w:val="right"/>
            </w:pPr>
            <w:r>
              <w:rPr>
                <w:color w:val="000000"/>
                <w:sz w:val="24"/>
              </w:rPr>
              <w:t>111,532</w:t>
            </w:r>
          </w:p>
        </w:tc>
        <w:tc>
          <w:tcPr>
            <w:tcW w:w="1944" w:type="dxa"/>
            <w:vAlign w:val="center"/>
          </w:tcPr>
          <w:p w:rsidR="00345EA6" w:rsidRDefault="00756E0F">
            <w:pPr>
              <w:jc w:val="right"/>
            </w:pPr>
            <w:r>
              <w:rPr>
                <w:color w:val="000000"/>
                <w:sz w:val="24"/>
              </w:rPr>
              <w:t>11,099,664.64</w:t>
            </w:r>
          </w:p>
        </w:tc>
        <w:tc>
          <w:tcPr>
            <w:tcW w:w="1705" w:type="dxa"/>
            <w:vAlign w:val="center"/>
          </w:tcPr>
          <w:p w:rsidR="00345EA6" w:rsidRDefault="00756E0F">
            <w:pPr>
              <w:jc w:val="right"/>
            </w:pPr>
            <w:r>
              <w:rPr>
                <w:color w:val="000000"/>
                <w:sz w:val="24"/>
              </w:rPr>
              <w:t>1.24</w:t>
            </w:r>
          </w:p>
        </w:tc>
      </w:tr>
      <w:tr w:rsidR="00345EA6">
        <w:tc>
          <w:tcPr>
            <w:tcW w:w="862" w:type="dxa"/>
            <w:vAlign w:val="center"/>
          </w:tcPr>
          <w:p w:rsidR="00345EA6" w:rsidRDefault="00756E0F">
            <w:pPr>
              <w:jc w:val="center"/>
            </w:pPr>
            <w:r>
              <w:rPr>
                <w:color w:val="000000"/>
                <w:sz w:val="24"/>
              </w:rPr>
              <w:t>24</w:t>
            </w:r>
          </w:p>
        </w:tc>
        <w:tc>
          <w:tcPr>
            <w:tcW w:w="1346" w:type="dxa"/>
            <w:vAlign w:val="center"/>
          </w:tcPr>
          <w:p w:rsidR="00345EA6" w:rsidRDefault="00756E0F">
            <w:pPr>
              <w:jc w:val="center"/>
            </w:pPr>
            <w:r>
              <w:rPr>
                <w:color w:val="000000"/>
                <w:sz w:val="24"/>
              </w:rPr>
              <w:t>603517</w:t>
            </w:r>
          </w:p>
        </w:tc>
        <w:tc>
          <w:tcPr>
            <w:tcW w:w="1795" w:type="dxa"/>
            <w:vAlign w:val="center"/>
          </w:tcPr>
          <w:p w:rsidR="00345EA6" w:rsidRDefault="00756E0F">
            <w:pPr>
              <w:jc w:val="center"/>
            </w:pPr>
            <w:r>
              <w:rPr>
                <w:color w:val="000000"/>
                <w:sz w:val="24"/>
              </w:rPr>
              <w:t>绝味食品</w:t>
            </w:r>
          </w:p>
        </w:tc>
        <w:tc>
          <w:tcPr>
            <w:tcW w:w="1346" w:type="dxa"/>
            <w:vAlign w:val="center"/>
          </w:tcPr>
          <w:p w:rsidR="00345EA6" w:rsidRDefault="00756E0F">
            <w:pPr>
              <w:jc w:val="right"/>
            </w:pPr>
            <w:r>
              <w:rPr>
                <w:color w:val="000000"/>
                <w:sz w:val="24"/>
              </w:rPr>
              <w:t>155,600</w:t>
            </w:r>
          </w:p>
        </w:tc>
        <w:tc>
          <w:tcPr>
            <w:tcW w:w="1944" w:type="dxa"/>
            <w:vAlign w:val="center"/>
          </w:tcPr>
          <w:p w:rsidR="00345EA6" w:rsidRDefault="00756E0F">
            <w:pPr>
              <w:jc w:val="right"/>
            </w:pPr>
            <w:r>
              <w:rPr>
                <w:color w:val="000000"/>
                <w:sz w:val="24"/>
              </w:rPr>
              <w:t>11,007,144.00</w:t>
            </w:r>
          </w:p>
        </w:tc>
        <w:tc>
          <w:tcPr>
            <w:tcW w:w="1705" w:type="dxa"/>
            <w:vAlign w:val="center"/>
          </w:tcPr>
          <w:p w:rsidR="00345EA6" w:rsidRDefault="00756E0F">
            <w:pPr>
              <w:jc w:val="right"/>
            </w:pPr>
            <w:r>
              <w:rPr>
                <w:color w:val="000000"/>
                <w:sz w:val="24"/>
              </w:rPr>
              <w:t>1.23</w:t>
            </w:r>
          </w:p>
        </w:tc>
      </w:tr>
      <w:tr w:rsidR="00345EA6">
        <w:tc>
          <w:tcPr>
            <w:tcW w:w="862" w:type="dxa"/>
            <w:vAlign w:val="center"/>
          </w:tcPr>
          <w:p w:rsidR="00345EA6" w:rsidRDefault="00756E0F">
            <w:pPr>
              <w:jc w:val="center"/>
            </w:pPr>
            <w:r>
              <w:rPr>
                <w:color w:val="000000"/>
                <w:sz w:val="24"/>
              </w:rPr>
              <w:t>25</w:t>
            </w:r>
          </w:p>
        </w:tc>
        <w:tc>
          <w:tcPr>
            <w:tcW w:w="1346" w:type="dxa"/>
            <w:vAlign w:val="center"/>
          </w:tcPr>
          <w:p w:rsidR="00345EA6" w:rsidRDefault="00756E0F">
            <w:pPr>
              <w:jc w:val="center"/>
            </w:pPr>
            <w:r>
              <w:rPr>
                <w:color w:val="000000"/>
                <w:sz w:val="24"/>
              </w:rPr>
              <w:t>000860</w:t>
            </w:r>
          </w:p>
        </w:tc>
        <w:tc>
          <w:tcPr>
            <w:tcW w:w="1795" w:type="dxa"/>
            <w:vAlign w:val="center"/>
          </w:tcPr>
          <w:p w:rsidR="00345EA6" w:rsidRDefault="00756E0F">
            <w:pPr>
              <w:jc w:val="center"/>
            </w:pPr>
            <w:r>
              <w:rPr>
                <w:color w:val="000000"/>
                <w:sz w:val="24"/>
              </w:rPr>
              <w:t>顺鑫农业</w:t>
            </w:r>
          </w:p>
        </w:tc>
        <w:tc>
          <w:tcPr>
            <w:tcW w:w="1346" w:type="dxa"/>
            <w:vAlign w:val="center"/>
          </w:tcPr>
          <w:p w:rsidR="00345EA6" w:rsidRDefault="00756E0F">
            <w:pPr>
              <w:jc w:val="right"/>
            </w:pPr>
            <w:r>
              <w:rPr>
                <w:color w:val="000000"/>
                <w:sz w:val="24"/>
              </w:rPr>
              <w:t>189,878</w:t>
            </w:r>
          </w:p>
        </w:tc>
        <w:tc>
          <w:tcPr>
            <w:tcW w:w="1944" w:type="dxa"/>
            <w:vAlign w:val="center"/>
          </w:tcPr>
          <w:p w:rsidR="00345EA6" w:rsidRDefault="00756E0F">
            <w:pPr>
              <w:jc w:val="right"/>
            </w:pPr>
            <w:r>
              <w:rPr>
                <w:color w:val="000000"/>
                <w:sz w:val="24"/>
              </w:rPr>
              <w:t>10,819,248.44</w:t>
            </w:r>
          </w:p>
        </w:tc>
        <w:tc>
          <w:tcPr>
            <w:tcW w:w="1705" w:type="dxa"/>
            <w:vAlign w:val="center"/>
          </w:tcPr>
          <w:p w:rsidR="00345EA6" w:rsidRDefault="00756E0F">
            <w:pPr>
              <w:jc w:val="right"/>
            </w:pPr>
            <w:r>
              <w:rPr>
                <w:color w:val="000000"/>
                <w:sz w:val="24"/>
              </w:rPr>
              <w:t>1.21</w:t>
            </w:r>
          </w:p>
        </w:tc>
      </w:tr>
      <w:tr w:rsidR="00345EA6">
        <w:tc>
          <w:tcPr>
            <w:tcW w:w="862" w:type="dxa"/>
            <w:vAlign w:val="center"/>
          </w:tcPr>
          <w:p w:rsidR="00345EA6" w:rsidRDefault="00756E0F">
            <w:pPr>
              <w:jc w:val="center"/>
            </w:pPr>
            <w:r>
              <w:rPr>
                <w:color w:val="000000"/>
                <w:sz w:val="24"/>
              </w:rPr>
              <w:t>26</w:t>
            </w:r>
          </w:p>
        </w:tc>
        <w:tc>
          <w:tcPr>
            <w:tcW w:w="1346" w:type="dxa"/>
            <w:vAlign w:val="center"/>
          </w:tcPr>
          <w:p w:rsidR="00345EA6" w:rsidRDefault="00756E0F">
            <w:pPr>
              <w:jc w:val="center"/>
            </w:pPr>
            <w:r>
              <w:rPr>
                <w:color w:val="000000"/>
                <w:sz w:val="24"/>
              </w:rPr>
              <w:t>688389</w:t>
            </w:r>
          </w:p>
        </w:tc>
        <w:tc>
          <w:tcPr>
            <w:tcW w:w="1795" w:type="dxa"/>
            <w:vAlign w:val="center"/>
          </w:tcPr>
          <w:p w:rsidR="00345EA6" w:rsidRDefault="00756E0F">
            <w:pPr>
              <w:jc w:val="center"/>
            </w:pPr>
            <w:r>
              <w:rPr>
                <w:color w:val="000000"/>
                <w:sz w:val="24"/>
              </w:rPr>
              <w:t>普门科技</w:t>
            </w:r>
          </w:p>
        </w:tc>
        <w:tc>
          <w:tcPr>
            <w:tcW w:w="1346" w:type="dxa"/>
            <w:vAlign w:val="center"/>
          </w:tcPr>
          <w:p w:rsidR="00345EA6" w:rsidRDefault="00756E0F">
            <w:pPr>
              <w:jc w:val="right"/>
            </w:pPr>
            <w:r>
              <w:rPr>
                <w:color w:val="000000"/>
                <w:sz w:val="24"/>
              </w:rPr>
              <w:t>316,992</w:t>
            </w:r>
          </w:p>
        </w:tc>
        <w:tc>
          <w:tcPr>
            <w:tcW w:w="1944" w:type="dxa"/>
            <w:vAlign w:val="center"/>
          </w:tcPr>
          <w:p w:rsidR="00345EA6" w:rsidRDefault="00756E0F">
            <w:pPr>
              <w:jc w:val="right"/>
            </w:pPr>
            <w:r>
              <w:rPr>
                <w:color w:val="000000"/>
                <w:sz w:val="24"/>
              </w:rPr>
              <w:t>10,397,337.60</w:t>
            </w:r>
          </w:p>
        </w:tc>
        <w:tc>
          <w:tcPr>
            <w:tcW w:w="1705" w:type="dxa"/>
            <w:vAlign w:val="center"/>
          </w:tcPr>
          <w:p w:rsidR="00345EA6" w:rsidRDefault="00756E0F">
            <w:pPr>
              <w:jc w:val="right"/>
            </w:pPr>
            <w:r>
              <w:rPr>
                <w:color w:val="000000"/>
                <w:sz w:val="24"/>
              </w:rPr>
              <w:t>1.16</w:t>
            </w:r>
          </w:p>
        </w:tc>
      </w:tr>
      <w:tr w:rsidR="00345EA6">
        <w:tc>
          <w:tcPr>
            <w:tcW w:w="862" w:type="dxa"/>
            <w:vAlign w:val="center"/>
          </w:tcPr>
          <w:p w:rsidR="00345EA6" w:rsidRDefault="00756E0F">
            <w:pPr>
              <w:jc w:val="center"/>
            </w:pPr>
            <w:r>
              <w:rPr>
                <w:color w:val="000000"/>
                <w:sz w:val="24"/>
              </w:rPr>
              <w:t>27</w:t>
            </w:r>
          </w:p>
        </w:tc>
        <w:tc>
          <w:tcPr>
            <w:tcW w:w="1346" w:type="dxa"/>
            <w:vAlign w:val="center"/>
          </w:tcPr>
          <w:p w:rsidR="00345EA6" w:rsidRDefault="00756E0F">
            <w:pPr>
              <w:jc w:val="center"/>
            </w:pPr>
            <w:r>
              <w:rPr>
                <w:color w:val="000000"/>
                <w:sz w:val="24"/>
              </w:rPr>
              <w:t>603195</w:t>
            </w:r>
          </w:p>
        </w:tc>
        <w:tc>
          <w:tcPr>
            <w:tcW w:w="1795" w:type="dxa"/>
            <w:vAlign w:val="center"/>
          </w:tcPr>
          <w:p w:rsidR="00345EA6" w:rsidRDefault="00756E0F">
            <w:pPr>
              <w:jc w:val="center"/>
            </w:pPr>
            <w:r>
              <w:rPr>
                <w:color w:val="000000"/>
                <w:sz w:val="24"/>
              </w:rPr>
              <w:t>公牛集团</w:t>
            </w:r>
          </w:p>
        </w:tc>
        <w:tc>
          <w:tcPr>
            <w:tcW w:w="1346" w:type="dxa"/>
            <w:vAlign w:val="center"/>
          </w:tcPr>
          <w:p w:rsidR="00345EA6" w:rsidRDefault="00756E0F">
            <w:pPr>
              <w:jc w:val="right"/>
            </w:pPr>
            <w:r>
              <w:rPr>
                <w:color w:val="000000"/>
                <w:sz w:val="24"/>
              </w:rPr>
              <w:t>63,400</w:t>
            </w:r>
          </w:p>
        </w:tc>
        <w:tc>
          <w:tcPr>
            <w:tcW w:w="1944" w:type="dxa"/>
            <w:vAlign w:val="center"/>
          </w:tcPr>
          <w:p w:rsidR="00345EA6" w:rsidRDefault="00756E0F">
            <w:pPr>
              <w:jc w:val="right"/>
            </w:pPr>
            <w:r>
              <w:rPr>
                <w:color w:val="000000"/>
                <w:sz w:val="24"/>
              </w:rPr>
              <w:t>10,185,210.00</w:t>
            </w:r>
          </w:p>
        </w:tc>
        <w:tc>
          <w:tcPr>
            <w:tcW w:w="1705" w:type="dxa"/>
            <w:vAlign w:val="center"/>
          </w:tcPr>
          <w:p w:rsidR="00345EA6" w:rsidRDefault="00756E0F">
            <w:pPr>
              <w:jc w:val="right"/>
            </w:pPr>
            <w:r>
              <w:rPr>
                <w:color w:val="000000"/>
                <w:sz w:val="24"/>
              </w:rPr>
              <w:t>1.14</w:t>
            </w:r>
          </w:p>
        </w:tc>
      </w:tr>
      <w:tr w:rsidR="00345EA6">
        <w:tc>
          <w:tcPr>
            <w:tcW w:w="862" w:type="dxa"/>
            <w:vAlign w:val="center"/>
          </w:tcPr>
          <w:p w:rsidR="00345EA6" w:rsidRDefault="00756E0F">
            <w:pPr>
              <w:jc w:val="center"/>
            </w:pPr>
            <w:r>
              <w:rPr>
                <w:color w:val="000000"/>
                <w:sz w:val="24"/>
              </w:rPr>
              <w:t>28</w:t>
            </w:r>
          </w:p>
        </w:tc>
        <w:tc>
          <w:tcPr>
            <w:tcW w:w="1346" w:type="dxa"/>
            <w:vAlign w:val="center"/>
          </w:tcPr>
          <w:p w:rsidR="00345EA6" w:rsidRDefault="00756E0F">
            <w:pPr>
              <w:jc w:val="center"/>
            </w:pPr>
            <w:r>
              <w:rPr>
                <w:color w:val="000000"/>
                <w:sz w:val="24"/>
              </w:rPr>
              <w:t>688025</w:t>
            </w:r>
          </w:p>
        </w:tc>
        <w:tc>
          <w:tcPr>
            <w:tcW w:w="1795" w:type="dxa"/>
            <w:vAlign w:val="center"/>
          </w:tcPr>
          <w:p w:rsidR="00345EA6" w:rsidRDefault="00756E0F">
            <w:pPr>
              <w:jc w:val="center"/>
            </w:pPr>
            <w:r>
              <w:rPr>
                <w:color w:val="000000"/>
                <w:sz w:val="24"/>
              </w:rPr>
              <w:t>杰普特</w:t>
            </w:r>
          </w:p>
        </w:tc>
        <w:tc>
          <w:tcPr>
            <w:tcW w:w="1346" w:type="dxa"/>
            <w:vAlign w:val="center"/>
          </w:tcPr>
          <w:p w:rsidR="00345EA6" w:rsidRDefault="00756E0F">
            <w:pPr>
              <w:jc w:val="right"/>
            </w:pPr>
            <w:r>
              <w:rPr>
                <w:color w:val="000000"/>
                <w:sz w:val="24"/>
              </w:rPr>
              <w:t>176,515</w:t>
            </w:r>
          </w:p>
        </w:tc>
        <w:tc>
          <w:tcPr>
            <w:tcW w:w="1944" w:type="dxa"/>
            <w:vAlign w:val="center"/>
          </w:tcPr>
          <w:p w:rsidR="00345EA6" w:rsidRDefault="00756E0F">
            <w:pPr>
              <w:jc w:val="right"/>
            </w:pPr>
            <w:r>
              <w:rPr>
                <w:color w:val="000000"/>
                <w:sz w:val="24"/>
              </w:rPr>
              <w:t>10,149,612.50</w:t>
            </w:r>
          </w:p>
        </w:tc>
        <w:tc>
          <w:tcPr>
            <w:tcW w:w="1705" w:type="dxa"/>
            <w:vAlign w:val="center"/>
          </w:tcPr>
          <w:p w:rsidR="00345EA6" w:rsidRDefault="00756E0F">
            <w:pPr>
              <w:jc w:val="right"/>
            </w:pPr>
            <w:r>
              <w:rPr>
                <w:color w:val="000000"/>
                <w:sz w:val="24"/>
              </w:rPr>
              <w:t>1.14</w:t>
            </w:r>
          </w:p>
        </w:tc>
      </w:tr>
      <w:tr w:rsidR="00345EA6">
        <w:tc>
          <w:tcPr>
            <w:tcW w:w="862" w:type="dxa"/>
            <w:vAlign w:val="center"/>
          </w:tcPr>
          <w:p w:rsidR="00345EA6" w:rsidRDefault="00756E0F">
            <w:pPr>
              <w:jc w:val="center"/>
            </w:pPr>
            <w:r>
              <w:rPr>
                <w:color w:val="000000"/>
                <w:sz w:val="24"/>
              </w:rPr>
              <w:t>29</w:t>
            </w:r>
          </w:p>
        </w:tc>
        <w:tc>
          <w:tcPr>
            <w:tcW w:w="1346" w:type="dxa"/>
            <w:vAlign w:val="center"/>
          </w:tcPr>
          <w:p w:rsidR="00345EA6" w:rsidRDefault="00756E0F">
            <w:pPr>
              <w:jc w:val="center"/>
            </w:pPr>
            <w:r>
              <w:rPr>
                <w:color w:val="000000"/>
                <w:sz w:val="24"/>
              </w:rPr>
              <w:t>300036</w:t>
            </w:r>
          </w:p>
        </w:tc>
        <w:tc>
          <w:tcPr>
            <w:tcW w:w="1795" w:type="dxa"/>
            <w:vAlign w:val="center"/>
          </w:tcPr>
          <w:p w:rsidR="00345EA6" w:rsidRDefault="00756E0F">
            <w:pPr>
              <w:jc w:val="center"/>
            </w:pPr>
            <w:r>
              <w:rPr>
                <w:color w:val="000000"/>
                <w:sz w:val="24"/>
              </w:rPr>
              <w:t>超图软件</w:t>
            </w:r>
          </w:p>
        </w:tc>
        <w:tc>
          <w:tcPr>
            <w:tcW w:w="1346" w:type="dxa"/>
            <w:vAlign w:val="center"/>
          </w:tcPr>
          <w:p w:rsidR="00345EA6" w:rsidRDefault="00756E0F">
            <w:pPr>
              <w:jc w:val="right"/>
            </w:pPr>
            <w:r>
              <w:rPr>
                <w:color w:val="000000"/>
                <w:sz w:val="24"/>
              </w:rPr>
              <w:t>399,600</w:t>
            </w:r>
          </w:p>
        </w:tc>
        <w:tc>
          <w:tcPr>
            <w:tcW w:w="1944" w:type="dxa"/>
            <w:vAlign w:val="center"/>
          </w:tcPr>
          <w:p w:rsidR="00345EA6" w:rsidRDefault="00756E0F">
            <w:pPr>
              <w:jc w:val="right"/>
            </w:pPr>
            <w:r>
              <w:rPr>
                <w:color w:val="000000"/>
                <w:sz w:val="24"/>
              </w:rPr>
              <w:t>10,061,928.00</w:t>
            </w:r>
          </w:p>
        </w:tc>
        <w:tc>
          <w:tcPr>
            <w:tcW w:w="1705" w:type="dxa"/>
            <w:vAlign w:val="center"/>
          </w:tcPr>
          <w:p w:rsidR="00345EA6" w:rsidRDefault="00756E0F">
            <w:pPr>
              <w:jc w:val="right"/>
            </w:pPr>
            <w:r>
              <w:rPr>
                <w:color w:val="000000"/>
                <w:sz w:val="24"/>
              </w:rPr>
              <w:t>1.13</w:t>
            </w:r>
          </w:p>
        </w:tc>
      </w:tr>
      <w:tr w:rsidR="00345EA6">
        <w:tc>
          <w:tcPr>
            <w:tcW w:w="862" w:type="dxa"/>
            <w:vAlign w:val="center"/>
          </w:tcPr>
          <w:p w:rsidR="00345EA6" w:rsidRDefault="00756E0F">
            <w:pPr>
              <w:jc w:val="center"/>
            </w:pPr>
            <w:r>
              <w:rPr>
                <w:color w:val="000000"/>
                <w:sz w:val="24"/>
              </w:rPr>
              <w:t>30</w:t>
            </w:r>
          </w:p>
        </w:tc>
        <w:tc>
          <w:tcPr>
            <w:tcW w:w="1346" w:type="dxa"/>
            <w:vAlign w:val="center"/>
          </w:tcPr>
          <w:p w:rsidR="00345EA6" w:rsidRDefault="00756E0F">
            <w:pPr>
              <w:jc w:val="center"/>
            </w:pPr>
            <w:r>
              <w:rPr>
                <w:color w:val="000000"/>
                <w:sz w:val="24"/>
              </w:rPr>
              <w:t>000661</w:t>
            </w:r>
          </w:p>
        </w:tc>
        <w:tc>
          <w:tcPr>
            <w:tcW w:w="1795" w:type="dxa"/>
            <w:vAlign w:val="center"/>
          </w:tcPr>
          <w:p w:rsidR="00345EA6" w:rsidRDefault="00756E0F">
            <w:pPr>
              <w:jc w:val="center"/>
            </w:pPr>
            <w:r>
              <w:rPr>
                <w:color w:val="000000"/>
                <w:sz w:val="24"/>
              </w:rPr>
              <w:t>长春高新</w:t>
            </w:r>
          </w:p>
        </w:tc>
        <w:tc>
          <w:tcPr>
            <w:tcW w:w="1346" w:type="dxa"/>
            <w:vAlign w:val="center"/>
          </w:tcPr>
          <w:p w:rsidR="00345EA6" w:rsidRDefault="00756E0F">
            <w:pPr>
              <w:jc w:val="right"/>
            </w:pPr>
            <w:r>
              <w:rPr>
                <w:color w:val="000000"/>
                <w:sz w:val="24"/>
              </w:rPr>
              <w:t>22,600</w:t>
            </w:r>
          </w:p>
        </w:tc>
        <w:tc>
          <w:tcPr>
            <w:tcW w:w="1944" w:type="dxa"/>
            <w:vAlign w:val="center"/>
          </w:tcPr>
          <w:p w:rsidR="00345EA6" w:rsidRDefault="00756E0F">
            <w:pPr>
              <w:jc w:val="right"/>
            </w:pPr>
            <w:r>
              <w:rPr>
                <w:color w:val="000000"/>
                <w:sz w:val="24"/>
              </w:rPr>
              <w:t>9,837,780.00</w:t>
            </w:r>
          </w:p>
        </w:tc>
        <w:tc>
          <w:tcPr>
            <w:tcW w:w="1705" w:type="dxa"/>
            <w:vAlign w:val="center"/>
          </w:tcPr>
          <w:p w:rsidR="00345EA6" w:rsidRDefault="00756E0F">
            <w:pPr>
              <w:jc w:val="right"/>
            </w:pPr>
            <w:r>
              <w:rPr>
                <w:color w:val="000000"/>
                <w:sz w:val="24"/>
              </w:rPr>
              <w:t>1.10</w:t>
            </w:r>
          </w:p>
        </w:tc>
      </w:tr>
      <w:tr w:rsidR="00345EA6">
        <w:tc>
          <w:tcPr>
            <w:tcW w:w="862" w:type="dxa"/>
            <w:vAlign w:val="center"/>
          </w:tcPr>
          <w:p w:rsidR="00345EA6" w:rsidRDefault="00756E0F">
            <w:pPr>
              <w:jc w:val="center"/>
            </w:pPr>
            <w:r>
              <w:rPr>
                <w:color w:val="000000"/>
                <w:sz w:val="24"/>
              </w:rPr>
              <w:t>31</w:t>
            </w:r>
          </w:p>
        </w:tc>
        <w:tc>
          <w:tcPr>
            <w:tcW w:w="1346" w:type="dxa"/>
            <w:vAlign w:val="center"/>
          </w:tcPr>
          <w:p w:rsidR="00345EA6" w:rsidRDefault="00756E0F">
            <w:pPr>
              <w:jc w:val="center"/>
            </w:pPr>
            <w:r>
              <w:rPr>
                <w:color w:val="000000"/>
                <w:sz w:val="24"/>
              </w:rPr>
              <w:t>688169</w:t>
            </w:r>
          </w:p>
        </w:tc>
        <w:tc>
          <w:tcPr>
            <w:tcW w:w="1795" w:type="dxa"/>
            <w:vAlign w:val="center"/>
          </w:tcPr>
          <w:p w:rsidR="00345EA6" w:rsidRDefault="00756E0F">
            <w:pPr>
              <w:jc w:val="center"/>
            </w:pPr>
            <w:r>
              <w:rPr>
                <w:color w:val="000000"/>
                <w:sz w:val="24"/>
              </w:rPr>
              <w:t>石头科技</w:t>
            </w:r>
          </w:p>
        </w:tc>
        <w:tc>
          <w:tcPr>
            <w:tcW w:w="1346" w:type="dxa"/>
            <w:vAlign w:val="center"/>
          </w:tcPr>
          <w:p w:rsidR="00345EA6" w:rsidRDefault="00756E0F">
            <w:pPr>
              <w:jc w:val="right"/>
            </w:pPr>
            <w:r>
              <w:rPr>
                <w:color w:val="000000"/>
                <w:sz w:val="24"/>
              </w:rPr>
              <w:t>24,637</w:t>
            </w:r>
          </w:p>
        </w:tc>
        <w:tc>
          <w:tcPr>
            <w:tcW w:w="1944" w:type="dxa"/>
            <w:vAlign w:val="center"/>
          </w:tcPr>
          <w:p w:rsidR="00345EA6" w:rsidRDefault="00756E0F">
            <w:pPr>
              <w:jc w:val="right"/>
            </w:pPr>
            <w:r>
              <w:rPr>
                <w:color w:val="000000"/>
                <w:sz w:val="24"/>
              </w:rPr>
              <w:t>9,285,685.30</w:t>
            </w:r>
          </w:p>
        </w:tc>
        <w:tc>
          <w:tcPr>
            <w:tcW w:w="1705" w:type="dxa"/>
            <w:vAlign w:val="center"/>
          </w:tcPr>
          <w:p w:rsidR="00345EA6" w:rsidRDefault="00756E0F">
            <w:pPr>
              <w:jc w:val="right"/>
            </w:pPr>
            <w:r>
              <w:rPr>
                <w:color w:val="000000"/>
                <w:sz w:val="24"/>
              </w:rPr>
              <w:t>1.04</w:t>
            </w:r>
          </w:p>
        </w:tc>
      </w:tr>
      <w:tr w:rsidR="00345EA6">
        <w:tc>
          <w:tcPr>
            <w:tcW w:w="862" w:type="dxa"/>
            <w:vAlign w:val="center"/>
          </w:tcPr>
          <w:p w:rsidR="00345EA6" w:rsidRDefault="00756E0F">
            <w:pPr>
              <w:jc w:val="center"/>
            </w:pPr>
            <w:r>
              <w:rPr>
                <w:color w:val="000000"/>
                <w:sz w:val="24"/>
              </w:rPr>
              <w:t>32</w:t>
            </w:r>
          </w:p>
        </w:tc>
        <w:tc>
          <w:tcPr>
            <w:tcW w:w="1346" w:type="dxa"/>
            <w:vAlign w:val="center"/>
          </w:tcPr>
          <w:p w:rsidR="00345EA6" w:rsidRDefault="00756E0F">
            <w:pPr>
              <w:jc w:val="center"/>
            </w:pPr>
            <w:r>
              <w:rPr>
                <w:color w:val="000000"/>
                <w:sz w:val="24"/>
              </w:rPr>
              <w:t>688016</w:t>
            </w:r>
          </w:p>
        </w:tc>
        <w:tc>
          <w:tcPr>
            <w:tcW w:w="1795" w:type="dxa"/>
            <w:vAlign w:val="center"/>
          </w:tcPr>
          <w:p w:rsidR="00345EA6" w:rsidRDefault="00756E0F">
            <w:pPr>
              <w:jc w:val="center"/>
            </w:pPr>
            <w:r>
              <w:rPr>
                <w:color w:val="000000"/>
                <w:sz w:val="24"/>
              </w:rPr>
              <w:t>心脉医疗</w:t>
            </w:r>
          </w:p>
        </w:tc>
        <w:tc>
          <w:tcPr>
            <w:tcW w:w="1346" w:type="dxa"/>
            <w:vAlign w:val="center"/>
          </w:tcPr>
          <w:p w:rsidR="00345EA6" w:rsidRDefault="00756E0F">
            <w:pPr>
              <w:jc w:val="right"/>
            </w:pPr>
            <w:r>
              <w:rPr>
                <w:color w:val="000000"/>
                <w:sz w:val="24"/>
              </w:rPr>
              <w:t>18,827</w:t>
            </w:r>
          </w:p>
        </w:tc>
        <w:tc>
          <w:tcPr>
            <w:tcW w:w="1944" w:type="dxa"/>
            <w:vAlign w:val="center"/>
          </w:tcPr>
          <w:p w:rsidR="00345EA6" w:rsidRDefault="00756E0F">
            <w:pPr>
              <w:jc w:val="right"/>
            </w:pPr>
            <w:r>
              <w:rPr>
                <w:color w:val="000000"/>
                <w:sz w:val="24"/>
              </w:rPr>
              <w:t>6,537,864.02</w:t>
            </w:r>
          </w:p>
        </w:tc>
        <w:tc>
          <w:tcPr>
            <w:tcW w:w="1705" w:type="dxa"/>
            <w:vAlign w:val="center"/>
          </w:tcPr>
          <w:p w:rsidR="00345EA6" w:rsidRDefault="00756E0F">
            <w:pPr>
              <w:jc w:val="right"/>
            </w:pPr>
            <w:r>
              <w:rPr>
                <w:color w:val="000000"/>
                <w:sz w:val="24"/>
              </w:rPr>
              <w:t>0.73</w:t>
            </w:r>
          </w:p>
        </w:tc>
      </w:tr>
      <w:tr w:rsidR="00345EA6">
        <w:tc>
          <w:tcPr>
            <w:tcW w:w="862" w:type="dxa"/>
            <w:vAlign w:val="center"/>
          </w:tcPr>
          <w:p w:rsidR="00345EA6" w:rsidRDefault="00756E0F">
            <w:pPr>
              <w:jc w:val="center"/>
            </w:pPr>
            <w:r>
              <w:rPr>
                <w:color w:val="000000"/>
                <w:sz w:val="24"/>
              </w:rPr>
              <w:t>33</w:t>
            </w:r>
          </w:p>
        </w:tc>
        <w:tc>
          <w:tcPr>
            <w:tcW w:w="1346" w:type="dxa"/>
            <w:vAlign w:val="center"/>
          </w:tcPr>
          <w:p w:rsidR="00345EA6" w:rsidRDefault="00756E0F">
            <w:pPr>
              <w:jc w:val="center"/>
            </w:pPr>
            <w:r>
              <w:rPr>
                <w:color w:val="000000"/>
                <w:sz w:val="24"/>
              </w:rPr>
              <w:t>603290</w:t>
            </w:r>
          </w:p>
        </w:tc>
        <w:tc>
          <w:tcPr>
            <w:tcW w:w="1795" w:type="dxa"/>
            <w:vAlign w:val="center"/>
          </w:tcPr>
          <w:p w:rsidR="00345EA6" w:rsidRDefault="00756E0F">
            <w:pPr>
              <w:jc w:val="center"/>
            </w:pPr>
            <w:r>
              <w:rPr>
                <w:color w:val="000000"/>
                <w:sz w:val="24"/>
              </w:rPr>
              <w:t>斯达半导</w:t>
            </w:r>
          </w:p>
        </w:tc>
        <w:tc>
          <w:tcPr>
            <w:tcW w:w="1346" w:type="dxa"/>
            <w:vAlign w:val="center"/>
          </w:tcPr>
          <w:p w:rsidR="00345EA6" w:rsidRDefault="00756E0F">
            <w:pPr>
              <w:jc w:val="right"/>
            </w:pPr>
            <w:r>
              <w:rPr>
                <w:color w:val="000000"/>
                <w:sz w:val="24"/>
              </w:rPr>
              <w:t>28,700</w:t>
            </w:r>
          </w:p>
        </w:tc>
        <w:tc>
          <w:tcPr>
            <w:tcW w:w="1944" w:type="dxa"/>
            <w:vAlign w:val="center"/>
          </w:tcPr>
          <w:p w:rsidR="00345EA6" w:rsidRDefault="00756E0F">
            <w:pPr>
              <w:jc w:val="right"/>
            </w:pPr>
            <w:r>
              <w:rPr>
                <w:color w:val="000000"/>
                <w:sz w:val="24"/>
              </w:rPr>
              <w:t>6,021,260.00</w:t>
            </w:r>
          </w:p>
        </w:tc>
        <w:tc>
          <w:tcPr>
            <w:tcW w:w="1705" w:type="dxa"/>
            <w:vAlign w:val="center"/>
          </w:tcPr>
          <w:p w:rsidR="00345EA6" w:rsidRDefault="00756E0F">
            <w:pPr>
              <w:jc w:val="right"/>
            </w:pPr>
            <w:r>
              <w:rPr>
                <w:color w:val="000000"/>
                <w:sz w:val="24"/>
              </w:rPr>
              <w:t>0.67</w:t>
            </w:r>
          </w:p>
        </w:tc>
      </w:tr>
      <w:tr w:rsidR="00345EA6">
        <w:tc>
          <w:tcPr>
            <w:tcW w:w="862" w:type="dxa"/>
            <w:vAlign w:val="center"/>
          </w:tcPr>
          <w:p w:rsidR="00345EA6" w:rsidRDefault="00756E0F">
            <w:pPr>
              <w:jc w:val="center"/>
            </w:pPr>
            <w:r>
              <w:rPr>
                <w:color w:val="000000"/>
                <w:sz w:val="24"/>
              </w:rPr>
              <w:t>34</w:t>
            </w:r>
          </w:p>
        </w:tc>
        <w:tc>
          <w:tcPr>
            <w:tcW w:w="1346" w:type="dxa"/>
            <w:vAlign w:val="center"/>
          </w:tcPr>
          <w:p w:rsidR="00345EA6" w:rsidRDefault="00756E0F">
            <w:pPr>
              <w:jc w:val="center"/>
            </w:pPr>
            <w:r>
              <w:rPr>
                <w:color w:val="000000"/>
                <w:sz w:val="24"/>
              </w:rPr>
              <w:t>300207</w:t>
            </w:r>
          </w:p>
        </w:tc>
        <w:tc>
          <w:tcPr>
            <w:tcW w:w="1795" w:type="dxa"/>
            <w:vAlign w:val="center"/>
          </w:tcPr>
          <w:p w:rsidR="00345EA6" w:rsidRDefault="00756E0F">
            <w:pPr>
              <w:jc w:val="center"/>
            </w:pPr>
            <w:r>
              <w:rPr>
                <w:color w:val="000000"/>
                <w:sz w:val="24"/>
              </w:rPr>
              <w:t>欣旺达</w:t>
            </w:r>
          </w:p>
        </w:tc>
        <w:tc>
          <w:tcPr>
            <w:tcW w:w="1346" w:type="dxa"/>
            <w:vAlign w:val="center"/>
          </w:tcPr>
          <w:p w:rsidR="00345EA6" w:rsidRDefault="00756E0F">
            <w:pPr>
              <w:jc w:val="right"/>
            </w:pPr>
            <w:r>
              <w:rPr>
                <w:color w:val="000000"/>
                <w:sz w:val="24"/>
              </w:rPr>
              <w:t>317,000</w:t>
            </w:r>
          </w:p>
        </w:tc>
        <w:tc>
          <w:tcPr>
            <w:tcW w:w="1944" w:type="dxa"/>
            <w:vAlign w:val="center"/>
          </w:tcPr>
          <w:p w:rsidR="00345EA6" w:rsidRDefault="00756E0F">
            <w:pPr>
              <w:jc w:val="right"/>
            </w:pPr>
            <w:r>
              <w:rPr>
                <w:color w:val="000000"/>
                <w:sz w:val="24"/>
              </w:rPr>
              <w:t>5,991,300.00</w:t>
            </w:r>
          </w:p>
        </w:tc>
        <w:tc>
          <w:tcPr>
            <w:tcW w:w="1705" w:type="dxa"/>
            <w:vAlign w:val="center"/>
          </w:tcPr>
          <w:p w:rsidR="00345EA6" w:rsidRDefault="00756E0F">
            <w:pPr>
              <w:jc w:val="right"/>
            </w:pPr>
            <w:r>
              <w:rPr>
                <w:color w:val="000000"/>
                <w:sz w:val="24"/>
              </w:rPr>
              <w:t>0.67</w:t>
            </w:r>
          </w:p>
        </w:tc>
      </w:tr>
      <w:tr w:rsidR="00345EA6">
        <w:tc>
          <w:tcPr>
            <w:tcW w:w="862" w:type="dxa"/>
            <w:vAlign w:val="center"/>
          </w:tcPr>
          <w:p w:rsidR="00345EA6" w:rsidRDefault="00756E0F">
            <w:pPr>
              <w:jc w:val="center"/>
            </w:pPr>
            <w:r>
              <w:rPr>
                <w:color w:val="000000"/>
                <w:sz w:val="24"/>
              </w:rPr>
              <w:t>35</w:t>
            </w:r>
          </w:p>
        </w:tc>
        <w:tc>
          <w:tcPr>
            <w:tcW w:w="1346" w:type="dxa"/>
            <w:vAlign w:val="center"/>
          </w:tcPr>
          <w:p w:rsidR="00345EA6" w:rsidRDefault="00756E0F">
            <w:pPr>
              <w:jc w:val="center"/>
            </w:pPr>
            <w:r>
              <w:rPr>
                <w:color w:val="000000"/>
                <w:sz w:val="24"/>
              </w:rPr>
              <w:t>300759</w:t>
            </w:r>
          </w:p>
        </w:tc>
        <w:tc>
          <w:tcPr>
            <w:tcW w:w="1795" w:type="dxa"/>
            <w:vAlign w:val="center"/>
          </w:tcPr>
          <w:p w:rsidR="00345EA6" w:rsidRDefault="00756E0F">
            <w:pPr>
              <w:jc w:val="center"/>
            </w:pPr>
            <w:r>
              <w:rPr>
                <w:color w:val="000000"/>
                <w:sz w:val="24"/>
              </w:rPr>
              <w:t>康龙化成</w:t>
            </w:r>
          </w:p>
        </w:tc>
        <w:tc>
          <w:tcPr>
            <w:tcW w:w="1346" w:type="dxa"/>
            <w:vAlign w:val="center"/>
          </w:tcPr>
          <w:p w:rsidR="00345EA6" w:rsidRDefault="00756E0F">
            <w:pPr>
              <w:jc w:val="right"/>
            </w:pPr>
            <w:r>
              <w:rPr>
                <w:color w:val="000000"/>
                <w:sz w:val="24"/>
              </w:rPr>
              <w:t>60,300</w:t>
            </w:r>
          </w:p>
        </w:tc>
        <w:tc>
          <w:tcPr>
            <w:tcW w:w="1944" w:type="dxa"/>
            <w:vAlign w:val="center"/>
          </w:tcPr>
          <w:p w:rsidR="00345EA6" w:rsidRDefault="00756E0F">
            <w:pPr>
              <w:jc w:val="right"/>
            </w:pPr>
            <w:r>
              <w:rPr>
                <w:color w:val="000000"/>
                <w:sz w:val="24"/>
              </w:rPr>
              <w:t>5,933,520.00</w:t>
            </w:r>
          </w:p>
        </w:tc>
        <w:tc>
          <w:tcPr>
            <w:tcW w:w="1705" w:type="dxa"/>
            <w:vAlign w:val="center"/>
          </w:tcPr>
          <w:p w:rsidR="00345EA6" w:rsidRDefault="00756E0F">
            <w:pPr>
              <w:jc w:val="right"/>
            </w:pPr>
            <w:r>
              <w:rPr>
                <w:color w:val="000000"/>
                <w:sz w:val="24"/>
              </w:rPr>
              <w:t>0.66</w:t>
            </w:r>
          </w:p>
        </w:tc>
      </w:tr>
      <w:tr w:rsidR="00345EA6">
        <w:tc>
          <w:tcPr>
            <w:tcW w:w="862" w:type="dxa"/>
            <w:vAlign w:val="center"/>
          </w:tcPr>
          <w:p w:rsidR="00345EA6" w:rsidRDefault="00756E0F">
            <w:pPr>
              <w:jc w:val="center"/>
            </w:pPr>
            <w:r>
              <w:rPr>
                <w:color w:val="000000"/>
                <w:sz w:val="24"/>
              </w:rPr>
              <w:t>36</w:t>
            </w:r>
          </w:p>
        </w:tc>
        <w:tc>
          <w:tcPr>
            <w:tcW w:w="1346" w:type="dxa"/>
            <w:vAlign w:val="center"/>
          </w:tcPr>
          <w:p w:rsidR="00345EA6" w:rsidRDefault="00756E0F">
            <w:pPr>
              <w:jc w:val="center"/>
            </w:pPr>
            <w:r>
              <w:rPr>
                <w:color w:val="000000"/>
                <w:sz w:val="24"/>
              </w:rPr>
              <w:t>002271</w:t>
            </w:r>
          </w:p>
        </w:tc>
        <w:tc>
          <w:tcPr>
            <w:tcW w:w="1795" w:type="dxa"/>
            <w:vAlign w:val="center"/>
          </w:tcPr>
          <w:p w:rsidR="00345EA6" w:rsidRDefault="00756E0F">
            <w:pPr>
              <w:jc w:val="center"/>
            </w:pPr>
            <w:r>
              <w:rPr>
                <w:color w:val="000000"/>
                <w:sz w:val="24"/>
              </w:rPr>
              <w:t>东方雨虹</w:t>
            </w:r>
          </w:p>
        </w:tc>
        <w:tc>
          <w:tcPr>
            <w:tcW w:w="1346" w:type="dxa"/>
            <w:vAlign w:val="center"/>
          </w:tcPr>
          <w:p w:rsidR="00345EA6" w:rsidRDefault="00756E0F">
            <w:pPr>
              <w:jc w:val="right"/>
            </w:pPr>
            <w:r>
              <w:rPr>
                <w:color w:val="000000"/>
                <w:sz w:val="24"/>
              </w:rPr>
              <w:t>137,500</w:t>
            </w:r>
          </w:p>
        </w:tc>
        <w:tc>
          <w:tcPr>
            <w:tcW w:w="1944" w:type="dxa"/>
            <w:vAlign w:val="center"/>
          </w:tcPr>
          <w:p w:rsidR="00345EA6" w:rsidRDefault="00756E0F">
            <w:pPr>
              <w:jc w:val="right"/>
            </w:pPr>
            <w:r>
              <w:rPr>
                <w:color w:val="000000"/>
                <w:sz w:val="24"/>
              </w:rPr>
              <w:t>5,586,625.00</w:t>
            </w:r>
          </w:p>
        </w:tc>
        <w:tc>
          <w:tcPr>
            <w:tcW w:w="1705" w:type="dxa"/>
            <w:vAlign w:val="center"/>
          </w:tcPr>
          <w:p w:rsidR="00345EA6" w:rsidRDefault="00756E0F">
            <w:pPr>
              <w:jc w:val="right"/>
            </w:pPr>
            <w:r>
              <w:rPr>
                <w:color w:val="000000"/>
                <w:sz w:val="24"/>
              </w:rPr>
              <w:t>0.63</w:t>
            </w:r>
          </w:p>
        </w:tc>
      </w:tr>
      <w:tr w:rsidR="00345EA6">
        <w:tc>
          <w:tcPr>
            <w:tcW w:w="862" w:type="dxa"/>
            <w:vAlign w:val="center"/>
          </w:tcPr>
          <w:p w:rsidR="00345EA6" w:rsidRDefault="00756E0F">
            <w:pPr>
              <w:jc w:val="center"/>
            </w:pPr>
            <w:r>
              <w:rPr>
                <w:color w:val="000000"/>
                <w:sz w:val="24"/>
              </w:rPr>
              <w:t>37</w:t>
            </w:r>
          </w:p>
        </w:tc>
        <w:tc>
          <w:tcPr>
            <w:tcW w:w="1346" w:type="dxa"/>
            <w:vAlign w:val="center"/>
          </w:tcPr>
          <w:p w:rsidR="00345EA6" w:rsidRDefault="00756E0F">
            <w:pPr>
              <w:jc w:val="center"/>
            </w:pPr>
            <w:r>
              <w:rPr>
                <w:color w:val="000000"/>
                <w:sz w:val="24"/>
              </w:rPr>
              <w:t>002230</w:t>
            </w:r>
          </w:p>
        </w:tc>
        <w:tc>
          <w:tcPr>
            <w:tcW w:w="1795" w:type="dxa"/>
            <w:vAlign w:val="center"/>
          </w:tcPr>
          <w:p w:rsidR="00345EA6" w:rsidRDefault="00756E0F">
            <w:pPr>
              <w:jc w:val="center"/>
            </w:pPr>
            <w:r>
              <w:rPr>
                <w:color w:val="000000"/>
                <w:sz w:val="24"/>
              </w:rPr>
              <w:t>科大讯飞</w:t>
            </w:r>
          </w:p>
        </w:tc>
        <w:tc>
          <w:tcPr>
            <w:tcW w:w="1346" w:type="dxa"/>
            <w:vAlign w:val="center"/>
          </w:tcPr>
          <w:p w:rsidR="00345EA6" w:rsidRDefault="00756E0F">
            <w:pPr>
              <w:jc w:val="right"/>
            </w:pPr>
            <w:r>
              <w:rPr>
                <w:color w:val="000000"/>
                <w:sz w:val="24"/>
              </w:rPr>
              <w:t>148,674</w:t>
            </w:r>
          </w:p>
        </w:tc>
        <w:tc>
          <w:tcPr>
            <w:tcW w:w="1944" w:type="dxa"/>
            <w:vAlign w:val="center"/>
          </w:tcPr>
          <w:p w:rsidR="00345EA6" w:rsidRDefault="00756E0F">
            <w:pPr>
              <w:jc w:val="right"/>
            </w:pPr>
            <w:r>
              <w:rPr>
                <w:color w:val="000000"/>
                <w:sz w:val="24"/>
              </w:rPr>
              <w:t>5,564,867.82</w:t>
            </w:r>
          </w:p>
        </w:tc>
        <w:tc>
          <w:tcPr>
            <w:tcW w:w="1705" w:type="dxa"/>
            <w:vAlign w:val="center"/>
          </w:tcPr>
          <w:p w:rsidR="00345EA6" w:rsidRDefault="00756E0F">
            <w:pPr>
              <w:jc w:val="right"/>
            </w:pPr>
            <w:r>
              <w:rPr>
                <w:color w:val="000000"/>
                <w:sz w:val="24"/>
              </w:rPr>
              <w:t>0.62</w:t>
            </w:r>
          </w:p>
        </w:tc>
      </w:tr>
      <w:tr w:rsidR="00345EA6">
        <w:tc>
          <w:tcPr>
            <w:tcW w:w="862" w:type="dxa"/>
            <w:vAlign w:val="center"/>
          </w:tcPr>
          <w:p w:rsidR="00345EA6" w:rsidRDefault="00756E0F">
            <w:pPr>
              <w:jc w:val="center"/>
            </w:pPr>
            <w:r>
              <w:rPr>
                <w:color w:val="000000"/>
                <w:sz w:val="24"/>
              </w:rPr>
              <w:t>38</w:t>
            </w:r>
          </w:p>
        </w:tc>
        <w:tc>
          <w:tcPr>
            <w:tcW w:w="1346" w:type="dxa"/>
            <w:vAlign w:val="center"/>
          </w:tcPr>
          <w:p w:rsidR="00345EA6" w:rsidRDefault="00756E0F">
            <w:pPr>
              <w:jc w:val="center"/>
            </w:pPr>
            <w:r>
              <w:rPr>
                <w:color w:val="000000"/>
                <w:sz w:val="24"/>
              </w:rPr>
              <w:t>300122</w:t>
            </w:r>
          </w:p>
        </w:tc>
        <w:tc>
          <w:tcPr>
            <w:tcW w:w="1795" w:type="dxa"/>
            <w:vAlign w:val="center"/>
          </w:tcPr>
          <w:p w:rsidR="00345EA6" w:rsidRDefault="00756E0F">
            <w:pPr>
              <w:jc w:val="center"/>
            </w:pPr>
            <w:r>
              <w:rPr>
                <w:color w:val="000000"/>
                <w:sz w:val="24"/>
              </w:rPr>
              <w:t>智飞生物</w:t>
            </w:r>
          </w:p>
        </w:tc>
        <w:tc>
          <w:tcPr>
            <w:tcW w:w="1346" w:type="dxa"/>
            <w:vAlign w:val="center"/>
          </w:tcPr>
          <w:p w:rsidR="00345EA6" w:rsidRDefault="00756E0F">
            <w:pPr>
              <w:jc w:val="right"/>
            </w:pPr>
            <w:r>
              <w:rPr>
                <w:color w:val="000000"/>
                <w:sz w:val="24"/>
              </w:rPr>
              <w:t>55,500</w:t>
            </w:r>
          </w:p>
        </w:tc>
        <w:tc>
          <w:tcPr>
            <w:tcW w:w="1944" w:type="dxa"/>
            <w:vAlign w:val="center"/>
          </w:tcPr>
          <w:p w:rsidR="00345EA6" w:rsidRDefault="00756E0F">
            <w:pPr>
              <w:jc w:val="right"/>
            </w:pPr>
            <w:r>
              <w:rPr>
                <w:color w:val="000000"/>
                <w:sz w:val="24"/>
              </w:rPr>
              <w:t>5,558,325.00</w:t>
            </w:r>
          </w:p>
        </w:tc>
        <w:tc>
          <w:tcPr>
            <w:tcW w:w="1705" w:type="dxa"/>
            <w:vAlign w:val="center"/>
          </w:tcPr>
          <w:p w:rsidR="00345EA6" w:rsidRDefault="00756E0F">
            <w:pPr>
              <w:jc w:val="right"/>
            </w:pPr>
            <w:r>
              <w:rPr>
                <w:color w:val="000000"/>
                <w:sz w:val="24"/>
              </w:rPr>
              <w:t>0.62</w:t>
            </w:r>
          </w:p>
        </w:tc>
      </w:tr>
      <w:tr w:rsidR="00345EA6">
        <w:tc>
          <w:tcPr>
            <w:tcW w:w="862" w:type="dxa"/>
            <w:vAlign w:val="center"/>
          </w:tcPr>
          <w:p w:rsidR="00345EA6" w:rsidRDefault="00756E0F">
            <w:pPr>
              <w:jc w:val="center"/>
            </w:pPr>
            <w:r>
              <w:rPr>
                <w:color w:val="000000"/>
                <w:sz w:val="24"/>
              </w:rPr>
              <w:t>39</w:t>
            </w:r>
          </w:p>
        </w:tc>
        <w:tc>
          <w:tcPr>
            <w:tcW w:w="1346" w:type="dxa"/>
            <w:vAlign w:val="center"/>
          </w:tcPr>
          <w:p w:rsidR="00345EA6" w:rsidRDefault="00756E0F">
            <w:pPr>
              <w:jc w:val="center"/>
            </w:pPr>
            <w:r>
              <w:rPr>
                <w:color w:val="000000"/>
                <w:sz w:val="24"/>
              </w:rPr>
              <w:t>002223</w:t>
            </w:r>
          </w:p>
        </w:tc>
        <w:tc>
          <w:tcPr>
            <w:tcW w:w="1795" w:type="dxa"/>
            <w:vAlign w:val="center"/>
          </w:tcPr>
          <w:p w:rsidR="00345EA6" w:rsidRDefault="00756E0F">
            <w:pPr>
              <w:jc w:val="center"/>
            </w:pPr>
            <w:r>
              <w:rPr>
                <w:color w:val="000000"/>
                <w:sz w:val="24"/>
              </w:rPr>
              <w:t>鱼跃医疗</w:t>
            </w:r>
          </w:p>
        </w:tc>
        <w:tc>
          <w:tcPr>
            <w:tcW w:w="1346" w:type="dxa"/>
            <w:vAlign w:val="center"/>
          </w:tcPr>
          <w:p w:rsidR="00345EA6" w:rsidRDefault="00756E0F">
            <w:pPr>
              <w:jc w:val="right"/>
            </w:pPr>
            <w:r>
              <w:rPr>
                <w:color w:val="000000"/>
                <w:sz w:val="24"/>
              </w:rPr>
              <w:t>149,100</w:t>
            </w:r>
          </w:p>
        </w:tc>
        <w:tc>
          <w:tcPr>
            <w:tcW w:w="1944" w:type="dxa"/>
            <w:vAlign w:val="center"/>
          </w:tcPr>
          <w:p w:rsidR="00345EA6" w:rsidRDefault="00756E0F">
            <w:pPr>
              <w:jc w:val="right"/>
            </w:pPr>
            <w:r>
              <w:rPr>
                <w:color w:val="000000"/>
                <w:sz w:val="24"/>
              </w:rPr>
              <w:t>5,427,240.00</w:t>
            </w:r>
          </w:p>
        </w:tc>
        <w:tc>
          <w:tcPr>
            <w:tcW w:w="1705" w:type="dxa"/>
            <w:vAlign w:val="center"/>
          </w:tcPr>
          <w:p w:rsidR="00345EA6" w:rsidRDefault="00756E0F">
            <w:pPr>
              <w:jc w:val="right"/>
            </w:pPr>
            <w:r>
              <w:rPr>
                <w:color w:val="000000"/>
                <w:sz w:val="24"/>
              </w:rPr>
              <w:t>0.61</w:t>
            </w:r>
          </w:p>
        </w:tc>
      </w:tr>
      <w:tr w:rsidR="00345EA6">
        <w:tc>
          <w:tcPr>
            <w:tcW w:w="862" w:type="dxa"/>
            <w:vAlign w:val="center"/>
          </w:tcPr>
          <w:p w:rsidR="00345EA6" w:rsidRDefault="00756E0F">
            <w:pPr>
              <w:jc w:val="center"/>
            </w:pPr>
            <w:r>
              <w:rPr>
                <w:color w:val="000000"/>
                <w:sz w:val="24"/>
              </w:rPr>
              <w:lastRenderedPageBreak/>
              <w:t>40</w:t>
            </w:r>
          </w:p>
        </w:tc>
        <w:tc>
          <w:tcPr>
            <w:tcW w:w="1346" w:type="dxa"/>
            <w:vAlign w:val="center"/>
          </w:tcPr>
          <w:p w:rsidR="00345EA6" w:rsidRDefault="00756E0F">
            <w:pPr>
              <w:jc w:val="center"/>
            </w:pPr>
            <w:r>
              <w:rPr>
                <w:color w:val="000000"/>
                <w:sz w:val="24"/>
              </w:rPr>
              <w:t>002579</w:t>
            </w:r>
          </w:p>
        </w:tc>
        <w:tc>
          <w:tcPr>
            <w:tcW w:w="1795" w:type="dxa"/>
            <w:vAlign w:val="center"/>
          </w:tcPr>
          <w:p w:rsidR="00345EA6" w:rsidRDefault="00756E0F">
            <w:pPr>
              <w:jc w:val="center"/>
            </w:pPr>
            <w:r>
              <w:rPr>
                <w:color w:val="000000"/>
                <w:sz w:val="24"/>
              </w:rPr>
              <w:t>中京电子</w:t>
            </w:r>
          </w:p>
        </w:tc>
        <w:tc>
          <w:tcPr>
            <w:tcW w:w="1346" w:type="dxa"/>
            <w:vAlign w:val="center"/>
          </w:tcPr>
          <w:p w:rsidR="00345EA6" w:rsidRDefault="00756E0F">
            <w:pPr>
              <w:jc w:val="right"/>
            </w:pPr>
            <w:r>
              <w:rPr>
                <w:color w:val="000000"/>
                <w:sz w:val="24"/>
              </w:rPr>
              <w:t>359,950</w:t>
            </w:r>
          </w:p>
        </w:tc>
        <w:tc>
          <w:tcPr>
            <w:tcW w:w="1944" w:type="dxa"/>
            <w:vAlign w:val="center"/>
          </w:tcPr>
          <w:p w:rsidR="00345EA6" w:rsidRDefault="00756E0F">
            <w:pPr>
              <w:jc w:val="right"/>
            </w:pPr>
            <w:r>
              <w:rPr>
                <w:color w:val="000000"/>
                <w:sz w:val="24"/>
              </w:rPr>
              <w:t>5,147,285.00</w:t>
            </w:r>
          </w:p>
        </w:tc>
        <w:tc>
          <w:tcPr>
            <w:tcW w:w="1705" w:type="dxa"/>
            <w:vAlign w:val="center"/>
          </w:tcPr>
          <w:p w:rsidR="00345EA6" w:rsidRDefault="00756E0F">
            <w:pPr>
              <w:jc w:val="right"/>
            </w:pPr>
            <w:r>
              <w:rPr>
                <w:color w:val="000000"/>
                <w:sz w:val="24"/>
              </w:rPr>
              <w:t>0.58</w:t>
            </w:r>
          </w:p>
        </w:tc>
      </w:tr>
      <w:tr w:rsidR="00345EA6">
        <w:tc>
          <w:tcPr>
            <w:tcW w:w="862" w:type="dxa"/>
            <w:vAlign w:val="center"/>
          </w:tcPr>
          <w:p w:rsidR="00345EA6" w:rsidRDefault="00756E0F">
            <w:pPr>
              <w:jc w:val="center"/>
            </w:pPr>
            <w:r>
              <w:rPr>
                <w:color w:val="000000"/>
                <w:sz w:val="24"/>
              </w:rPr>
              <w:t>41</w:t>
            </w:r>
          </w:p>
        </w:tc>
        <w:tc>
          <w:tcPr>
            <w:tcW w:w="1346" w:type="dxa"/>
            <w:vAlign w:val="center"/>
          </w:tcPr>
          <w:p w:rsidR="00345EA6" w:rsidRDefault="00756E0F">
            <w:pPr>
              <w:jc w:val="center"/>
            </w:pPr>
            <w:r>
              <w:rPr>
                <w:color w:val="000000"/>
                <w:sz w:val="24"/>
              </w:rPr>
              <w:t>688002</w:t>
            </w:r>
          </w:p>
        </w:tc>
        <w:tc>
          <w:tcPr>
            <w:tcW w:w="1795" w:type="dxa"/>
            <w:vAlign w:val="center"/>
          </w:tcPr>
          <w:p w:rsidR="00345EA6" w:rsidRDefault="00756E0F">
            <w:pPr>
              <w:jc w:val="center"/>
            </w:pPr>
            <w:r>
              <w:rPr>
                <w:color w:val="000000"/>
                <w:sz w:val="24"/>
              </w:rPr>
              <w:t>睿创微纳</w:t>
            </w:r>
          </w:p>
        </w:tc>
        <w:tc>
          <w:tcPr>
            <w:tcW w:w="1346" w:type="dxa"/>
            <w:vAlign w:val="center"/>
          </w:tcPr>
          <w:p w:rsidR="00345EA6" w:rsidRDefault="00756E0F">
            <w:pPr>
              <w:jc w:val="right"/>
            </w:pPr>
            <w:r>
              <w:rPr>
                <w:color w:val="000000"/>
                <w:sz w:val="24"/>
              </w:rPr>
              <w:t>100,492</w:t>
            </w:r>
          </w:p>
        </w:tc>
        <w:tc>
          <w:tcPr>
            <w:tcW w:w="1944" w:type="dxa"/>
            <w:vAlign w:val="center"/>
          </w:tcPr>
          <w:p w:rsidR="00345EA6" w:rsidRDefault="00756E0F">
            <w:pPr>
              <w:jc w:val="right"/>
            </w:pPr>
            <w:r>
              <w:rPr>
                <w:color w:val="000000"/>
                <w:sz w:val="24"/>
              </w:rPr>
              <w:t>5,123,082.16</w:t>
            </w:r>
          </w:p>
        </w:tc>
        <w:tc>
          <w:tcPr>
            <w:tcW w:w="1705" w:type="dxa"/>
            <w:vAlign w:val="center"/>
          </w:tcPr>
          <w:p w:rsidR="00345EA6" w:rsidRDefault="00756E0F">
            <w:pPr>
              <w:jc w:val="right"/>
            </w:pPr>
            <w:r>
              <w:rPr>
                <w:color w:val="000000"/>
                <w:sz w:val="24"/>
              </w:rPr>
              <w:t>0.57</w:t>
            </w:r>
          </w:p>
        </w:tc>
      </w:tr>
      <w:tr w:rsidR="00345EA6">
        <w:tc>
          <w:tcPr>
            <w:tcW w:w="862" w:type="dxa"/>
            <w:vAlign w:val="center"/>
          </w:tcPr>
          <w:p w:rsidR="00345EA6" w:rsidRDefault="00756E0F">
            <w:pPr>
              <w:jc w:val="center"/>
            </w:pPr>
            <w:r>
              <w:rPr>
                <w:color w:val="000000"/>
                <w:sz w:val="24"/>
              </w:rPr>
              <w:t>42</w:t>
            </w:r>
          </w:p>
        </w:tc>
        <w:tc>
          <w:tcPr>
            <w:tcW w:w="1346" w:type="dxa"/>
            <w:vAlign w:val="center"/>
          </w:tcPr>
          <w:p w:rsidR="00345EA6" w:rsidRDefault="00756E0F">
            <w:pPr>
              <w:jc w:val="center"/>
            </w:pPr>
            <w:r>
              <w:rPr>
                <w:color w:val="000000"/>
                <w:sz w:val="24"/>
              </w:rPr>
              <w:t>688116</w:t>
            </w:r>
          </w:p>
        </w:tc>
        <w:tc>
          <w:tcPr>
            <w:tcW w:w="1795" w:type="dxa"/>
            <w:vAlign w:val="center"/>
          </w:tcPr>
          <w:p w:rsidR="00345EA6" w:rsidRDefault="00756E0F">
            <w:pPr>
              <w:jc w:val="center"/>
            </w:pPr>
            <w:r>
              <w:rPr>
                <w:color w:val="000000"/>
                <w:sz w:val="24"/>
              </w:rPr>
              <w:t>天奈科技</w:t>
            </w:r>
          </w:p>
        </w:tc>
        <w:tc>
          <w:tcPr>
            <w:tcW w:w="1346" w:type="dxa"/>
            <w:vAlign w:val="center"/>
          </w:tcPr>
          <w:p w:rsidR="00345EA6" w:rsidRDefault="00756E0F">
            <w:pPr>
              <w:jc w:val="right"/>
            </w:pPr>
            <w:r>
              <w:rPr>
                <w:color w:val="000000"/>
                <w:sz w:val="24"/>
              </w:rPr>
              <w:t>103,216</w:t>
            </w:r>
          </w:p>
        </w:tc>
        <w:tc>
          <w:tcPr>
            <w:tcW w:w="1944" w:type="dxa"/>
            <w:vAlign w:val="center"/>
          </w:tcPr>
          <w:p w:rsidR="00345EA6" w:rsidRDefault="00756E0F">
            <w:pPr>
              <w:jc w:val="right"/>
            </w:pPr>
            <w:r>
              <w:rPr>
                <w:color w:val="000000"/>
                <w:sz w:val="24"/>
              </w:rPr>
              <w:t>4,825,348.00</w:t>
            </w:r>
          </w:p>
        </w:tc>
        <w:tc>
          <w:tcPr>
            <w:tcW w:w="1705" w:type="dxa"/>
            <w:vAlign w:val="center"/>
          </w:tcPr>
          <w:p w:rsidR="00345EA6" w:rsidRDefault="00756E0F">
            <w:pPr>
              <w:jc w:val="right"/>
            </w:pPr>
            <w:r>
              <w:rPr>
                <w:color w:val="000000"/>
                <w:sz w:val="24"/>
              </w:rPr>
              <w:t>0.54</w:t>
            </w:r>
          </w:p>
        </w:tc>
      </w:tr>
      <w:tr w:rsidR="00345EA6">
        <w:tc>
          <w:tcPr>
            <w:tcW w:w="862" w:type="dxa"/>
            <w:vAlign w:val="center"/>
          </w:tcPr>
          <w:p w:rsidR="00345EA6" w:rsidRDefault="00756E0F">
            <w:pPr>
              <w:jc w:val="center"/>
            </w:pPr>
            <w:r>
              <w:rPr>
                <w:color w:val="000000"/>
                <w:sz w:val="24"/>
              </w:rPr>
              <w:t>43</w:t>
            </w:r>
          </w:p>
        </w:tc>
        <w:tc>
          <w:tcPr>
            <w:tcW w:w="1346" w:type="dxa"/>
            <w:vAlign w:val="center"/>
          </w:tcPr>
          <w:p w:rsidR="00345EA6" w:rsidRDefault="00756E0F">
            <w:pPr>
              <w:jc w:val="center"/>
            </w:pPr>
            <w:r>
              <w:rPr>
                <w:color w:val="000000"/>
                <w:sz w:val="24"/>
              </w:rPr>
              <w:t>000977</w:t>
            </w:r>
          </w:p>
        </w:tc>
        <w:tc>
          <w:tcPr>
            <w:tcW w:w="1795" w:type="dxa"/>
            <w:vAlign w:val="center"/>
          </w:tcPr>
          <w:p w:rsidR="00345EA6" w:rsidRDefault="00756E0F">
            <w:pPr>
              <w:jc w:val="center"/>
            </w:pPr>
            <w:r>
              <w:rPr>
                <w:color w:val="000000"/>
                <w:sz w:val="24"/>
              </w:rPr>
              <w:t>浪潮信息</w:t>
            </w:r>
          </w:p>
        </w:tc>
        <w:tc>
          <w:tcPr>
            <w:tcW w:w="1346" w:type="dxa"/>
            <w:vAlign w:val="center"/>
          </w:tcPr>
          <w:p w:rsidR="00345EA6" w:rsidRDefault="00756E0F">
            <w:pPr>
              <w:jc w:val="right"/>
            </w:pPr>
            <w:r>
              <w:rPr>
                <w:color w:val="000000"/>
                <w:sz w:val="24"/>
              </w:rPr>
              <w:t>122,400</w:t>
            </w:r>
          </w:p>
        </w:tc>
        <w:tc>
          <w:tcPr>
            <w:tcW w:w="1944" w:type="dxa"/>
            <w:vAlign w:val="center"/>
          </w:tcPr>
          <w:p w:rsidR="00345EA6" w:rsidRDefault="00756E0F">
            <w:pPr>
              <w:jc w:val="right"/>
            </w:pPr>
            <w:r>
              <w:rPr>
                <w:color w:val="000000"/>
                <w:sz w:val="24"/>
              </w:rPr>
              <w:t>4,795,632.00</w:t>
            </w:r>
          </w:p>
        </w:tc>
        <w:tc>
          <w:tcPr>
            <w:tcW w:w="1705" w:type="dxa"/>
            <w:vAlign w:val="center"/>
          </w:tcPr>
          <w:p w:rsidR="00345EA6" w:rsidRDefault="00756E0F">
            <w:pPr>
              <w:jc w:val="right"/>
            </w:pPr>
            <w:r>
              <w:rPr>
                <w:color w:val="000000"/>
                <w:sz w:val="24"/>
              </w:rPr>
              <w:t>0.54</w:t>
            </w:r>
          </w:p>
        </w:tc>
      </w:tr>
      <w:tr w:rsidR="00345EA6">
        <w:tc>
          <w:tcPr>
            <w:tcW w:w="862" w:type="dxa"/>
            <w:vAlign w:val="center"/>
          </w:tcPr>
          <w:p w:rsidR="00345EA6" w:rsidRDefault="00756E0F">
            <w:pPr>
              <w:jc w:val="center"/>
            </w:pPr>
            <w:r>
              <w:rPr>
                <w:color w:val="000000"/>
                <w:sz w:val="24"/>
              </w:rPr>
              <w:t>44</w:t>
            </w:r>
          </w:p>
        </w:tc>
        <w:tc>
          <w:tcPr>
            <w:tcW w:w="1346" w:type="dxa"/>
            <w:vAlign w:val="center"/>
          </w:tcPr>
          <w:p w:rsidR="00345EA6" w:rsidRDefault="00756E0F">
            <w:pPr>
              <w:jc w:val="center"/>
            </w:pPr>
            <w:r>
              <w:rPr>
                <w:color w:val="000000"/>
                <w:sz w:val="24"/>
              </w:rPr>
              <w:t>002930</w:t>
            </w:r>
          </w:p>
        </w:tc>
        <w:tc>
          <w:tcPr>
            <w:tcW w:w="1795" w:type="dxa"/>
            <w:vAlign w:val="center"/>
          </w:tcPr>
          <w:p w:rsidR="00345EA6" w:rsidRDefault="00756E0F">
            <w:pPr>
              <w:jc w:val="center"/>
            </w:pPr>
            <w:r>
              <w:rPr>
                <w:color w:val="000000"/>
                <w:sz w:val="24"/>
              </w:rPr>
              <w:t>宏川智慧</w:t>
            </w:r>
          </w:p>
        </w:tc>
        <w:tc>
          <w:tcPr>
            <w:tcW w:w="1346" w:type="dxa"/>
            <w:vAlign w:val="center"/>
          </w:tcPr>
          <w:p w:rsidR="00345EA6" w:rsidRDefault="00756E0F">
            <w:pPr>
              <w:jc w:val="right"/>
            </w:pPr>
            <w:r>
              <w:rPr>
                <w:color w:val="000000"/>
                <w:sz w:val="24"/>
              </w:rPr>
              <w:t>328,100</w:t>
            </w:r>
          </w:p>
        </w:tc>
        <w:tc>
          <w:tcPr>
            <w:tcW w:w="1944" w:type="dxa"/>
            <w:vAlign w:val="center"/>
          </w:tcPr>
          <w:p w:rsidR="00345EA6" w:rsidRDefault="00756E0F">
            <w:pPr>
              <w:jc w:val="right"/>
            </w:pPr>
            <w:r>
              <w:rPr>
                <w:color w:val="000000"/>
                <w:sz w:val="24"/>
              </w:rPr>
              <w:t>4,616,367.00</w:t>
            </w:r>
          </w:p>
        </w:tc>
        <w:tc>
          <w:tcPr>
            <w:tcW w:w="1705" w:type="dxa"/>
            <w:vAlign w:val="center"/>
          </w:tcPr>
          <w:p w:rsidR="00345EA6" w:rsidRDefault="00756E0F">
            <w:pPr>
              <w:jc w:val="right"/>
            </w:pPr>
            <w:r>
              <w:rPr>
                <w:color w:val="000000"/>
                <w:sz w:val="24"/>
              </w:rPr>
              <w:t>0.52</w:t>
            </w:r>
          </w:p>
        </w:tc>
      </w:tr>
      <w:tr w:rsidR="00345EA6">
        <w:tc>
          <w:tcPr>
            <w:tcW w:w="862" w:type="dxa"/>
            <w:vAlign w:val="center"/>
          </w:tcPr>
          <w:p w:rsidR="00345EA6" w:rsidRDefault="00756E0F">
            <w:pPr>
              <w:jc w:val="center"/>
            </w:pPr>
            <w:r>
              <w:rPr>
                <w:color w:val="000000"/>
                <w:sz w:val="24"/>
              </w:rPr>
              <w:t>45</w:t>
            </w:r>
          </w:p>
        </w:tc>
        <w:tc>
          <w:tcPr>
            <w:tcW w:w="1346" w:type="dxa"/>
            <w:vAlign w:val="center"/>
          </w:tcPr>
          <w:p w:rsidR="00345EA6" w:rsidRDefault="00756E0F">
            <w:pPr>
              <w:jc w:val="center"/>
            </w:pPr>
            <w:r>
              <w:rPr>
                <w:color w:val="000000"/>
                <w:sz w:val="24"/>
              </w:rPr>
              <w:t>300823</w:t>
            </w:r>
          </w:p>
        </w:tc>
        <w:tc>
          <w:tcPr>
            <w:tcW w:w="1795" w:type="dxa"/>
            <w:vAlign w:val="center"/>
          </w:tcPr>
          <w:p w:rsidR="00345EA6" w:rsidRDefault="00756E0F">
            <w:pPr>
              <w:jc w:val="center"/>
            </w:pPr>
            <w:r>
              <w:rPr>
                <w:color w:val="000000"/>
                <w:sz w:val="24"/>
              </w:rPr>
              <w:t>建科机械</w:t>
            </w:r>
          </w:p>
        </w:tc>
        <w:tc>
          <w:tcPr>
            <w:tcW w:w="1346" w:type="dxa"/>
            <w:vAlign w:val="center"/>
          </w:tcPr>
          <w:p w:rsidR="00345EA6" w:rsidRDefault="00756E0F">
            <w:pPr>
              <w:jc w:val="right"/>
            </w:pPr>
            <w:r>
              <w:rPr>
                <w:color w:val="000000"/>
                <w:sz w:val="24"/>
              </w:rPr>
              <w:t>152,400</w:t>
            </w:r>
          </w:p>
        </w:tc>
        <w:tc>
          <w:tcPr>
            <w:tcW w:w="1944" w:type="dxa"/>
            <w:vAlign w:val="center"/>
          </w:tcPr>
          <w:p w:rsidR="00345EA6" w:rsidRDefault="00756E0F">
            <w:pPr>
              <w:jc w:val="right"/>
            </w:pPr>
            <w:r>
              <w:rPr>
                <w:color w:val="000000"/>
                <w:sz w:val="24"/>
              </w:rPr>
              <w:t>4,405,884.00</w:t>
            </w:r>
          </w:p>
        </w:tc>
        <w:tc>
          <w:tcPr>
            <w:tcW w:w="1705" w:type="dxa"/>
            <w:vAlign w:val="center"/>
          </w:tcPr>
          <w:p w:rsidR="00345EA6" w:rsidRDefault="00756E0F">
            <w:pPr>
              <w:jc w:val="right"/>
            </w:pPr>
            <w:r>
              <w:rPr>
                <w:color w:val="000000"/>
                <w:sz w:val="24"/>
              </w:rPr>
              <w:t>0.49</w:t>
            </w:r>
          </w:p>
        </w:tc>
      </w:tr>
      <w:tr w:rsidR="00345EA6">
        <w:tc>
          <w:tcPr>
            <w:tcW w:w="862" w:type="dxa"/>
            <w:vAlign w:val="center"/>
          </w:tcPr>
          <w:p w:rsidR="00345EA6" w:rsidRDefault="00756E0F">
            <w:pPr>
              <w:jc w:val="center"/>
            </w:pPr>
            <w:r>
              <w:rPr>
                <w:color w:val="000000"/>
                <w:sz w:val="24"/>
              </w:rPr>
              <w:t>46</w:t>
            </w:r>
          </w:p>
        </w:tc>
        <w:tc>
          <w:tcPr>
            <w:tcW w:w="1346" w:type="dxa"/>
            <w:vAlign w:val="center"/>
          </w:tcPr>
          <w:p w:rsidR="00345EA6" w:rsidRDefault="00756E0F">
            <w:pPr>
              <w:jc w:val="center"/>
            </w:pPr>
            <w:r>
              <w:rPr>
                <w:color w:val="000000"/>
                <w:sz w:val="24"/>
              </w:rPr>
              <w:t>688039</w:t>
            </w:r>
          </w:p>
        </w:tc>
        <w:tc>
          <w:tcPr>
            <w:tcW w:w="1795" w:type="dxa"/>
            <w:vAlign w:val="center"/>
          </w:tcPr>
          <w:p w:rsidR="00345EA6" w:rsidRDefault="00756E0F">
            <w:pPr>
              <w:jc w:val="center"/>
            </w:pPr>
            <w:r>
              <w:rPr>
                <w:color w:val="000000"/>
                <w:sz w:val="24"/>
              </w:rPr>
              <w:t>当虹科技</w:t>
            </w:r>
          </w:p>
        </w:tc>
        <w:tc>
          <w:tcPr>
            <w:tcW w:w="1346" w:type="dxa"/>
            <w:vAlign w:val="center"/>
          </w:tcPr>
          <w:p w:rsidR="00345EA6" w:rsidRDefault="00756E0F">
            <w:pPr>
              <w:jc w:val="right"/>
            </w:pPr>
            <w:r>
              <w:rPr>
                <w:color w:val="000000"/>
                <w:sz w:val="24"/>
              </w:rPr>
              <w:t>41,446</w:t>
            </w:r>
          </w:p>
        </w:tc>
        <w:tc>
          <w:tcPr>
            <w:tcW w:w="1944" w:type="dxa"/>
            <w:vAlign w:val="center"/>
          </w:tcPr>
          <w:p w:rsidR="00345EA6" w:rsidRDefault="00756E0F">
            <w:pPr>
              <w:jc w:val="right"/>
            </w:pPr>
            <w:r>
              <w:rPr>
                <w:color w:val="000000"/>
                <w:sz w:val="24"/>
              </w:rPr>
              <w:t>3,870,641.94</w:t>
            </w:r>
          </w:p>
        </w:tc>
        <w:tc>
          <w:tcPr>
            <w:tcW w:w="1705" w:type="dxa"/>
            <w:vAlign w:val="center"/>
          </w:tcPr>
          <w:p w:rsidR="00345EA6" w:rsidRDefault="00756E0F">
            <w:pPr>
              <w:jc w:val="right"/>
            </w:pPr>
            <w:r>
              <w:rPr>
                <w:color w:val="000000"/>
                <w:sz w:val="24"/>
              </w:rPr>
              <w:t>0.43</w:t>
            </w:r>
          </w:p>
        </w:tc>
      </w:tr>
      <w:tr w:rsidR="00345EA6">
        <w:tc>
          <w:tcPr>
            <w:tcW w:w="862" w:type="dxa"/>
            <w:vAlign w:val="center"/>
          </w:tcPr>
          <w:p w:rsidR="00345EA6" w:rsidRDefault="00756E0F">
            <w:pPr>
              <w:jc w:val="center"/>
            </w:pPr>
            <w:r>
              <w:rPr>
                <w:color w:val="000000"/>
                <w:sz w:val="24"/>
              </w:rPr>
              <w:t>47</w:t>
            </w:r>
          </w:p>
        </w:tc>
        <w:tc>
          <w:tcPr>
            <w:tcW w:w="1346" w:type="dxa"/>
            <w:vAlign w:val="center"/>
          </w:tcPr>
          <w:p w:rsidR="00345EA6" w:rsidRDefault="00756E0F">
            <w:pPr>
              <w:jc w:val="center"/>
            </w:pPr>
            <w:r>
              <w:rPr>
                <w:color w:val="000000"/>
                <w:sz w:val="24"/>
              </w:rPr>
              <w:t>603083</w:t>
            </w:r>
          </w:p>
        </w:tc>
        <w:tc>
          <w:tcPr>
            <w:tcW w:w="1795" w:type="dxa"/>
            <w:vAlign w:val="center"/>
          </w:tcPr>
          <w:p w:rsidR="00345EA6" w:rsidRDefault="00756E0F">
            <w:pPr>
              <w:jc w:val="center"/>
            </w:pPr>
            <w:r>
              <w:rPr>
                <w:color w:val="000000"/>
                <w:sz w:val="24"/>
              </w:rPr>
              <w:t>剑桥科技</w:t>
            </w:r>
          </w:p>
        </w:tc>
        <w:tc>
          <w:tcPr>
            <w:tcW w:w="1346" w:type="dxa"/>
            <w:vAlign w:val="center"/>
          </w:tcPr>
          <w:p w:rsidR="00345EA6" w:rsidRDefault="00756E0F">
            <w:pPr>
              <w:jc w:val="right"/>
            </w:pPr>
            <w:r>
              <w:rPr>
                <w:color w:val="000000"/>
                <w:sz w:val="24"/>
              </w:rPr>
              <w:t>89,200</w:t>
            </w:r>
          </w:p>
        </w:tc>
        <w:tc>
          <w:tcPr>
            <w:tcW w:w="1944" w:type="dxa"/>
            <w:vAlign w:val="center"/>
          </w:tcPr>
          <w:p w:rsidR="00345EA6" w:rsidRDefault="00756E0F">
            <w:pPr>
              <w:jc w:val="right"/>
            </w:pPr>
            <w:r>
              <w:rPr>
                <w:color w:val="000000"/>
                <w:sz w:val="24"/>
              </w:rPr>
              <w:t>3,499,316.00</w:t>
            </w:r>
          </w:p>
        </w:tc>
        <w:tc>
          <w:tcPr>
            <w:tcW w:w="1705" w:type="dxa"/>
            <w:vAlign w:val="center"/>
          </w:tcPr>
          <w:p w:rsidR="00345EA6" w:rsidRDefault="00756E0F">
            <w:pPr>
              <w:jc w:val="right"/>
            </w:pPr>
            <w:r>
              <w:rPr>
                <w:color w:val="000000"/>
                <w:sz w:val="24"/>
              </w:rPr>
              <w:t>0.39</w:t>
            </w:r>
          </w:p>
        </w:tc>
      </w:tr>
      <w:tr w:rsidR="00345EA6">
        <w:tc>
          <w:tcPr>
            <w:tcW w:w="862" w:type="dxa"/>
            <w:vAlign w:val="center"/>
          </w:tcPr>
          <w:p w:rsidR="00345EA6" w:rsidRDefault="00756E0F">
            <w:pPr>
              <w:jc w:val="center"/>
            </w:pPr>
            <w:r>
              <w:rPr>
                <w:color w:val="000000"/>
                <w:sz w:val="24"/>
              </w:rPr>
              <w:t>48</w:t>
            </w:r>
          </w:p>
        </w:tc>
        <w:tc>
          <w:tcPr>
            <w:tcW w:w="1346" w:type="dxa"/>
            <w:vAlign w:val="center"/>
          </w:tcPr>
          <w:p w:rsidR="00345EA6" w:rsidRDefault="00756E0F">
            <w:pPr>
              <w:jc w:val="center"/>
            </w:pPr>
            <w:r>
              <w:rPr>
                <w:color w:val="000000"/>
                <w:sz w:val="24"/>
              </w:rPr>
              <w:t>688008</w:t>
            </w:r>
          </w:p>
        </w:tc>
        <w:tc>
          <w:tcPr>
            <w:tcW w:w="1795" w:type="dxa"/>
            <w:vAlign w:val="center"/>
          </w:tcPr>
          <w:p w:rsidR="00345EA6" w:rsidRDefault="00756E0F">
            <w:pPr>
              <w:jc w:val="center"/>
            </w:pPr>
            <w:r>
              <w:rPr>
                <w:color w:val="000000"/>
                <w:sz w:val="24"/>
              </w:rPr>
              <w:t>澜起科技</w:t>
            </w:r>
          </w:p>
        </w:tc>
        <w:tc>
          <w:tcPr>
            <w:tcW w:w="1346" w:type="dxa"/>
            <w:vAlign w:val="center"/>
          </w:tcPr>
          <w:p w:rsidR="00345EA6" w:rsidRDefault="00756E0F">
            <w:pPr>
              <w:jc w:val="right"/>
            </w:pPr>
            <w:r>
              <w:rPr>
                <w:color w:val="000000"/>
                <w:sz w:val="24"/>
              </w:rPr>
              <w:t>25,934</w:t>
            </w:r>
          </w:p>
        </w:tc>
        <w:tc>
          <w:tcPr>
            <w:tcW w:w="1944" w:type="dxa"/>
            <w:vAlign w:val="center"/>
          </w:tcPr>
          <w:p w:rsidR="00345EA6" w:rsidRDefault="00756E0F">
            <w:pPr>
              <w:jc w:val="right"/>
            </w:pPr>
            <w:r>
              <w:rPr>
                <w:color w:val="000000"/>
                <w:sz w:val="24"/>
              </w:rPr>
              <w:t>2,636,969.12</w:t>
            </w:r>
          </w:p>
        </w:tc>
        <w:tc>
          <w:tcPr>
            <w:tcW w:w="1705" w:type="dxa"/>
            <w:vAlign w:val="center"/>
          </w:tcPr>
          <w:p w:rsidR="00345EA6" w:rsidRDefault="00756E0F">
            <w:pPr>
              <w:jc w:val="right"/>
            </w:pPr>
            <w:r>
              <w:rPr>
                <w:color w:val="000000"/>
                <w:sz w:val="24"/>
              </w:rPr>
              <w:t>0.30</w:t>
            </w:r>
          </w:p>
        </w:tc>
      </w:tr>
      <w:tr w:rsidR="00345EA6">
        <w:tc>
          <w:tcPr>
            <w:tcW w:w="862" w:type="dxa"/>
            <w:vAlign w:val="center"/>
          </w:tcPr>
          <w:p w:rsidR="00345EA6" w:rsidRDefault="00756E0F">
            <w:pPr>
              <w:jc w:val="center"/>
            </w:pPr>
            <w:r>
              <w:rPr>
                <w:color w:val="000000"/>
                <w:sz w:val="24"/>
              </w:rPr>
              <w:t>49</w:t>
            </w:r>
          </w:p>
        </w:tc>
        <w:tc>
          <w:tcPr>
            <w:tcW w:w="1346" w:type="dxa"/>
            <w:vAlign w:val="center"/>
          </w:tcPr>
          <w:p w:rsidR="00345EA6" w:rsidRDefault="00756E0F">
            <w:pPr>
              <w:jc w:val="center"/>
            </w:pPr>
            <w:r>
              <w:rPr>
                <w:color w:val="000000"/>
                <w:sz w:val="24"/>
              </w:rPr>
              <w:t>688566</w:t>
            </w:r>
          </w:p>
        </w:tc>
        <w:tc>
          <w:tcPr>
            <w:tcW w:w="1795" w:type="dxa"/>
            <w:vAlign w:val="center"/>
          </w:tcPr>
          <w:p w:rsidR="00345EA6" w:rsidRDefault="00756E0F">
            <w:pPr>
              <w:jc w:val="center"/>
            </w:pPr>
            <w:r>
              <w:rPr>
                <w:color w:val="000000"/>
                <w:sz w:val="24"/>
              </w:rPr>
              <w:t>吉贝尔</w:t>
            </w:r>
          </w:p>
        </w:tc>
        <w:tc>
          <w:tcPr>
            <w:tcW w:w="1346" w:type="dxa"/>
            <w:vAlign w:val="center"/>
          </w:tcPr>
          <w:p w:rsidR="00345EA6" w:rsidRDefault="00756E0F">
            <w:pPr>
              <w:jc w:val="right"/>
            </w:pPr>
            <w:r>
              <w:rPr>
                <w:color w:val="000000"/>
                <w:sz w:val="24"/>
              </w:rPr>
              <w:t>9,882</w:t>
            </w:r>
          </w:p>
        </w:tc>
        <w:tc>
          <w:tcPr>
            <w:tcW w:w="1944" w:type="dxa"/>
            <w:vAlign w:val="center"/>
          </w:tcPr>
          <w:p w:rsidR="00345EA6" w:rsidRDefault="00756E0F">
            <w:pPr>
              <w:jc w:val="right"/>
            </w:pPr>
            <w:r>
              <w:rPr>
                <w:color w:val="000000"/>
                <w:sz w:val="24"/>
              </w:rPr>
              <w:t>379,765.26</w:t>
            </w:r>
          </w:p>
        </w:tc>
        <w:tc>
          <w:tcPr>
            <w:tcW w:w="1705" w:type="dxa"/>
            <w:vAlign w:val="center"/>
          </w:tcPr>
          <w:p w:rsidR="00345EA6" w:rsidRDefault="00756E0F">
            <w:pPr>
              <w:jc w:val="right"/>
            </w:pPr>
            <w:r>
              <w:rPr>
                <w:color w:val="000000"/>
                <w:sz w:val="24"/>
              </w:rPr>
              <w:t>0.04</w:t>
            </w:r>
          </w:p>
        </w:tc>
      </w:tr>
      <w:tr w:rsidR="00345EA6">
        <w:tc>
          <w:tcPr>
            <w:tcW w:w="862" w:type="dxa"/>
            <w:vAlign w:val="center"/>
          </w:tcPr>
          <w:p w:rsidR="00345EA6" w:rsidRDefault="00756E0F">
            <w:pPr>
              <w:jc w:val="center"/>
            </w:pPr>
            <w:r>
              <w:rPr>
                <w:color w:val="000000"/>
                <w:sz w:val="24"/>
              </w:rPr>
              <w:t>50</w:t>
            </w:r>
          </w:p>
        </w:tc>
        <w:tc>
          <w:tcPr>
            <w:tcW w:w="1346" w:type="dxa"/>
            <w:vAlign w:val="center"/>
          </w:tcPr>
          <w:p w:rsidR="00345EA6" w:rsidRDefault="00756E0F">
            <w:pPr>
              <w:jc w:val="center"/>
            </w:pPr>
            <w:r>
              <w:rPr>
                <w:color w:val="000000"/>
                <w:sz w:val="24"/>
              </w:rPr>
              <w:t>688377</w:t>
            </w:r>
          </w:p>
        </w:tc>
        <w:tc>
          <w:tcPr>
            <w:tcW w:w="1795" w:type="dxa"/>
            <w:vAlign w:val="center"/>
          </w:tcPr>
          <w:p w:rsidR="00345EA6" w:rsidRDefault="00756E0F">
            <w:pPr>
              <w:jc w:val="center"/>
            </w:pPr>
            <w:r>
              <w:rPr>
                <w:color w:val="000000"/>
                <w:sz w:val="24"/>
              </w:rPr>
              <w:t>迪威尔</w:t>
            </w:r>
          </w:p>
        </w:tc>
        <w:tc>
          <w:tcPr>
            <w:tcW w:w="1346" w:type="dxa"/>
            <w:vAlign w:val="center"/>
          </w:tcPr>
          <w:p w:rsidR="00345EA6" w:rsidRDefault="00756E0F">
            <w:pPr>
              <w:jc w:val="right"/>
            </w:pPr>
            <w:r>
              <w:rPr>
                <w:color w:val="000000"/>
                <w:sz w:val="24"/>
              </w:rPr>
              <w:t>7,894</w:t>
            </w:r>
          </w:p>
        </w:tc>
        <w:tc>
          <w:tcPr>
            <w:tcW w:w="1944" w:type="dxa"/>
            <w:vAlign w:val="center"/>
          </w:tcPr>
          <w:p w:rsidR="00345EA6" w:rsidRDefault="00756E0F">
            <w:pPr>
              <w:jc w:val="right"/>
            </w:pPr>
            <w:r>
              <w:rPr>
                <w:color w:val="000000"/>
                <w:sz w:val="24"/>
              </w:rPr>
              <w:t>129,619.48</w:t>
            </w:r>
          </w:p>
        </w:tc>
        <w:tc>
          <w:tcPr>
            <w:tcW w:w="1705" w:type="dxa"/>
            <w:vAlign w:val="center"/>
          </w:tcPr>
          <w:p w:rsidR="00345EA6" w:rsidRDefault="00756E0F">
            <w:pPr>
              <w:jc w:val="right"/>
            </w:pPr>
            <w:r>
              <w:rPr>
                <w:color w:val="000000"/>
                <w:sz w:val="24"/>
              </w:rPr>
              <w:t>0.01</w:t>
            </w:r>
          </w:p>
        </w:tc>
      </w:tr>
      <w:tr w:rsidR="00345EA6">
        <w:tc>
          <w:tcPr>
            <w:tcW w:w="862" w:type="dxa"/>
            <w:vAlign w:val="center"/>
          </w:tcPr>
          <w:p w:rsidR="00345EA6" w:rsidRDefault="00756E0F">
            <w:pPr>
              <w:jc w:val="center"/>
            </w:pPr>
            <w:r>
              <w:rPr>
                <w:color w:val="000000"/>
                <w:sz w:val="24"/>
              </w:rPr>
              <w:t>51</w:t>
            </w:r>
          </w:p>
        </w:tc>
        <w:tc>
          <w:tcPr>
            <w:tcW w:w="1346" w:type="dxa"/>
            <w:vAlign w:val="center"/>
          </w:tcPr>
          <w:p w:rsidR="00345EA6" w:rsidRDefault="00756E0F">
            <w:pPr>
              <w:jc w:val="center"/>
            </w:pPr>
            <w:r>
              <w:rPr>
                <w:color w:val="000000"/>
                <w:sz w:val="24"/>
              </w:rPr>
              <w:t>603087</w:t>
            </w:r>
          </w:p>
        </w:tc>
        <w:tc>
          <w:tcPr>
            <w:tcW w:w="1795" w:type="dxa"/>
            <w:vAlign w:val="center"/>
          </w:tcPr>
          <w:p w:rsidR="00345EA6" w:rsidRDefault="00756E0F">
            <w:pPr>
              <w:jc w:val="center"/>
            </w:pPr>
            <w:r>
              <w:rPr>
                <w:color w:val="000000"/>
                <w:sz w:val="24"/>
              </w:rPr>
              <w:t>甘李药业</w:t>
            </w:r>
          </w:p>
        </w:tc>
        <w:tc>
          <w:tcPr>
            <w:tcW w:w="1346" w:type="dxa"/>
            <w:vAlign w:val="center"/>
          </w:tcPr>
          <w:p w:rsidR="00345EA6" w:rsidRDefault="00756E0F">
            <w:pPr>
              <w:jc w:val="right"/>
            </w:pPr>
            <w:r>
              <w:rPr>
                <w:color w:val="000000"/>
                <w:sz w:val="24"/>
              </w:rPr>
              <w:t>1,076</w:t>
            </w:r>
          </w:p>
        </w:tc>
        <w:tc>
          <w:tcPr>
            <w:tcW w:w="1944" w:type="dxa"/>
            <w:vAlign w:val="center"/>
          </w:tcPr>
          <w:p w:rsidR="00345EA6" w:rsidRDefault="00756E0F">
            <w:pPr>
              <w:jc w:val="right"/>
            </w:pPr>
            <w:r>
              <w:rPr>
                <w:color w:val="000000"/>
                <w:sz w:val="24"/>
              </w:rPr>
              <w:t>107,922.80</w:t>
            </w:r>
          </w:p>
        </w:tc>
        <w:tc>
          <w:tcPr>
            <w:tcW w:w="1705" w:type="dxa"/>
            <w:vAlign w:val="center"/>
          </w:tcPr>
          <w:p w:rsidR="00345EA6" w:rsidRDefault="00756E0F">
            <w:pPr>
              <w:jc w:val="right"/>
            </w:pPr>
            <w:r>
              <w:rPr>
                <w:color w:val="000000"/>
                <w:sz w:val="24"/>
              </w:rPr>
              <w:t>0.01</w:t>
            </w:r>
          </w:p>
        </w:tc>
      </w:tr>
      <w:tr w:rsidR="00345EA6">
        <w:tc>
          <w:tcPr>
            <w:tcW w:w="862" w:type="dxa"/>
            <w:vAlign w:val="center"/>
          </w:tcPr>
          <w:p w:rsidR="00345EA6" w:rsidRDefault="00756E0F">
            <w:pPr>
              <w:jc w:val="center"/>
            </w:pPr>
            <w:r>
              <w:rPr>
                <w:color w:val="000000"/>
                <w:sz w:val="24"/>
              </w:rPr>
              <w:t>52</w:t>
            </w:r>
          </w:p>
        </w:tc>
        <w:tc>
          <w:tcPr>
            <w:tcW w:w="1346" w:type="dxa"/>
            <w:vAlign w:val="center"/>
          </w:tcPr>
          <w:p w:rsidR="00345EA6" w:rsidRDefault="00756E0F">
            <w:pPr>
              <w:jc w:val="center"/>
            </w:pPr>
            <w:r>
              <w:rPr>
                <w:color w:val="000000"/>
                <w:sz w:val="24"/>
              </w:rPr>
              <w:t>688277</w:t>
            </w:r>
          </w:p>
        </w:tc>
        <w:tc>
          <w:tcPr>
            <w:tcW w:w="1795" w:type="dxa"/>
            <w:vAlign w:val="center"/>
          </w:tcPr>
          <w:p w:rsidR="00345EA6" w:rsidRDefault="00756E0F">
            <w:pPr>
              <w:jc w:val="center"/>
            </w:pPr>
            <w:r>
              <w:rPr>
                <w:color w:val="000000"/>
                <w:sz w:val="24"/>
              </w:rPr>
              <w:t>天智航</w:t>
            </w:r>
          </w:p>
        </w:tc>
        <w:tc>
          <w:tcPr>
            <w:tcW w:w="1346" w:type="dxa"/>
            <w:vAlign w:val="center"/>
          </w:tcPr>
          <w:p w:rsidR="00345EA6" w:rsidRDefault="00756E0F">
            <w:pPr>
              <w:jc w:val="right"/>
            </w:pPr>
            <w:r>
              <w:rPr>
                <w:color w:val="000000"/>
                <w:sz w:val="24"/>
              </w:rPr>
              <w:t>8,810</w:t>
            </w:r>
          </w:p>
        </w:tc>
        <w:tc>
          <w:tcPr>
            <w:tcW w:w="1944" w:type="dxa"/>
            <w:vAlign w:val="center"/>
          </w:tcPr>
          <w:p w:rsidR="00345EA6" w:rsidRDefault="00756E0F">
            <w:pPr>
              <w:jc w:val="right"/>
            </w:pPr>
            <w:r>
              <w:rPr>
                <w:color w:val="000000"/>
                <w:sz w:val="24"/>
              </w:rPr>
              <w:t>106,072.40</w:t>
            </w:r>
          </w:p>
        </w:tc>
        <w:tc>
          <w:tcPr>
            <w:tcW w:w="1705" w:type="dxa"/>
            <w:vAlign w:val="center"/>
          </w:tcPr>
          <w:p w:rsidR="00345EA6" w:rsidRDefault="00756E0F">
            <w:pPr>
              <w:jc w:val="right"/>
            </w:pPr>
            <w:r>
              <w:rPr>
                <w:color w:val="000000"/>
                <w:sz w:val="24"/>
              </w:rPr>
              <w:t>0.01</w:t>
            </w:r>
          </w:p>
        </w:tc>
      </w:tr>
      <w:tr w:rsidR="00345EA6">
        <w:tc>
          <w:tcPr>
            <w:tcW w:w="862" w:type="dxa"/>
            <w:vAlign w:val="center"/>
          </w:tcPr>
          <w:p w:rsidR="00345EA6" w:rsidRDefault="00756E0F">
            <w:pPr>
              <w:jc w:val="center"/>
            </w:pPr>
            <w:r>
              <w:rPr>
                <w:color w:val="000000"/>
                <w:sz w:val="24"/>
              </w:rPr>
              <w:t>53</w:t>
            </w:r>
          </w:p>
        </w:tc>
        <w:tc>
          <w:tcPr>
            <w:tcW w:w="1346" w:type="dxa"/>
            <w:vAlign w:val="center"/>
          </w:tcPr>
          <w:p w:rsidR="00345EA6" w:rsidRDefault="00756E0F">
            <w:pPr>
              <w:jc w:val="center"/>
            </w:pPr>
            <w:r>
              <w:rPr>
                <w:color w:val="000000"/>
                <w:sz w:val="24"/>
              </w:rPr>
              <w:t>688528</w:t>
            </w:r>
          </w:p>
        </w:tc>
        <w:tc>
          <w:tcPr>
            <w:tcW w:w="1795" w:type="dxa"/>
            <w:vAlign w:val="center"/>
          </w:tcPr>
          <w:p w:rsidR="00345EA6" w:rsidRDefault="00756E0F">
            <w:pPr>
              <w:jc w:val="center"/>
            </w:pPr>
            <w:r>
              <w:rPr>
                <w:color w:val="000000"/>
                <w:sz w:val="24"/>
              </w:rPr>
              <w:t>秦川物联</w:t>
            </w:r>
          </w:p>
        </w:tc>
        <w:tc>
          <w:tcPr>
            <w:tcW w:w="1346" w:type="dxa"/>
            <w:vAlign w:val="center"/>
          </w:tcPr>
          <w:p w:rsidR="00345EA6" w:rsidRDefault="00756E0F">
            <w:pPr>
              <w:jc w:val="right"/>
            </w:pPr>
            <w:r>
              <w:rPr>
                <w:color w:val="000000"/>
                <w:sz w:val="24"/>
              </w:rPr>
              <w:t>8,337</w:t>
            </w:r>
          </w:p>
        </w:tc>
        <w:tc>
          <w:tcPr>
            <w:tcW w:w="1944" w:type="dxa"/>
            <w:vAlign w:val="center"/>
          </w:tcPr>
          <w:p w:rsidR="00345EA6" w:rsidRDefault="00756E0F">
            <w:pPr>
              <w:jc w:val="right"/>
            </w:pPr>
            <w:r>
              <w:rPr>
                <w:color w:val="000000"/>
                <w:sz w:val="24"/>
              </w:rPr>
              <w:t>94,458.21</w:t>
            </w:r>
          </w:p>
        </w:tc>
        <w:tc>
          <w:tcPr>
            <w:tcW w:w="1705" w:type="dxa"/>
            <w:vAlign w:val="center"/>
          </w:tcPr>
          <w:p w:rsidR="00345EA6" w:rsidRDefault="00756E0F">
            <w:pPr>
              <w:jc w:val="right"/>
            </w:pPr>
            <w:r>
              <w:rPr>
                <w:color w:val="000000"/>
                <w:sz w:val="24"/>
              </w:rPr>
              <w:t>0.01</w:t>
            </w:r>
          </w:p>
        </w:tc>
      </w:tr>
      <w:tr w:rsidR="00345EA6">
        <w:tc>
          <w:tcPr>
            <w:tcW w:w="862" w:type="dxa"/>
            <w:vAlign w:val="center"/>
          </w:tcPr>
          <w:p w:rsidR="00345EA6" w:rsidRDefault="00756E0F">
            <w:pPr>
              <w:jc w:val="center"/>
            </w:pPr>
            <w:r>
              <w:rPr>
                <w:color w:val="000000"/>
                <w:sz w:val="24"/>
              </w:rPr>
              <w:t>54</w:t>
            </w:r>
          </w:p>
        </w:tc>
        <w:tc>
          <w:tcPr>
            <w:tcW w:w="1346" w:type="dxa"/>
            <w:vAlign w:val="center"/>
          </w:tcPr>
          <w:p w:rsidR="00345EA6" w:rsidRDefault="00756E0F">
            <w:pPr>
              <w:jc w:val="center"/>
            </w:pPr>
            <w:r>
              <w:rPr>
                <w:color w:val="000000"/>
                <w:sz w:val="24"/>
              </w:rPr>
              <w:t>688600</w:t>
            </w:r>
          </w:p>
        </w:tc>
        <w:tc>
          <w:tcPr>
            <w:tcW w:w="1795" w:type="dxa"/>
            <w:vAlign w:val="center"/>
          </w:tcPr>
          <w:p w:rsidR="00345EA6" w:rsidRDefault="00756E0F">
            <w:pPr>
              <w:jc w:val="center"/>
            </w:pPr>
            <w:r>
              <w:rPr>
                <w:color w:val="000000"/>
                <w:sz w:val="24"/>
              </w:rPr>
              <w:t>皖仪科技</w:t>
            </w:r>
          </w:p>
        </w:tc>
        <w:tc>
          <w:tcPr>
            <w:tcW w:w="1346" w:type="dxa"/>
            <w:vAlign w:val="center"/>
          </w:tcPr>
          <w:p w:rsidR="00345EA6" w:rsidRDefault="00756E0F">
            <w:pPr>
              <w:jc w:val="right"/>
            </w:pPr>
            <w:r>
              <w:rPr>
                <w:color w:val="000000"/>
                <w:sz w:val="24"/>
              </w:rPr>
              <w:t>5,468</w:t>
            </w:r>
          </w:p>
        </w:tc>
        <w:tc>
          <w:tcPr>
            <w:tcW w:w="1944" w:type="dxa"/>
            <w:vAlign w:val="center"/>
          </w:tcPr>
          <w:p w:rsidR="00345EA6" w:rsidRDefault="00756E0F">
            <w:pPr>
              <w:jc w:val="right"/>
            </w:pPr>
            <w:r>
              <w:rPr>
                <w:color w:val="000000"/>
                <w:sz w:val="24"/>
              </w:rPr>
              <w:t>84,754.00</w:t>
            </w:r>
          </w:p>
        </w:tc>
        <w:tc>
          <w:tcPr>
            <w:tcW w:w="1705" w:type="dxa"/>
            <w:vAlign w:val="center"/>
          </w:tcPr>
          <w:p w:rsidR="00345EA6" w:rsidRDefault="00756E0F">
            <w:pPr>
              <w:jc w:val="right"/>
            </w:pPr>
            <w:r>
              <w:rPr>
                <w:color w:val="000000"/>
                <w:sz w:val="24"/>
              </w:rPr>
              <w:t>0.01</w:t>
            </w:r>
          </w:p>
        </w:tc>
      </w:tr>
      <w:tr w:rsidR="00345EA6">
        <w:tc>
          <w:tcPr>
            <w:tcW w:w="862" w:type="dxa"/>
            <w:vAlign w:val="center"/>
          </w:tcPr>
          <w:p w:rsidR="00345EA6" w:rsidRDefault="00756E0F">
            <w:pPr>
              <w:jc w:val="center"/>
            </w:pPr>
            <w:r>
              <w:rPr>
                <w:color w:val="000000"/>
                <w:sz w:val="24"/>
              </w:rPr>
              <w:t>55</w:t>
            </w:r>
          </w:p>
        </w:tc>
        <w:tc>
          <w:tcPr>
            <w:tcW w:w="1346" w:type="dxa"/>
            <w:vAlign w:val="center"/>
          </w:tcPr>
          <w:p w:rsidR="00345EA6" w:rsidRDefault="00756E0F">
            <w:pPr>
              <w:jc w:val="center"/>
            </w:pPr>
            <w:r>
              <w:rPr>
                <w:color w:val="000000"/>
                <w:sz w:val="24"/>
              </w:rPr>
              <w:t>300824</w:t>
            </w:r>
          </w:p>
        </w:tc>
        <w:tc>
          <w:tcPr>
            <w:tcW w:w="1795" w:type="dxa"/>
            <w:vAlign w:val="center"/>
          </w:tcPr>
          <w:p w:rsidR="00345EA6" w:rsidRDefault="00756E0F">
            <w:pPr>
              <w:jc w:val="center"/>
            </w:pPr>
            <w:r>
              <w:rPr>
                <w:color w:val="000000"/>
                <w:sz w:val="24"/>
              </w:rPr>
              <w:t>北鼎股份</w:t>
            </w:r>
          </w:p>
        </w:tc>
        <w:tc>
          <w:tcPr>
            <w:tcW w:w="1346" w:type="dxa"/>
            <w:vAlign w:val="center"/>
          </w:tcPr>
          <w:p w:rsidR="00345EA6" w:rsidRDefault="00756E0F">
            <w:pPr>
              <w:jc w:val="right"/>
            </w:pPr>
            <w:r>
              <w:rPr>
                <w:color w:val="000000"/>
                <w:sz w:val="24"/>
              </w:rPr>
              <w:t>1,954</w:t>
            </w:r>
          </w:p>
        </w:tc>
        <w:tc>
          <w:tcPr>
            <w:tcW w:w="1944" w:type="dxa"/>
            <w:vAlign w:val="center"/>
          </w:tcPr>
          <w:p w:rsidR="00345EA6" w:rsidRDefault="00756E0F">
            <w:pPr>
              <w:jc w:val="right"/>
            </w:pPr>
            <w:r>
              <w:rPr>
                <w:color w:val="000000"/>
                <w:sz w:val="24"/>
              </w:rPr>
              <w:t>26,789.34</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56</w:t>
            </w:r>
          </w:p>
        </w:tc>
        <w:tc>
          <w:tcPr>
            <w:tcW w:w="1346" w:type="dxa"/>
            <w:vAlign w:val="center"/>
          </w:tcPr>
          <w:p w:rsidR="00345EA6" w:rsidRDefault="00756E0F">
            <w:pPr>
              <w:jc w:val="center"/>
            </w:pPr>
            <w:r>
              <w:rPr>
                <w:color w:val="000000"/>
                <w:sz w:val="24"/>
              </w:rPr>
              <w:t>300842</w:t>
            </w:r>
          </w:p>
        </w:tc>
        <w:tc>
          <w:tcPr>
            <w:tcW w:w="1795" w:type="dxa"/>
            <w:vAlign w:val="center"/>
          </w:tcPr>
          <w:p w:rsidR="00345EA6" w:rsidRDefault="00756E0F">
            <w:pPr>
              <w:jc w:val="center"/>
            </w:pPr>
            <w:r>
              <w:rPr>
                <w:color w:val="000000"/>
                <w:sz w:val="24"/>
              </w:rPr>
              <w:t>帝科股份</w:t>
            </w:r>
          </w:p>
        </w:tc>
        <w:tc>
          <w:tcPr>
            <w:tcW w:w="1346" w:type="dxa"/>
            <w:vAlign w:val="center"/>
          </w:tcPr>
          <w:p w:rsidR="00345EA6" w:rsidRDefault="00756E0F">
            <w:pPr>
              <w:jc w:val="right"/>
            </w:pPr>
            <w:r>
              <w:rPr>
                <w:color w:val="000000"/>
                <w:sz w:val="24"/>
              </w:rPr>
              <w:t>455</w:t>
            </w:r>
          </w:p>
        </w:tc>
        <w:tc>
          <w:tcPr>
            <w:tcW w:w="1944" w:type="dxa"/>
            <w:vAlign w:val="center"/>
          </w:tcPr>
          <w:p w:rsidR="00345EA6" w:rsidRDefault="00756E0F">
            <w:pPr>
              <w:jc w:val="right"/>
            </w:pPr>
            <w:r>
              <w:rPr>
                <w:color w:val="000000"/>
                <w:sz w:val="24"/>
              </w:rPr>
              <w:t>18,527.60</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57</w:t>
            </w:r>
          </w:p>
        </w:tc>
        <w:tc>
          <w:tcPr>
            <w:tcW w:w="1346" w:type="dxa"/>
            <w:vAlign w:val="center"/>
          </w:tcPr>
          <w:p w:rsidR="00345EA6" w:rsidRDefault="00756E0F">
            <w:pPr>
              <w:jc w:val="center"/>
            </w:pPr>
            <w:r>
              <w:rPr>
                <w:color w:val="000000"/>
                <w:sz w:val="24"/>
              </w:rPr>
              <w:t>600956</w:t>
            </w:r>
          </w:p>
        </w:tc>
        <w:tc>
          <w:tcPr>
            <w:tcW w:w="1795" w:type="dxa"/>
            <w:vAlign w:val="center"/>
          </w:tcPr>
          <w:p w:rsidR="00345EA6" w:rsidRDefault="00756E0F">
            <w:pPr>
              <w:jc w:val="center"/>
            </w:pPr>
            <w:r>
              <w:rPr>
                <w:color w:val="000000"/>
                <w:sz w:val="24"/>
              </w:rPr>
              <w:t>新天绿能</w:t>
            </w:r>
          </w:p>
        </w:tc>
        <w:tc>
          <w:tcPr>
            <w:tcW w:w="1346" w:type="dxa"/>
            <w:vAlign w:val="center"/>
          </w:tcPr>
          <w:p w:rsidR="00345EA6" w:rsidRDefault="00756E0F">
            <w:pPr>
              <w:jc w:val="right"/>
            </w:pPr>
            <w:r>
              <w:rPr>
                <w:color w:val="000000"/>
                <w:sz w:val="24"/>
              </w:rPr>
              <w:t>2,533</w:t>
            </w:r>
          </w:p>
        </w:tc>
        <w:tc>
          <w:tcPr>
            <w:tcW w:w="1944" w:type="dxa"/>
            <w:vAlign w:val="center"/>
          </w:tcPr>
          <w:p w:rsidR="00345EA6" w:rsidRDefault="00756E0F">
            <w:pPr>
              <w:jc w:val="right"/>
            </w:pPr>
            <w:r>
              <w:rPr>
                <w:color w:val="000000"/>
                <w:sz w:val="24"/>
              </w:rPr>
              <w:t>12,766.32</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58</w:t>
            </w:r>
          </w:p>
        </w:tc>
        <w:tc>
          <w:tcPr>
            <w:tcW w:w="1346" w:type="dxa"/>
            <w:vAlign w:val="center"/>
          </w:tcPr>
          <w:p w:rsidR="00345EA6" w:rsidRDefault="00756E0F">
            <w:pPr>
              <w:jc w:val="center"/>
            </w:pPr>
            <w:r>
              <w:rPr>
                <w:color w:val="000000"/>
                <w:sz w:val="24"/>
              </w:rPr>
              <w:t>300839</w:t>
            </w:r>
          </w:p>
        </w:tc>
        <w:tc>
          <w:tcPr>
            <w:tcW w:w="1795" w:type="dxa"/>
            <w:vAlign w:val="center"/>
          </w:tcPr>
          <w:p w:rsidR="00345EA6" w:rsidRDefault="00756E0F">
            <w:pPr>
              <w:jc w:val="center"/>
            </w:pPr>
            <w:r>
              <w:rPr>
                <w:color w:val="000000"/>
                <w:sz w:val="24"/>
              </w:rPr>
              <w:t>博汇股份</w:t>
            </w:r>
          </w:p>
        </w:tc>
        <w:tc>
          <w:tcPr>
            <w:tcW w:w="1346" w:type="dxa"/>
            <w:vAlign w:val="center"/>
          </w:tcPr>
          <w:p w:rsidR="00345EA6" w:rsidRDefault="00756E0F">
            <w:pPr>
              <w:jc w:val="right"/>
            </w:pPr>
            <w:r>
              <w:rPr>
                <w:color w:val="000000"/>
                <w:sz w:val="24"/>
              </w:rPr>
              <w:t>502</w:t>
            </w:r>
          </w:p>
        </w:tc>
        <w:tc>
          <w:tcPr>
            <w:tcW w:w="1944" w:type="dxa"/>
            <w:vAlign w:val="center"/>
          </w:tcPr>
          <w:p w:rsidR="00345EA6" w:rsidRDefault="00756E0F">
            <w:pPr>
              <w:jc w:val="right"/>
            </w:pPr>
            <w:r>
              <w:rPr>
                <w:color w:val="000000"/>
                <w:sz w:val="24"/>
              </w:rPr>
              <w:t>11,751.82</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59</w:t>
            </w:r>
          </w:p>
        </w:tc>
        <w:tc>
          <w:tcPr>
            <w:tcW w:w="1346" w:type="dxa"/>
            <w:vAlign w:val="center"/>
          </w:tcPr>
          <w:p w:rsidR="00345EA6" w:rsidRDefault="00756E0F">
            <w:pPr>
              <w:jc w:val="center"/>
            </w:pPr>
            <w:r>
              <w:rPr>
                <w:color w:val="000000"/>
                <w:sz w:val="24"/>
              </w:rPr>
              <w:t>300847</w:t>
            </w:r>
          </w:p>
        </w:tc>
        <w:tc>
          <w:tcPr>
            <w:tcW w:w="1795" w:type="dxa"/>
            <w:vAlign w:val="center"/>
          </w:tcPr>
          <w:p w:rsidR="00345EA6" w:rsidRDefault="00756E0F">
            <w:pPr>
              <w:jc w:val="center"/>
            </w:pPr>
            <w:r>
              <w:rPr>
                <w:color w:val="000000"/>
                <w:sz w:val="24"/>
              </w:rPr>
              <w:t>中船汉光</w:t>
            </w:r>
          </w:p>
        </w:tc>
        <w:tc>
          <w:tcPr>
            <w:tcW w:w="1346" w:type="dxa"/>
            <w:vAlign w:val="center"/>
          </w:tcPr>
          <w:p w:rsidR="00345EA6" w:rsidRDefault="00756E0F">
            <w:pPr>
              <w:jc w:val="right"/>
            </w:pPr>
            <w:r>
              <w:rPr>
                <w:color w:val="000000"/>
                <w:sz w:val="24"/>
              </w:rPr>
              <w:t>1,420</w:t>
            </w:r>
          </w:p>
        </w:tc>
        <w:tc>
          <w:tcPr>
            <w:tcW w:w="1944" w:type="dxa"/>
            <w:vAlign w:val="center"/>
          </w:tcPr>
          <w:p w:rsidR="00345EA6" w:rsidRDefault="00756E0F">
            <w:pPr>
              <w:jc w:val="right"/>
            </w:pPr>
            <w:r>
              <w:rPr>
                <w:color w:val="000000"/>
                <w:sz w:val="24"/>
              </w:rPr>
              <w:t>9,854.80</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60</w:t>
            </w:r>
          </w:p>
        </w:tc>
        <w:tc>
          <w:tcPr>
            <w:tcW w:w="1346" w:type="dxa"/>
            <w:vAlign w:val="center"/>
          </w:tcPr>
          <w:p w:rsidR="00345EA6" w:rsidRDefault="00756E0F">
            <w:pPr>
              <w:jc w:val="center"/>
            </w:pPr>
            <w:r>
              <w:rPr>
                <w:color w:val="000000"/>
                <w:sz w:val="24"/>
              </w:rPr>
              <w:t>300845</w:t>
            </w:r>
          </w:p>
        </w:tc>
        <w:tc>
          <w:tcPr>
            <w:tcW w:w="1795" w:type="dxa"/>
            <w:vAlign w:val="center"/>
          </w:tcPr>
          <w:p w:rsidR="00345EA6" w:rsidRDefault="00756E0F">
            <w:pPr>
              <w:jc w:val="center"/>
            </w:pPr>
            <w:r>
              <w:rPr>
                <w:color w:val="000000"/>
                <w:sz w:val="24"/>
              </w:rPr>
              <w:t>捷安高科</w:t>
            </w:r>
          </w:p>
        </w:tc>
        <w:tc>
          <w:tcPr>
            <w:tcW w:w="1346" w:type="dxa"/>
            <w:vAlign w:val="center"/>
          </w:tcPr>
          <w:p w:rsidR="00345EA6" w:rsidRDefault="00756E0F">
            <w:pPr>
              <w:jc w:val="right"/>
            </w:pPr>
            <w:r>
              <w:rPr>
                <w:color w:val="000000"/>
                <w:sz w:val="24"/>
              </w:rPr>
              <w:t>470</w:t>
            </w:r>
          </w:p>
        </w:tc>
        <w:tc>
          <w:tcPr>
            <w:tcW w:w="1944" w:type="dxa"/>
            <w:vAlign w:val="center"/>
          </w:tcPr>
          <w:p w:rsidR="00345EA6" w:rsidRDefault="00756E0F">
            <w:pPr>
              <w:jc w:val="right"/>
            </w:pPr>
            <w:r>
              <w:rPr>
                <w:color w:val="000000"/>
                <w:sz w:val="24"/>
              </w:rPr>
              <w:t>8,286.10</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61</w:t>
            </w:r>
          </w:p>
        </w:tc>
        <w:tc>
          <w:tcPr>
            <w:tcW w:w="1346" w:type="dxa"/>
            <w:vAlign w:val="center"/>
          </w:tcPr>
          <w:p w:rsidR="00345EA6" w:rsidRDefault="00756E0F">
            <w:pPr>
              <w:jc w:val="center"/>
            </w:pPr>
            <w:r>
              <w:rPr>
                <w:color w:val="000000"/>
                <w:sz w:val="24"/>
              </w:rPr>
              <w:t>300843</w:t>
            </w:r>
          </w:p>
        </w:tc>
        <w:tc>
          <w:tcPr>
            <w:tcW w:w="1795" w:type="dxa"/>
            <w:vAlign w:val="center"/>
          </w:tcPr>
          <w:p w:rsidR="00345EA6" w:rsidRDefault="00756E0F">
            <w:pPr>
              <w:jc w:val="center"/>
            </w:pPr>
            <w:r>
              <w:rPr>
                <w:color w:val="000000"/>
                <w:sz w:val="24"/>
              </w:rPr>
              <w:t>胜蓝股份</w:t>
            </w:r>
          </w:p>
        </w:tc>
        <w:tc>
          <w:tcPr>
            <w:tcW w:w="1346" w:type="dxa"/>
            <w:vAlign w:val="center"/>
          </w:tcPr>
          <w:p w:rsidR="00345EA6" w:rsidRDefault="00756E0F">
            <w:pPr>
              <w:jc w:val="right"/>
            </w:pPr>
            <w:r>
              <w:rPr>
                <w:color w:val="000000"/>
                <w:sz w:val="24"/>
              </w:rPr>
              <w:t>751</w:t>
            </w:r>
          </w:p>
        </w:tc>
        <w:tc>
          <w:tcPr>
            <w:tcW w:w="1944" w:type="dxa"/>
            <w:vAlign w:val="center"/>
          </w:tcPr>
          <w:p w:rsidR="00345EA6" w:rsidRDefault="00756E0F">
            <w:pPr>
              <w:jc w:val="right"/>
            </w:pPr>
            <w:r>
              <w:rPr>
                <w:color w:val="000000"/>
                <w:sz w:val="24"/>
              </w:rPr>
              <w:t>7,517.51</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62</w:t>
            </w:r>
          </w:p>
        </w:tc>
        <w:tc>
          <w:tcPr>
            <w:tcW w:w="1346" w:type="dxa"/>
            <w:vAlign w:val="center"/>
          </w:tcPr>
          <w:p w:rsidR="00345EA6" w:rsidRDefault="00756E0F">
            <w:pPr>
              <w:jc w:val="center"/>
            </w:pPr>
            <w:r>
              <w:rPr>
                <w:color w:val="000000"/>
                <w:sz w:val="24"/>
              </w:rPr>
              <w:t>300840</w:t>
            </w:r>
          </w:p>
        </w:tc>
        <w:tc>
          <w:tcPr>
            <w:tcW w:w="1795" w:type="dxa"/>
            <w:vAlign w:val="center"/>
          </w:tcPr>
          <w:p w:rsidR="00345EA6" w:rsidRDefault="00756E0F">
            <w:pPr>
              <w:jc w:val="center"/>
            </w:pPr>
            <w:r>
              <w:rPr>
                <w:color w:val="000000"/>
                <w:sz w:val="24"/>
              </w:rPr>
              <w:t>酷特智能</w:t>
            </w:r>
          </w:p>
        </w:tc>
        <w:tc>
          <w:tcPr>
            <w:tcW w:w="1346" w:type="dxa"/>
            <w:vAlign w:val="center"/>
          </w:tcPr>
          <w:p w:rsidR="00345EA6" w:rsidRDefault="00756E0F">
            <w:pPr>
              <w:jc w:val="right"/>
            </w:pPr>
            <w:r>
              <w:rPr>
                <w:color w:val="000000"/>
                <w:sz w:val="24"/>
              </w:rPr>
              <w:t>1,185</w:t>
            </w:r>
          </w:p>
        </w:tc>
        <w:tc>
          <w:tcPr>
            <w:tcW w:w="1944" w:type="dxa"/>
            <w:vAlign w:val="center"/>
          </w:tcPr>
          <w:p w:rsidR="00345EA6" w:rsidRDefault="00756E0F">
            <w:pPr>
              <w:jc w:val="right"/>
            </w:pPr>
            <w:r>
              <w:rPr>
                <w:color w:val="000000"/>
                <w:sz w:val="24"/>
              </w:rPr>
              <w:t>7,038.90</w:t>
            </w:r>
          </w:p>
        </w:tc>
        <w:tc>
          <w:tcPr>
            <w:tcW w:w="1705" w:type="dxa"/>
            <w:vAlign w:val="center"/>
          </w:tcPr>
          <w:p w:rsidR="00345EA6" w:rsidRDefault="00756E0F">
            <w:pPr>
              <w:jc w:val="right"/>
            </w:pPr>
            <w:r>
              <w:rPr>
                <w:color w:val="000000"/>
                <w:sz w:val="24"/>
              </w:rPr>
              <w:t>0.00</w:t>
            </w:r>
          </w:p>
        </w:tc>
      </w:tr>
      <w:tr w:rsidR="00345EA6">
        <w:tc>
          <w:tcPr>
            <w:tcW w:w="862" w:type="dxa"/>
            <w:vAlign w:val="center"/>
          </w:tcPr>
          <w:p w:rsidR="00345EA6" w:rsidRDefault="00756E0F">
            <w:pPr>
              <w:jc w:val="center"/>
            </w:pPr>
            <w:r>
              <w:rPr>
                <w:color w:val="000000"/>
                <w:sz w:val="24"/>
              </w:rPr>
              <w:t>63</w:t>
            </w:r>
          </w:p>
        </w:tc>
        <w:tc>
          <w:tcPr>
            <w:tcW w:w="1346" w:type="dxa"/>
            <w:vAlign w:val="center"/>
          </w:tcPr>
          <w:p w:rsidR="00345EA6" w:rsidRDefault="00756E0F">
            <w:pPr>
              <w:jc w:val="center"/>
            </w:pPr>
            <w:r>
              <w:rPr>
                <w:color w:val="000000"/>
                <w:sz w:val="24"/>
              </w:rPr>
              <w:t>300846</w:t>
            </w:r>
          </w:p>
        </w:tc>
        <w:tc>
          <w:tcPr>
            <w:tcW w:w="1795" w:type="dxa"/>
            <w:vAlign w:val="center"/>
          </w:tcPr>
          <w:p w:rsidR="00345EA6" w:rsidRDefault="00756E0F">
            <w:pPr>
              <w:jc w:val="center"/>
            </w:pPr>
            <w:r>
              <w:rPr>
                <w:color w:val="000000"/>
                <w:sz w:val="24"/>
              </w:rPr>
              <w:t>首都在线</w:t>
            </w:r>
          </w:p>
        </w:tc>
        <w:tc>
          <w:tcPr>
            <w:tcW w:w="1346" w:type="dxa"/>
            <w:vAlign w:val="center"/>
          </w:tcPr>
          <w:p w:rsidR="00345EA6" w:rsidRDefault="00756E0F">
            <w:pPr>
              <w:jc w:val="right"/>
            </w:pPr>
            <w:r>
              <w:rPr>
                <w:color w:val="000000"/>
                <w:sz w:val="24"/>
              </w:rPr>
              <w:t>1,131</w:t>
            </w:r>
          </w:p>
        </w:tc>
        <w:tc>
          <w:tcPr>
            <w:tcW w:w="1944" w:type="dxa"/>
            <w:vAlign w:val="center"/>
          </w:tcPr>
          <w:p w:rsidR="00345EA6" w:rsidRDefault="00756E0F">
            <w:pPr>
              <w:jc w:val="right"/>
            </w:pPr>
            <w:r>
              <w:rPr>
                <w:color w:val="000000"/>
                <w:sz w:val="24"/>
              </w:rPr>
              <w:t>3,811.47</w:t>
            </w:r>
          </w:p>
        </w:tc>
        <w:tc>
          <w:tcPr>
            <w:tcW w:w="1705" w:type="dxa"/>
            <w:vAlign w:val="center"/>
          </w:tcPr>
          <w:p w:rsidR="00345EA6" w:rsidRDefault="00756E0F">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7163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金额超出期末基金资产净值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345EA6">
        <w:tc>
          <w:tcPr>
            <w:tcW w:w="869" w:type="dxa"/>
            <w:vAlign w:val="center"/>
          </w:tcPr>
          <w:p w:rsidR="00345EA6" w:rsidRDefault="00756E0F">
            <w:pPr>
              <w:jc w:val="center"/>
            </w:pPr>
            <w:r>
              <w:rPr>
                <w:sz w:val="24"/>
              </w:rPr>
              <w:t>1</w:t>
            </w:r>
          </w:p>
        </w:tc>
        <w:tc>
          <w:tcPr>
            <w:tcW w:w="1650" w:type="dxa"/>
            <w:vAlign w:val="center"/>
          </w:tcPr>
          <w:p w:rsidR="00345EA6" w:rsidRDefault="00756E0F">
            <w:pPr>
              <w:jc w:val="center"/>
            </w:pPr>
            <w:r>
              <w:rPr>
                <w:sz w:val="24"/>
              </w:rPr>
              <w:t>603186</w:t>
            </w:r>
          </w:p>
        </w:tc>
        <w:tc>
          <w:tcPr>
            <w:tcW w:w="1980" w:type="dxa"/>
            <w:vAlign w:val="center"/>
          </w:tcPr>
          <w:p w:rsidR="00345EA6" w:rsidRDefault="00756E0F">
            <w:pPr>
              <w:jc w:val="center"/>
            </w:pPr>
            <w:r>
              <w:rPr>
                <w:sz w:val="24"/>
              </w:rPr>
              <w:t>华正新材</w:t>
            </w:r>
          </w:p>
        </w:tc>
        <w:tc>
          <w:tcPr>
            <w:tcW w:w="2879" w:type="dxa"/>
            <w:vAlign w:val="center"/>
          </w:tcPr>
          <w:p w:rsidR="00345EA6" w:rsidRDefault="00756E0F">
            <w:pPr>
              <w:jc w:val="right"/>
            </w:pPr>
            <w:r>
              <w:rPr>
                <w:sz w:val="24"/>
              </w:rPr>
              <w:t>36,186,919.61</w:t>
            </w:r>
          </w:p>
        </w:tc>
        <w:tc>
          <w:tcPr>
            <w:tcW w:w="1620" w:type="dxa"/>
            <w:vAlign w:val="center"/>
          </w:tcPr>
          <w:p w:rsidR="00345EA6" w:rsidRDefault="00756E0F">
            <w:pPr>
              <w:jc w:val="right"/>
            </w:pPr>
            <w:r>
              <w:rPr>
                <w:sz w:val="24"/>
              </w:rPr>
              <w:t>4.05</w:t>
            </w:r>
          </w:p>
        </w:tc>
      </w:tr>
      <w:tr w:rsidR="00345EA6">
        <w:tc>
          <w:tcPr>
            <w:tcW w:w="869" w:type="dxa"/>
            <w:vAlign w:val="center"/>
          </w:tcPr>
          <w:p w:rsidR="00345EA6" w:rsidRDefault="00756E0F">
            <w:pPr>
              <w:jc w:val="center"/>
            </w:pPr>
            <w:r>
              <w:rPr>
                <w:sz w:val="24"/>
              </w:rPr>
              <w:t>2</w:t>
            </w:r>
          </w:p>
        </w:tc>
        <w:tc>
          <w:tcPr>
            <w:tcW w:w="1650" w:type="dxa"/>
            <w:vAlign w:val="center"/>
          </w:tcPr>
          <w:p w:rsidR="00345EA6" w:rsidRDefault="00756E0F">
            <w:pPr>
              <w:jc w:val="center"/>
            </w:pPr>
            <w:r>
              <w:rPr>
                <w:sz w:val="24"/>
              </w:rPr>
              <w:t>002555</w:t>
            </w:r>
          </w:p>
        </w:tc>
        <w:tc>
          <w:tcPr>
            <w:tcW w:w="1980" w:type="dxa"/>
            <w:vAlign w:val="center"/>
          </w:tcPr>
          <w:p w:rsidR="00345EA6" w:rsidRDefault="00756E0F">
            <w:pPr>
              <w:jc w:val="center"/>
            </w:pPr>
            <w:r>
              <w:rPr>
                <w:sz w:val="24"/>
              </w:rPr>
              <w:t>三七互娱</w:t>
            </w:r>
          </w:p>
        </w:tc>
        <w:tc>
          <w:tcPr>
            <w:tcW w:w="2879" w:type="dxa"/>
            <w:vAlign w:val="center"/>
          </w:tcPr>
          <w:p w:rsidR="00345EA6" w:rsidRDefault="00756E0F">
            <w:pPr>
              <w:jc w:val="right"/>
            </w:pPr>
            <w:r>
              <w:rPr>
                <w:sz w:val="24"/>
              </w:rPr>
              <w:t>32,727,515.55</w:t>
            </w:r>
          </w:p>
        </w:tc>
        <w:tc>
          <w:tcPr>
            <w:tcW w:w="1620" w:type="dxa"/>
            <w:vAlign w:val="center"/>
          </w:tcPr>
          <w:p w:rsidR="00345EA6" w:rsidRDefault="00756E0F">
            <w:pPr>
              <w:jc w:val="right"/>
            </w:pPr>
            <w:r>
              <w:rPr>
                <w:sz w:val="24"/>
              </w:rPr>
              <w:t>3.67</w:t>
            </w:r>
          </w:p>
        </w:tc>
      </w:tr>
      <w:tr w:rsidR="00345EA6">
        <w:tc>
          <w:tcPr>
            <w:tcW w:w="869" w:type="dxa"/>
            <w:vAlign w:val="center"/>
          </w:tcPr>
          <w:p w:rsidR="00345EA6" w:rsidRDefault="00756E0F">
            <w:pPr>
              <w:jc w:val="center"/>
            </w:pPr>
            <w:r>
              <w:rPr>
                <w:sz w:val="24"/>
              </w:rPr>
              <w:t>3</w:t>
            </w:r>
          </w:p>
        </w:tc>
        <w:tc>
          <w:tcPr>
            <w:tcW w:w="1650" w:type="dxa"/>
            <w:vAlign w:val="center"/>
          </w:tcPr>
          <w:p w:rsidR="00345EA6" w:rsidRDefault="00756E0F">
            <w:pPr>
              <w:jc w:val="center"/>
            </w:pPr>
            <w:r>
              <w:rPr>
                <w:sz w:val="24"/>
              </w:rPr>
              <w:t>300059</w:t>
            </w:r>
          </w:p>
        </w:tc>
        <w:tc>
          <w:tcPr>
            <w:tcW w:w="1980" w:type="dxa"/>
            <w:vAlign w:val="center"/>
          </w:tcPr>
          <w:p w:rsidR="00345EA6" w:rsidRDefault="00756E0F">
            <w:pPr>
              <w:jc w:val="center"/>
            </w:pPr>
            <w:r>
              <w:rPr>
                <w:sz w:val="24"/>
              </w:rPr>
              <w:t>东方财富</w:t>
            </w:r>
          </w:p>
        </w:tc>
        <w:tc>
          <w:tcPr>
            <w:tcW w:w="2879" w:type="dxa"/>
            <w:vAlign w:val="center"/>
          </w:tcPr>
          <w:p w:rsidR="00345EA6" w:rsidRDefault="00756E0F">
            <w:pPr>
              <w:jc w:val="right"/>
            </w:pPr>
            <w:r>
              <w:rPr>
                <w:sz w:val="24"/>
              </w:rPr>
              <w:t>30,474,403.35</w:t>
            </w:r>
          </w:p>
        </w:tc>
        <w:tc>
          <w:tcPr>
            <w:tcW w:w="1620" w:type="dxa"/>
            <w:vAlign w:val="center"/>
          </w:tcPr>
          <w:p w:rsidR="00345EA6" w:rsidRDefault="00756E0F">
            <w:pPr>
              <w:jc w:val="right"/>
            </w:pPr>
            <w:r>
              <w:rPr>
                <w:sz w:val="24"/>
              </w:rPr>
              <w:t>3.41</w:t>
            </w:r>
          </w:p>
        </w:tc>
      </w:tr>
      <w:tr w:rsidR="00345EA6">
        <w:tc>
          <w:tcPr>
            <w:tcW w:w="869" w:type="dxa"/>
            <w:vAlign w:val="center"/>
          </w:tcPr>
          <w:p w:rsidR="00345EA6" w:rsidRDefault="00756E0F">
            <w:pPr>
              <w:jc w:val="center"/>
            </w:pPr>
            <w:r>
              <w:rPr>
                <w:sz w:val="24"/>
              </w:rPr>
              <w:t>4</w:t>
            </w:r>
          </w:p>
        </w:tc>
        <w:tc>
          <w:tcPr>
            <w:tcW w:w="1650" w:type="dxa"/>
            <w:vAlign w:val="center"/>
          </w:tcPr>
          <w:p w:rsidR="00345EA6" w:rsidRDefault="00756E0F">
            <w:pPr>
              <w:jc w:val="center"/>
            </w:pPr>
            <w:r>
              <w:rPr>
                <w:sz w:val="24"/>
              </w:rPr>
              <w:t>002050</w:t>
            </w:r>
          </w:p>
        </w:tc>
        <w:tc>
          <w:tcPr>
            <w:tcW w:w="1980" w:type="dxa"/>
            <w:vAlign w:val="center"/>
          </w:tcPr>
          <w:p w:rsidR="00345EA6" w:rsidRDefault="00756E0F">
            <w:pPr>
              <w:jc w:val="center"/>
            </w:pPr>
            <w:r>
              <w:rPr>
                <w:sz w:val="24"/>
              </w:rPr>
              <w:t>三花智控</w:t>
            </w:r>
          </w:p>
        </w:tc>
        <w:tc>
          <w:tcPr>
            <w:tcW w:w="2879" w:type="dxa"/>
            <w:vAlign w:val="center"/>
          </w:tcPr>
          <w:p w:rsidR="00345EA6" w:rsidRDefault="00756E0F">
            <w:pPr>
              <w:jc w:val="right"/>
            </w:pPr>
            <w:r>
              <w:rPr>
                <w:sz w:val="24"/>
              </w:rPr>
              <w:t>29,311,963.55</w:t>
            </w:r>
          </w:p>
        </w:tc>
        <w:tc>
          <w:tcPr>
            <w:tcW w:w="1620" w:type="dxa"/>
            <w:vAlign w:val="center"/>
          </w:tcPr>
          <w:p w:rsidR="00345EA6" w:rsidRDefault="00756E0F">
            <w:pPr>
              <w:jc w:val="right"/>
            </w:pPr>
            <w:r>
              <w:rPr>
                <w:sz w:val="24"/>
              </w:rPr>
              <w:t>3.28</w:t>
            </w:r>
          </w:p>
        </w:tc>
      </w:tr>
      <w:tr w:rsidR="00345EA6">
        <w:tc>
          <w:tcPr>
            <w:tcW w:w="869" w:type="dxa"/>
            <w:vAlign w:val="center"/>
          </w:tcPr>
          <w:p w:rsidR="00345EA6" w:rsidRDefault="00756E0F">
            <w:pPr>
              <w:jc w:val="center"/>
            </w:pPr>
            <w:r>
              <w:rPr>
                <w:sz w:val="24"/>
              </w:rPr>
              <w:t>5</w:t>
            </w:r>
          </w:p>
        </w:tc>
        <w:tc>
          <w:tcPr>
            <w:tcW w:w="1650" w:type="dxa"/>
            <w:vAlign w:val="center"/>
          </w:tcPr>
          <w:p w:rsidR="00345EA6" w:rsidRDefault="00756E0F">
            <w:pPr>
              <w:jc w:val="center"/>
            </w:pPr>
            <w:r>
              <w:rPr>
                <w:sz w:val="24"/>
              </w:rPr>
              <w:t>002352</w:t>
            </w:r>
          </w:p>
        </w:tc>
        <w:tc>
          <w:tcPr>
            <w:tcW w:w="1980" w:type="dxa"/>
            <w:vAlign w:val="center"/>
          </w:tcPr>
          <w:p w:rsidR="00345EA6" w:rsidRDefault="00756E0F">
            <w:pPr>
              <w:jc w:val="center"/>
            </w:pPr>
            <w:r>
              <w:rPr>
                <w:sz w:val="24"/>
              </w:rPr>
              <w:t>顺丰控股</w:t>
            </w:r>
          </w:p>
        </w:tc>
        <w:tc>
          <w:tcPr>
            <w:tcW w:w="2879" w:type="dxa"/>
            <w:vAlign w:val="center"/>
          </w:tcPr>
          <w:p w:rsidR="00345EA6" w:rsidRDefault="00756E0F">
            <w:pPr>
              <w:jc w:val="right"/>
            </w:pPr>
            <w:r>
              <w:rPr>
                <w:sz w:val="24"/>
              </w:rPr>
              <w:t>26,884,683.22</w:t>
            </w:r>
          </w:p>
        </w:tc>
        <w:tc>
          <w:tcPr>
            <w:tcW w:w="1620" w:type="dxa"/>
            <w:vAlign w:val="center"/>
          </w:tcPr>
          <w:p w:rsidR="00345EA6" w:rsidRDefault="00756E0F">
            <w:pPr>
              <w:jc w:val="right"/>
            </w:pPr>
            <w:r>
              <w:rPr>
                <w:sz w:val="24"/>
              </w:rPr>
              <w:t>3.01</w:t>
            </w:r>
          </w:p>
        </w:tc>
      </w:tr>
      <w:tr w:rsidR="00345EA6">
        <w:tc>
          <w:tcPr>
            <w:tcW w:w="869" w:type="dxa"/>
            <w:vAlign w:val="center"/>
          </w:tcPr>
          <w:p w:rsidR="00345EA6" w:rsidRDefault="00756E0F">
            <w:pPr>
              <w:jc w:val="center"/>
            </w:pPr>
            <w:r>
              <w:rPr>
                <w:sz w:val="24"/>
              </w:rPr>
              <w:t>6</w:t>
            </w:r>
          </w:p>
        </w:tc>
        <w:tc>
          <w:tcPr>
            <w:tcW w:w="1650" w:type="dxa"/>
            <w:vAlign w:val="center"/>
          </w:tcPr>
          <w:p w:rsidR="00345EA6" w:rsidRDefault="00756E0F">
            <w:pPr>
              <w:jc w:val="center"/>
            </w:pPr>
            <w:r>
              <w:rPr>
                <w:sz w:val="24"/>
              </w:rPr>
              <w:t>002841</w:t>
            </w:r>
          </w:p>
        </w:tc>
        <w:tc>
          <w:tcPr>
            <w:tcW w:w="1980" w:type="dxa"/>
            <w:vAlign w:val="center"/>
          </w:tcPr>
          <w:p w:rsidR="00345EA6" w:rsidRDefault="00756E0F">
            <w:pPr>
              <w:jc w:val="center"/>
            </w:pPr>
            <w:r>
              <w:rPr>
                <w:sz w:val="24"/>
              </w:rPr>
              <w:t>视源股份</w:t>
            </w:r>
          </w:p>
        </w:tc>
        <w:tc>
          <w:tcPr>
            <w:tcW w:w="2879" w:type="dxa"/>
            <w:vAlign w:val="center"/>
          </w:tcPr>
          <w:p w:rsidR="00345EA6" w:rsidRDefault="00756E0F">
            <w:pPr>
              <w:jc w:val="right"/>
            </w:pPr>
            <w:r>
              <w:rPr>
                <w:sz w:val="24"/>
              </w:rPr>
              <w:t>25,441,033.07</w:t>
            </w:r>
          </w:p>
        </w:tc>
        <w:tc>
          <w:tcPr>
            <w:tcW w:w="1620" w:type="dxa"/>
            <w:vAlign w:val="center"/>
          </w:tcPr>
          <w:p w:rsidR="00345EA6" w:rsidRDefault="00756E0F">
            <w:pPr>
              <w:jc w:val="right"/>
            </w:pPr>
            <w:r>
              <w:rPr>
                <w:sz w:val="24"/>
              </w:rPr>
              <w:t>2.85</w:t>
            </w:r>
          </w:p>
        </w:tc>
      </w:tr>
      <w:tr w:rsidR="00345EA6">
        <w:tc>
          <w:tcPr>
            <w:tcW w:w="869" w:type="dxa"/>
            <w:vAlign w:val="center"/>
          </w:tcPr>
          <w:p w:rsidR="00345EA6" w:rsidRDefault="00756E0F">
            <w:pPr>
              <w:jc w:val="center"/>
            </w:pPr>
            <w:r>
              <w:rPr>
                <w:sz w:val="24"/>
              </w:rPr>
              <w:t>7</w:t>
            </w:r>
          </w:p>
        </w:tc>
        <w:tc>
          <w:tcPr>
            <w:tcW w:w="1650" w:type="dxa"/>
            <w:vAlign w:val="center"/>
          </w:tcPr>
          <w:p w:rsidR="00345EA6" w:rsidRDefault="00756E0F">
            <w:pPr>
              <w:jc w:val="center"/>
            </w:pPr>
            <w:r>
              <w:rPr>
                <w:sz w:val="24"/>
              </w:rPr>
              <w:t>002049</w:t>
            </w:r>
          </w:p>
        </w:tc>
        <w:tc>
          <w:tcPr>
            <w:tcW w:w="1980" w:type="dxa"/>
            <w:vAlign w:val="center"/>
          </w:tcPr>
          <w:p w:rsidR="00345EA6" w:rsidRDefault="00756E0F">
            <w:pPr>
              <w:jc w:val="center"/>
            </w:pPr>
            <w:r>
              <w:rPr>
                <w:sz w:val="24"/>
              </w:rPr>
              <w:t>紫光国微</w:t>
            </w:r>
          </w:p>
        </w:tc>
        <w:tc>
          <w:tcPr>
            <w:tcW w:w="2879" w:type="dxa"/>
            <w:vAlign w:val="center"/>
          </w:tcPr>
          <w:p w:rsidR="00345EA6" w:rsidRDefault="00756E0F">
            <w:pPr>
              <w:jc w:val="right"/>
            </w:pPr>
            <w:r>
              <w:rPr>
                <w:sz w:val="24"/>
              </w:rPr>
              <w:t>22,484,894.30</w:t>
            </w:r>
          </w:p>
        </w:tc>
        <w:tc>
          <w:tcPr>
            <w:tcW w:w="1620" w:type="dxa"/>
            <w:vAlign w:val="center"/>
          </w:tcPr>
          <w:p w:rsidR="00345EA6" w:rsidRDefault="00756E0F">
            <w:pPr>
              <w:jc w:val="right"/>
            </w:pPr>
            <w:r>
              <w:rPr>
                <w:sz w:val="24"/>
              </w:rPr>
              <w:t>2.52</w:t>
            </w:r>
          </w:p>
        </w:tc>
      </w:tr>
      <w:tr w:rsidR="00345EA6">
        <w:tc>
          <w:tcPr>
            <w:tcW w:w="869" w:type="dxa"/>
            <w:vAlign w:val="center"/>
          </w:tcPr>
          <w:p w:rsidR="00345EA6" w:rsidRDefault="00756E0F">
            <w:pPr>
              <w:jc w:val="center"/>
            </w:pPr>
            <w:r>
              <w:rPr>
                <w:sz w:val="24"/>
              </w:rPr>
              <w:t>8</w:t>
            </w:r>
          </w:p>
        </w:tc>
        <w:tc>
          <w:tcPr>
            <w:tcW w:w="1650" w:type="dxa"/>
            <w:vAlign w:val="center"/>
          </w:tcPr>
          <w:p w:rsidR="00345EA6" w:rsidRDefault="00756E0F">
            <w:pPr>
              <w:jc w:val="center"/>
            </w:pPr>
            <w:r>
              <w:rPr>
                <w:sz w:val="24"/>
              </w:rPr>
              <w:t>000725</w:t>
            </w:r>
          </w:p>
        </w:tc>
        <w:tc>
          <w:tcPr>
            <w:tcW w:w="1980" w:type="dxa"/>
            <w:vAlign w:val="center"/>
          </w:tcPr>
          <w:p w:rsidR="00345EA6" w:rsidRDefault="00756E0F">
            <w:pPr>
              <w:jc w:val="center"/>
            </w:pPr>
            <w:r>
              <w:rPr>
                <w:sz w:val="24"/>
              </w:rPr>
              <w:t>京东方</w:t>
            </w:r>
            <w:r>
              <w:rPr>
                <w:sz w:val="24"/>
              </w:rPr>
              <w:t>A</w:t>
            </w:r>
          </w:p>
        </w:tc>
        <w:tc>
          <w:tcPr>
            <w:tcW w:w="2879" w:type="dxa"/>
            <w:vAlign w:val="center"/>
          </w:tcPr>
          <w:p w:rsidR="00345EA6" w:rsidRDefault="00756E0F">
            <w:pPr>
              <w:jc w:val="right"/>
            </w:pPr>
            <w:r>
              <w:rPr>
                <w:sz w:val="24"/>
              </w:rPr>
              <w:t>21,858,605.00</w:t>
            </w:r>
          </w:p>
        </w:tc>
        <w:tc>
          <w:tcPr>
            <w:tcW w:w="1620" w:type="dxa"/>
            <w:vAlign w:val="center"/>
          </w:tcPr>
          <w:p w:rsidR="00345EA6" w:rsidRDefault="00756E0F">
            <w:pPr>
              <w:jc w:val="right"/>
            </w:pPr>
            <w:r>
              <w:rPr>
                <w:sz w:val="24"/>
              </w:rPr>
              <w:t>2.45</w:t>
            </w:r>
          </w:p>
        </w:tc>
      </w:tr>
      <w:tr w:rsidR="00345EA6">
        <w:tc>
          <w:tcPr>
            <w:tcW w:w="869" w:type="dxa"/>
            <w:vAlign w:val="center"/>
          </w:tcPr>
          <w:p w:rsidR="00345EA6" w:rsidRDefault="00756E0F">
            <w:pPr>
              <w:jc w:val="center"/>
            </w:pPr>
            <w:r>
              <w:rPr>
                <w:sz w:val="24"/>
              </w:rPr>
              <w:t>9</w:t>
            </w:r>
          </w:p>
        </w:tc>
        <w:tc>
          <w:tcPr>
            <w:tcW w:w="1650" w:type="dxa"/>
            <w:vAlign w:val="center"/>
          </w:tcPr>
          <w:p w:rsidR="00345EA6" w:rsidRDefault="00756E0F">
            <w:pPr>
              <w:jc w:val="center"/>
            </w:pPr>
            <w:r>
              <w:rPr>
                <w:sz w:val="24"/>
              </w:rPr>
              <w:t>002475</w:t>
            </w:r>
          </w:p>
        </w:tc>
        <w:tc>
          <w:tcPr>
            <w:tcW w:w="1980" w:type="dxa"/>
            <w:vAlign w:val="center"/>
          </w:tcPr>
          <w:p w:rsidR="00345EA6" w:rsidRDefault="00756E0F">
            <w:pPr>
              <w:jc w:val="center"/>
            </w:pPr>
            <w:r>
              <w:rPr>
                <w:sz w:val="24"/>
              </w:rPr>
              <w:t>立讯精密</w:t>
            </w:r>
          </w:p>
        </w:tc>
        <w:tc>
          <w:tcPr>
            <w:tcW w:w="2879" w:type="dxa"/>
            <w:vAlign w:val="center"/>
          </w:tcPr>
          <w:p w:rsidR="00345EA6" w:rsidRDefault="00756E0F">
            <w:pPr>
              <w:jc w:val="right"/>
            </w:pPr>
            <w:r>
              <w:rPr>
                <w:sz w:val="24"/>
              </w:rPr>
              <w:t>21,009,142.75</w:t>
            </w:r>
          </w:p>
        </w:tc>
        <w:tc>
          <w:tcPr>
            <w:tcW w:w="1620" w:type="dxa"/>
            <w:vAlign w:val="center"/>
          </w:tcPr>
          <w:p w:rsidR="00345EA6" w:rsidRDefault="00756E0F">
            <w:pPr>
              <w:jc w:val="right"/>
            </w:pPr>
            <w:r>
              <w:rPr>
                <w:sz w:val="24"/>
              </w:rPr>
              <w:t>2.35</w:t>
            </w:r>
          </w:p>
        </w:tc>
      </w:tr>
      <w:tr w:rsidR="00345EA6">
        <w:tc>
          <w:tcPr>
            <w:tcW w:w="869" w:type="dxa"/>
            <w:vAlign w:val="center"/>
          </w:tcPr>
          <w:p w:rsidR="00345EA6" w:rsidRDefault="00756E0F">
            <w:pPr>
              <w:jc w:val="center"/>
            </w:pPr>
            <w:r>
              <w:rPr>
                <w:sz w:val="24"/>
              </w:rPr>
              <w:t>10</w:t>
            </w:r>
          </w:p>
        </w:tc>
        <w:tc>
          <w:tcPr>
            <w:tcW w:w="1650" w:type="dxa"/>
            <w:vAlign w:val="center"/>
          </w:tcPr>
          <w:p w:rsidR="00345EA6" w:rsidRDefault="00756E0F">
            <w:pPr>
              <w:jc w:val="center"/>
            </w:pPr>
            <w:r>
              <w:rPr>
                <w:sz w:val="24"/>
              </w:rPr>
              <w:t>300014</w:t>
            </w:r>
          </w:p>
        </w:tc>
        <w:tc>
          <w:tcPr>
            <w:tcW w:w="1980" w:type="dxa"/>
            <w:vAlign w:val="center"/>
          </w:tcPr>
          <w:p w:rsidR="00345EA6" w:rsidRDefault="00756E0F">
            <w:pPr>
              <w:jc w:val="center"/>
            </w:pPr>
            <w:r>
              <w:rPr>
                <w:sz w:val="24"/>
              </w:rPr>
              <w:t>亿纬锂能</w:t>
            </w:r>
          </w:p>
        </w:tc>
        <w:tc>
          <w:tcPr>
            <w:tcW w:w="2879" w:type="dxa"/>
            <w:vAlign w:val="center"/>
          </w:tcPr>
          <w:p w:rsidR="00345EA6" w:rsidRDefault="00756E0F">
            <w:pPr>
              <w:jc w:val="right"/>
            </w:pPr>
            <w:r>
              <w:rPr>
                <w:sz w:val="24"/>
              </w:rPr>
              <w:t>20,987,739.32</w:t>
            </w:r>
          </w:p>
        </w:tc>
        <w:tc>
          <w:tcPr>
            <w:tcW w:w="1620" w:type="dxa"/>
            <w:vAlign w:val="center"/>
          </w:tcPr>
          <w:p w:rsidR="00345EA6" w:rsidRDefault="00756E0F">
            <w:pPr>
              <w:jc w:val="right"/>
            </w:pPr>
            <w:r>
              <w:rPr>
                <w:sz w:val="24"/>
              </w:rPr>
              <w:t>2.35</w:t>
            </w:r>
          </w:p>
        </w:tc>
      </w:tr>
      <w:tr w:rsidR="00345EA6">
        <w:tc>
          <w:tcPr>
            <w:tcW w:w="869" w:type="dxa"/>
            <w:vAlign w:val="center"/>
          </w:tcPr>
          <w:p w:rsidR="00345EA6" w:rsidRDefault="00756E0F">
            <w:pPr>
              <w:jc w:val="center"/>
            </w:pPr>
            <w:r>
              <w:rPr>
                <w:sz w:val="24"/>
              </w:rPr>
              <w:t>11</w:t>
            </w:r>
          </w:p>
        </w:tc>
        <w:tc>
          <w:tcPr>
            <w:tcW w:w="1650" w:type="dxa"/>
            <w:vAlign w:val="center"/>
          </w:tcPr>
          <w:p w:rsidR="00345EA6" w:rsidRDefault="00756E0F">
            <w:pPr>
              <w:jc w:val="center"/>
            </w:pPr>
            <w:r>
              <w:rPr>
                <w:sz w:val="24"/>
              </w:rPr>
              <w:t>002837</w:t>
            </w:r>
          </w:p>
        </w:tc>
        <w:tc>
          <w:tcPr>
            <w:tcW w:w="1980" w:type="dxa"/>
            <w:vAlign w:val="center"/>
          </w:tcPr>
          <w:p w:rsidR="00345EA6" w:rsidRDefault="00756E0F">
            <w:pPr>
              <w:jc w:val="center"/>
            </w:pPr>
            <w:r>
              <w:rPr>
                <w:sz w:val="24"/>
              </w:rPr>
              <w:t>英维克</w:t>
            </w:r>
          </w:p>
        </w:tc>
        <w:tc>
          <w:tcPr>
            <w:tcW w:w="2879" w:type="dxa"/>
            <w:vAlign w:val="center"/>
          </w:tcPr>
          <w:p w:rsidR="00345EA6" w:rsidRDefault="00756E0F">
            <w:pPr>
              <w:jc w:val="right"/>
            </w:pPr>
            <w:r>
              <w:rPr>
                <w:sz w:val="24"/>
              </w:rPr>
              <w:t>20,830,941.81</w:t>
            </w:r>
          </w:p>
        </w:tc>
        <w:tc>
          <w:tcPr>
            <w:tcW w:w="1620" w:type="dxa"/>
            <w:vAlign w:val="center"/>
          </w:tcPr>
          <w:p w:rsidR="00345EA6" w:rsidRDefault="00756E0F">
            <w:pPr>
              <w:jc w:val="right"/>
            </w:pPr>
            <w:r>
              <w:rPr>
                <w:sz w:val="24"/>
              </w:rPr>
              <w:t>2.33</w:t>
            </w:r>
          </w:p>
        </w:tc>
      </w:tr>
      <w:tr w:rsidR="00345EA6">
        <w:tc>
          <w:tcPr>
            <w:tcW w:w="869" w:type="dxa"/>
            <w:vAlign w:val="center"/>
          </w:tcPr>
          <w:p w:rsidR="00345EA6" w:rsidRDefault="00756E0F">
            <w:pPr>
              <w:jc w:val="center"/>
            </w:pPr>
            <w:r>
              <w:rPr>
                <w:sz w:val="24"/>
              </w:rPr>
              <w:t>12</w:t>
            </w:r>
          </w:p>
        </w:tc>
        <w:tc>
          <w:tcPr>
            <w:tcW w:w="1650" w:type="dxa"/>
            <w:vAlign w:val="center"/>
          </w:tcPr>
          <w:p w:rsidR="00345EA6" w:rsidRDefault="00756E0F">
            <w:pPr>
              <w:jc w:val="center"/>
            </w:pPr>
            <w:r>
              <w:rPr>
                <w:sz w:val="24"/>
              </w:rPr>
              <w:t>002123</w:t>
            </w:r>
          </w:p>
        </w:tc>
        <w:tc>
          <w:tcPr>
            <w:tcW w:w="1980" w:type="dxa"/>
            <w:vAlign w:val="center"/>
          </w:tcPr>
          <w:p w:rsidR="00345EA6" w:rsidRDefault="00756E0F">
            <w:pPr>
              <w:jc w:val="center"/>
            </w:pPr>
            <w:r>
              <w:rPr>
                <w:sz w:val="24"/>
              </w:rPr>
              <w:t>梦网集团</w:t>
            </w:r>
          </w:p>
        </w:tc>
        <w:tc>
          <w:tcPr>
            <w:tcW w:w="2879" w:type="dxa"/>
            <w:vAlign w:val="center"/>
          </w:tcPr>
          <w:p w:rsidR="00345EA6" w:rsidRDefault="00756E0F">
            <w:pPr>
              <w:jc w:val="right"/>
            </w:pPr>
            <w:r>
              <w:rPr>
                <w:sz w:val="24"/>
              </w:rPr>
              <w:t>20,748,709.00</w:t>
            </w:r>
          </w:p>
        </w:tc>
        <w:tc>
          <w:tcPr>
            <w:tcW w:w="1620" w:type="dxa"/>
            <w:vAlign w:val="center"/>
          </w:tcPr>
          <w:p w:rsidR="00345EA6" w:rsidRDefault="00756E0F">
            <w:pPr>
              <w:jc w:val="right"/>
            </w:pPr>
            <w:r>
              <w:rPr>
                <w:sz w:val="24"/>
              </w:rPr>
              <w:t>2.32</w:t>
            </w:r>
          </w:p>
        </w:tc>
      </w:tr>
      <w:tr w:rsidR="00345EA6">
        <w:tc>
          <w:tcPr>
            <w:tcW w:w="869" w:type="dxa"/>
            <w:vAlign w:val="center"/>
          </w:tcPr>
          <w:p w:rsidR="00345EA6" w:rsidRDefault="00756E0F">
            <w:pPr>
              <w:jc w:val="center"/>
            </w:pPr>
            <w:r>
              <w:rPr>
                <w:sz w:val="24"/>
              </w:rPr>
              <w:t>13</w:t>
            </w:r>
          </w:p>
        </w:tc>
        <w:tc>
          <w:tcPr>
            <w:tcW w:w="1650" w:type="dxa"/>
            <w:vAlign w:val="center"/>
          </w:tcPr>
          <w:p w:rsidR="00345EA6" w:rsidRDefault="00756E0F">
            <w:pPr>
              <w:jc w:val="center"/>
            </w:pPr>
            <w:r>
              <w:rPr>
                <w:sz w:val="24"/>
              </w:rPr>
              <w:t>000002</w:t>
            </w:r>
          </w:p>
        </w:tc>
        <w:tc>
          <w:tcPr>
            <w:tcW w:w="1980" w:type="dxa"/>
            <w:vAlign w:val="center"/>
          </w:tcPr>
          <w:p w:rsidR="00345EA6" w:rsidRDefault="00756E0F">
            <w:pPr>
              <w:jc w:val="center"/>
            </w:pPr>
            <w:r>
              <w:rPr>
                <w:sz w:val="24"/>
              </w:rPr>
              <w:t>万科</w:t>
            </w:r>
            <w:r>
              <w:rPr>
                <w:sz w:val="24"/>
              </w:rPr>
              <w:t>A</w:t>
            </w:r>
          </w:p>
        </w:tc>
        <w:tc>
          <w:tcPr>
            <w:tcW w:w="2879" w:type="dxa"/>
            <w:vAlign w:val="center"/>
          </w:tcPr>
          <w:p w:rsidR="00345EA6" w:rsidRDefault="00756E0F">
            <w:pPr>
              <w:jc w:val="right"/>
            </w:pPr>
            <w:r>
              <w:rPr>
                <w:sz w:val="24"/>
              </w:rPr>
              <w:t>19,457,250.84</w:t>
            </w:r>
          </w:p>
        </w:tc>
        <w:tc>
          <w:tcPr>
            <w:tcW w:w="1620" w:type="dxa"/>
            <w:vAlign w:val="center"/>
          </w:tcPr>
          <w:p w:rsidR="00345EA6" w:rsidRDefault="00756E0F">
            <w:pPr>
              <w:jc w:val="right"/>
            </w:pPr>
            <w:r>
              <w:rPr>
                <w:sz w:val="24"/>
              </w:rPr>
              <w:t>2.18</w:t>
            </w:r>
          </w:p>
        </w:tc>
      </w:tr>
      <w:tr w:rsidR="00345EA6">
        <w:tc>
          <w:tcPr>
            <w:tcW w:w="869" w:type="dxa"/>
            <w:vAlign w:val="center"/>
          </w:tcPr>
          <w:p w:rsidR="00345EA6" w:rsidRDefault="00756E0F">
            <w:pPr>
              <w:jc w:val="center"/>
            </w:pPr>
            <w:r>
              <w:rPr>
                <w:sz w:val="24"/>
              </w:rPr>
              <w:t>14</w:t>
            </w:r>
          </w:p>
        </w:tc>
        <w:tc>
          <w:tcPr>
            <w:tcW w:w="1650" w:type="dxa"/>
            <w:vAlign w:val="center"/>
          </w:tcPr>
          <w:p w:rsidR="00345EA6" w:rsidRDefault="00756E0F">
            <w:pPr>
              <w:jc w:val="center"/>
            </w:pPr>
            <w:r>
              <w:rPr>
                <w:sz w:val="24"/>
              </w:rPr>
              <w:t>300463</w:t>
            </w:r>
          </w:p>
        </w:tc>
        <w:tc>
          <w:tcPr>
            <w:tcW w:w="1980" w:type="dxa"/>
            <w:vAlign w:val="center"/>
          </w:tcPr>
          <w:p w:rsidR="00345EA6" w:rsidRDefault="00756E0F">
            <w:pPr>
              <w:jc w:val="center"/>
            </w:pPr>
            <w:r>
              <w:rPr>
                <w:sz w:val="24"/>
              </w:rPr>
              <w:t>迈克生物</w:t>
            </w:r>
          </w:p>
        </w:tc>
        <w:tc>
          <w:tcPr>
            <w:tcW w:w="2879" w:type="dxa"/>
            <w:vAlign w:val="center"/>
          </w:tcPr>
          <w:p w:rsidR="00345EA6" w:rsidRDefault="00756E0F">
            <w:pPr>
              <w:jc w:val="right"/>
            </w:pPr>
            <w:r>
              <w:rPr>
                <w:sz w:val="24"/>
              </w:rPr>
              <w:t>18,996,844.56</w:t>
            </w:r>
          </w:p>
        </w:tc>
        <w:tc>
          <w:tcPr>
            <w:tcW w:w="1620" w:type="dxa"/>
            <w:vAlign w:val="center"/>
          </w:tcPr>
          <w:p w:rsidR="00345EA6" w:rsidRDefault="00756E0F">
            <w:pPr>
              <w:jc w:val="right"/>
            </w:pPr>
            <w:r>
              <w:rPr>
                <w:sz w:val="24"/>
              </w:rPr>
              <w:t>2.13</w:t>
            </w:r>
          </w:p>
        </w:tc>
      </w:tr>
      <w:tr w:rsidR="00345EA6">
        <w:tc>
          <w:tcPr>
            <w:tcW w:w="869" w:type="dxa"/>
            <w:vAlign w:val="center"/>
          </w:tcPr>
          <w:p w:rsidR="00345EA6" w:rsidRDefault="00756E0F">
            <w:pPr>
              <w:jc w:val="center"/>
            </w:pPr>
            <w:r>
              <w:rPr>
                <w:sz w:val="24"/>
              </w:rPr>
              <w:t>15</w:t>
            </w:r>
          </w:p>
        </w:tc>
        <w:tc>
          <w:tcPr>
            <w:tcW w:w="1650" w:type="dxa"/>
            <w:vAlign w:val="center"/>
          </w:tcPr>
          <w:p w:rsidR="00345EA6" w:rsidRDefault="00756E0F">
            <w:pPr>
              <w:jc w:val="center"/>
            </w:pPr>
            <w:r>
              <w:rPr>
                <w:sz w:val="24"/>
              </w:rPr>
              <w:t>688169</w:t>
            </w:r>
          </w:p>
        </w:tc>
        <w:tc>
          <w:tcPr>
            <w:tcW w:w="1980" w:type="dxa"/>
            <w:vAlign w:val="center"/>
          </w:tcPr>
          <w:p w:rsidR="00345EA6" w:rsidRDefault="00756E0F">
            <w:pPr>
              <w:jc w:val="center"/>
            </w:pPr>
            <w:r>
              <w:rPr>
                <w:sz w:val="24"/>
              </w:rPr>
              <w:t>石头科技</w:t>
            </w:r>
          </w:p>
        </w:tc>
        <w:tc>
          <w:tcPr>
            <w:tcW w:w="2879" w:type="dxa"/>
            <w:vAlign w:val="center"/>
          </w:tcPr>
          <w:p w:rsidR="00345EA6" w:rsidRDefault="00756E0F">
            <w:pPr>
              <w:jc w:val="right"/>
            </w:pPr>
            <w:r>
              <w:rPr>
                <w:sz w:val="24"/>
              </w:rPr>
              <w:t>16,824,030.47</w:t>
            </w:r>
          </w:p>
        </w:tc>
        <w:tc>
          <w:tcPr>
            <w:tcW w:w="1620" w:type="dxa"/>
            <w:vAlign w:val="center"/>
          </w:tcPr>
          <w:p w:rsidR="00345EA6" w:rsidRDefault="00756E0F">
            <w:pPr>
              <w:jc w:val="right"/>
            </w:pPr>
            <w:r>
              <w:rPr>
                <w:sz w:val="24"/>
              </w:rPr>
              <w:t>1.88</w:t>
            </w:r>
          </w:p>
        </w:tc>
      </w:tr>
      <w:tr w:rsidR="00345EA6">
        <w:tc>
          <w:tcPr>
            <w:tcW w:w="869" w:type="dxa"/>
            <w:vAlign w:val="center"/>
          </w:tcPr>
          <w:p w:rsidR="00345EA6" w:rsidRDefault="00756E0F">
            <w:pPr>
              <w:jc w:val="center"/>
            </w:pPr>
            <w:r>
              <w:rPr>
                <w:sz w:val="24"/>
              </w:rPr>
              <w:t>16</w:t>
            </w:r>
          </w:p>
        </w:tc>
        <w:tc>
          <w:tcPr>
            <w:tcW w:w="1650" w:type="dxa"/>
            <w:vAlign w:val="center"/>
          </w:tcPr>
          <w:p w:rsidR="00345EA6" w:rsidRDefault="00756E0F">
            <w:pPr>
              <w:jc w:val="center"/>
            </w:pPr>
            <w:r>
              <w:rPr>
                <w:sz w:val="24"/>
              </w:rPr>
              <w:t>000998</w:t>
            </w:r>
          </w:p>
        </w:tc>
        <w:tc>
          <w:tcPr>
            <w:tcW w:w="1980" w:type="dxa"/>
            <w:vAlign w:val="center"/>
          </w:tcPr>
          <w:p w:rsidR="00345EA6" w:rsidRDefault="00756E0F">
            <w:pPr>
              <w:jc w:val="center"/>
            </w:pPr>
            <w:r>
              <w:rPr>
                <w:sz w:val="24"/>
              </w:rPr>
              <w:t>隆平高科</w:t>
            </w:r>
          </w:p>
        </w:tc>
        <w:tc>
          <w:tcPr>
            <w:tcW w:w="2879" w:type="dxa"/>
            <w:vAlign w:val="center"/>
          </w:tcPr>
          <w:p w:rsidR="00345EA6" w:rsidRDefault="00756E0F">
            <w:pPr>
              <w:jc w:val="right"/>
            </w:pPr>
            <w:r>
              <w:rPr>
                <w:sz w:val="24"/>
              </w:rPr>
              <w:t>16,799,993.00</w:t>
            </w:r>
          </w:p>
        </w:tc>
        <w:tc>
          <w:tcPr>
            <w:tcW w:w="1620" w:type="dxa"/>
            <w:vAlign w:val="center"/>
          </w:tcPr>
          <w:p w:rsidR="00345EA6" w:rsidRDefault="00756E0F">
            <w:pPr>
              <w:jc w:val="right"/>
            </w:pPr>
            <w:r>
              <w:rPr>
                <w:sz w:val="24"/>
              </w:rPr>
              <w:t>1.88</w:t>
            </w:r>
          </w:p>
        </w:tc>
      </w:tr>
      <w:tr w:rsidR="00345EA6">
        <w:tc>
          <w:tcPr>
            <w:tcW w:w="869" w:type="dxa"/>
            <w:vAlign w:val="center"/>
          </w:tcPr>
          <w:p w:rsidR="00345EA6" w:rsidRDefault="00756E0F">
            <w:pPr>
              <w:jc w:val="center"/>
            </w:pPr>
            <w:r>
              <w:rPr>
                <w:sz w:val="24"/>
              </w:rPr>
              <w:t>17</w:t>
            </w:r>
          </w:p>
        </w:tc>
        <w:tc>
          <w:tcPr>
            <w:tcW w:w="1650" w:type="dxa"/>
            <w:vAlign w:val="center"/>
          </w:tcPr>
          <w:p w:rsidR="00345EA6" w:rsidRDefault="00756E0F">
            <w:pPr>
              <w:jc w:val="center"/>
            </w:pPr>
            <w:r>
              <w:rPr>
                <w:sz w:val="24"/>
              </w:rPr>
              <w:t>000802</w:t>
            </w:r>
          </w:p>
        </w:tc>
        <w:tc>
          <w:tcPr>
            <w:tcW w:w="1980" w:type="dxa"/>
            <w:vAlign w:val="center"/>
          </w:tcPr>
          <w:p w:rsidR="00345EA6" w:rsidRDefault="00756E0F">
            <w:pPr>
              <w:jc w:val="center"/>
            </w:pPr>
            <w:r>
              <w:rPr>
                <w:sz w:val="24"/>
              </w:rPr>
              <w:t>北京文化</w:t>
            </w:r>
          </w:p>
        </w:tc>
        <w:tc>
          <w:tcPr>
            <w:tcW w:w="2879" w:type="dxa"/>
            <w:vAlign w:val="center"/>
          </w:tcPr>
          <w:p w:rsidR="00345EA6" w:rsidRDefault="00756E0F">
            <w:pPr>
              <w:jc w:val="right"/>
            </w:pPr>
            <w:r>
              <w:rPr>
                <w:sz w:val="24"/>
              </w:rPr>
              <w:t>15,762,033.66</w:t>
            </w:r>
          </w:p>
        </w:tc>
        <w:tc>
          <w:tcPr>
            <w:tcW w:w="1620" w:type="dxa"/>
            <w:vAlign w:val="center"/>
          </w:tcPr>
          <w:p w:rsidR="00345EA6" w:rsidRDefault="00756E0F">
            <w:pPr>
              <w:jc w:val="right"/>
            </w:pPr>
            <w:r>
              <w:rPr>
                <w:sz w:val="24"/>
              </w:rPr>
              <w:t>1.77</w:t>
            </w:r>
          </w:p>
        </w:tc>
      </w:tr>
      <w:tr w:rsidR="00345EA6">
        <w:tc>
          <w:tcPr>
            <w:tcW w:w="869" w:type="dxa"/>
            <w:vAlign w:val="center"/>
          </w:tcPr>
          <w:p w:rsidR="00345EA6" w:rsidRDefault="00756E0F">
            <w:pPr>
              <w:jc w:val="center"/>
            </w:pPr>
            <w:r>
              <w:rPr>
                <w:sz w:val="24"/>
              </w:rPr>
              <w:t>18</w:t>
            </w:r>
          </w:p>
        </w:tc>
        <w:tc>
          <w:tcPr>
            <w:tcW w:w="1650" w:type="dxa"/>
            <w:vAlign w:val="center"/>
          </w:tcPr>
          <w:p w:rsidR="00345EA6" w:rsidRDefault="00756E0F">
            <w:pPr>
              <w:jc w:val="center"/>
            </w:pPr>
            <w:r>
              <w:rPr>
                <w:sz w:val="24"/>
              </w:rPr>
              <w:t>000651</w:t>
            </w:r>
          </w:p>
        </w:tc>
        <w:tc>
          <w:tcPr>
            <w:tcW w:w="1980" w:type="dxa"/>
            <w:vAlign w:val="center"/>
          </w:tcPr>
          <w:p w:rsidR="00345EA6" w:rsidRDefault="00756E0F">
            <w:pPr>
              <w:jc w:val="center"/>
            </w:pPr>
            <w:r>
              <w:rPr>
                <w:sz w:val="24"/>
              </w:rPr>
              <w:t>格力电器</w:t>
            </w:r>
          </w:p>
        </w:tc>
        <w:tc>
          <w:tcPr>
            <w:tcW w:w="2879" w:type="dxa"/>
            <w:vAlign w:val="center"/>
          </w:tcPr>
          <w:p w:rsidR="00345EA6" w:rsidRDefault="00756E0F">
            <w:pPr>
              <w:jc w:val="right"/>
            </w:pPr>
            <w:r>
              <w:rPr>
                <w:sz w:val="24"/>
              </w:rPr>
              <w:t>15,438,313.64</w:t>
            </w:r>
          </w:p>
        </w:tc>
        <w:tc>
          <w:tcPr>
            <w:tcW w:w="1620" w:type="dxa"/>
            <w:vAlign w:val="center"/>
          </w:tcPr>
          <w:p w:rsidR="00345EA6" w:rsidRDefault="00756E0F">
            <w:pPr>
              <w:jc w:val="right"/>
            </w:pPr>
            <w:r>
              <w:rPr>
                <w:sz w:val="24"/>
              </w:rPr>
              <w:t>1.73</w:t>
            </w:r>
          </w:p>
        </w:tc>
      </w:tr>
      <w:tr w:rsidR="00345EA6">
        <w:tc>
          <w:tcPr>
            <w:tcW w:w="869" w:type="dxa"/>
            <w:vAlign w:val="center"/>
          </w:tcPr>
          <w:p w:rsidR="00345EA6" w:rsidRDefault="00756E0F">
            <w:pPr>
              <w:jc w:val="center"/>
            </w:pPr>
            <w:r>
              <w:rPr>
                <w:sz w:val="24"/>
              </w:rPr>
              <w:t>19</w:t>
            </w:r>
          </w:p>
        </w:tc>
        <w:tc>
          <w:tcPr>
            <w:tcW w:w="1650" w:type="dxa"/>
            <w:vAlign w:val="center"/>
          </w:tcPr>
          <w:p w:rsidR="00345EA6" w:rsidRDefault="00756E0F">
            <w:pPr>
              <w:jc w:val="center"/>
            </w:pPr>
            <w:r>
              <w:rPr>
                <w:sz w:val="24"/>
              </w:rPr>
              <w:t>603195</w:t>
            </w:r>
          </w:p>
        </w:tc>
        <w:tc>
          <w:tcPr>
            <w:tcW w:w="1980" w:type="dxa"/>
            <w:vAlign w:val="center"/>
          </w:tcPr>
          <w:p w:rsidR="00345EA6" w:rsidRDefault="00756E0F">
            <w:pPr>
              <w:jc w:val="center"/>
            </w:pPr>
            <w:r>
              <w:rPr>
                <w:sz w:val="24"/>
              </w:rPr>
              <w:t>公牛集团</w:t>
            </w:r>
          </w:p>
        </w:tc>
        <w:tc>
          <w:tcPr>
            <w:tcW w:w="2879" w:type="dxa"/>
            <w:vAlign w:val="center"/>
          </w:tcPr>
          <w:p w:rsidR="00345EA6" w:rsidRDefault="00756E0F">
            <w:pPr>
              <w:jc w:val="right"/>
            </w:pPr>
            <w:r>
              <w:rPr>
                <w:sz w:val="24"/>
              </w:rPr>
              <w:t>14,041,251.24</w:t>
            </w:r>
          </w:p>
        </w:tc>
        <w:tc>
          <w:tcPr>
            <w:tcW w:w="1620" w:type="dxa"/>
            <w:vAlign w:val="center"/>
          </w:tcPr>
          <w:p w:rsidR="00345EA6" w:rsidRDefault="00756E0F">
            <w:pPr>
              <w:jc w:val="right"/>
            </w:pPr>
            <w:r>
              <w:rPr>
                <w:sz w:val="24"/>
              </w:rPr>
              <w:t>1.57</w:t>
            </w:r>
          </w:p>
        </w:tc>
      </w:tr>
      <w:tr w:rsidR="00345EA6">
        <w:tc>
          <w:tcPr>
            <w:tcW w:w="869" w:type="dxa"/>
            <w:vAlign w:val="center"/>
          </w:tcPr>
          <w:p w:rsidR="00345EA6" w:rsidRDefault="00756E0F">
            <w:pPr>
              <w:jc w:val="center"/>
            </w:pPr>
            <w:r>
              <w:rPr>
                <w:sz w:val="24"/>
              </w:rPr>
              <w:t>20</w:t>
            </w:r>
          </w:p>
        </w:tc>
        <w:tc>
          <w:tcPr>
            <w:tcW w:w="1650" w:type="dxa"/>
            <w:vAlign w:val="center"/>
          </w:tcPr>
          <w:p w:rsidR="00345EA6" w:rsidRDefault="00756E0F">
            <w:pPr>
              <w:jc w:val="center"/>
            </w:pPr>
            <w:r>
              <w:rPr>
                <w:sz w:val="24"/>
              </w:rPr>
              <w:t>300170</w:t>
            </w:r>
          </w:p>
        </w:tc>
        <w:tc>
          <w:tcPr>
            <w:tcW w:w="1980" w:type="dxa"/>
            <w:vAlign w:val="center"/>
          </w:tcPr>
          <w:p w:rsidR="00345EA6" w:rsidRDefault="00756E0F">
            <w:pPr>
              <w:jc w:val="center"/>
            </w:pPr>
            <w:r>
              <w:rPr>
                <w:sz w:val="24"/>
              </w:rPr>
              <w:t>汉得信息</w:t>
            </w:r>
          </w:p>
        </w:tc>
        <w:tc>
          <w:tcPr>
            <w:tcW w:w="2879" w:type="dxa"/>
            <w:vAlign w:val="center"/>
          </w:tcPr>
          <w:p w:rsidR="00345EA6" w:rsidRDefault="00756E0F">
            <w:pPr>
              <w:jc w:val="right"/>
            </w:pPr>
            <w:r>
              <w:rPr>
                <w:sz w:val="24"/>
              </w:rPr>
              <w:t>13,849,292.54</w:t>
            </w:r>
          </w:p>
        </w:tc>
        <w:tc>
          <w:tcPr>
            <w:tcW w:w="1620" w:type="dxa"/>
            <w:vAlign w:val="center"/>
          </w:tcPr>
          <w:p w:rsidR="00345EA6" w:rsidRDefault="00756E0F">
            <w:pPr>
              <w:jc w:val="right"/>
            </w:pPr>
            <w:r>
              <w:rPr>
                <w:sz w:val="24"/>
              </w:rPr>
              <w:t>1.55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期末</w:t>
            </w:r>
            <w:r w:rsidRPr="005312D8">
              <w:rPr>
                <w:color w:val="000000"/>
                <w:sz w:val="24"/>
              </w:rPr>
              <w:t>基金资产净值比例（％）</w:t>
            </w:r>
          </w:p>
        </w:tc>
      </w:tr>
      <w:tr w:rsidR="00345EA6">
        <w:tc>
          <w:tcPr>
            <w:tcW w:w="869" w:type="dxa"/>
            <w:vAlign w:val="center"/>
          </w:tcPr>
          <w:p w:rsidR="00345EA6" w:rsidRDefault="00756E0F">
            <w:pPr>
              <w:jc w:val="center"/>
            </w:pPr>
            <w:r>
              <w:rPr>
                <w:color w:val="000000"/>
                <w:sz w:val="24"/>
              </w:rPr>
              <w:t>1</w:t>
            </w:r>
          </w:p>
        </w:tc>
        <w:tc>
          <w:tcPr>
            <w:tcW w:w="1650" w:type="dxa"/>
            <w:vAlign w:val="center"/>
          </w:tcPr>
          <w:p w:rsidR="00345EA6" w:rsidRDefault="00756E0F">
            <w:pPr>
              <w:jc w:val="center"/>
            </w:pPr>
            <w:r>
              <w:rPr>
                <w:color w:val="000000"/>
                <w:sz w:val="24"/>
              </w:rPr>
              <w:t>300059</w:t>
            </w:r>
          </w:p>
        </w:tc>
        <w:tc>
          <w:tcPr>
            <w:tcW w:w="1980" w:type="dxa"/>
            <w:vAlign w:val="center"/>
          </w:tcPr>
          <w:p w:rsidR="00345EA6" w:rsidRDefault="00756E0F">
            <w:pPr>
              <w:jc w:val="center"/>
            </w:pPr>
            <w:r>
              <w:rPr>
                <w:color w:val="000000"/>
                <w:sz w:val="24"/>
              </w:rPr>
              <w:t>东方财富</w:t>
            </w:r>
          </w:p>
        </w:tc>
        <w:tc>
          <w:tcPr>
            <w:tcW w:w="2879" w:type="dxa"/>
            <w:vAlign w:val="center"/>
          </w:tcPr>
          <w:p w:rsidR="00345EA6" w:rsidRDefault="00756E0F">
            <w:pPr>
              <w:jc w:val="right"/>
            </w:pPr>
            <w:r>
              <w:rPr>
                <w:color w:val="000000"/>
                <w:sz w:val="24"/>
              </w:rPr>
              <w:t>34,953,986.41</w:t>
            </w:r>
          </w:p>
        </w:tc>
        <w:tc>
          <w:tcPr>
            <w:tcW w:w="1620" w:type="dxa"/>
            <w:vAlign w:val="center"/>
          </w:tcPr>
          <w:p w:rsidR="00345EA6" w:rsidRDefault="00756E0F">
            <w:pPr>
              <w:jc w:val="right"/>
            </w:pPr>
            <w:r>
              <w:rPr>
                <w:color w:val="000000"/>
                <w:sz w:val="24"/>
              </w:rPr>
              <w:t>3.92</w:t>
            </w:r>
          </w:p>
        </w:tc>
      </w:tr>
      <w:tr w:rsidR="00345EA6">
        <w:tc>
          <w:tcPr>
            <w:tcW w:w="869" w:type="dxa"/>
            <w:vAlign w:val="center"/>
          </w:tcPr>
          <w:p w:rsidR="00345EA6" w:rsidRDefault="00756E0F">
            <w:pPr>
              <w:jc w:val="center"/>
            </w:pPr>
            <w:r>
              <w:rPr>
                <w:color w:val="000000"/>
                <w:sz w:val="24"/>
              </w:rPr>
              <w:t>2</w:t>
            </w:r>
          </w:p>
        </w:tc>
        <w:tc>
          <w:tcPr>
            <w:tcW w:w="1650" w:type="dxa"/>
            <w:vAlign w:val="center"/>
          </w:tcPr>
          <w:p w:rsidR="00345EA6" w:rsidRDefault="00756E0F">
            <w:pPr>
              <w:jc w:val="center"/>
            </w:pPr>
            <w:r>
              <w:rPr>
                <w:color w:val="000000"/>
                <w:sz w:val="24"/>
              </w:rPr>
              <w:t>603186</w:t>
            </w:r>
          </w:p>
        </w:tc>
        <w:tc>
          <w:tcPr>
            <w:tcW w:w="1980" w:type="dxa"/>
            <w:vAlign w:val="center"/>
          </w:tcPr>
          <w:p w:rsidR="00345EA6" w:rsidRDefault="00756E0F">
            <w:pPr>
              <w:jc w:val="center"/>
            </w:pPr>
            <w:r>
              <w:rPr>
                <w:color w:val="000000"/>
                <w:sz w:val="24"/>
              </w:rPr>
              <w:t>华正新材</w:t>
            </w:r>
          </w:p>
        </w:tc>
        <w:tc>
          <w:tcPr>
            <w:tcW w:w="2879" w:type="dxa"/>
            <w:vAlign w:val="center"/>
          </w:tcPr>
          <w:p w:rsidR="00345EA6" w:rsidRDefault="00756E0F">
            <w:pPr>
              <w:jc w:val="right"/>
            </w:pPr>
            <w:r>
              <w:rPr>
                <w:color w:val="000000"/>
                <w:sz w:val="24"/>
              </w:rPr>
              <w:t>21,445,399.15</w:t>
            </w:r>
          </w:p>
        </w:tc>
        <w:tc>
          <w:tcPr>
            <w:tcW w:w="1620" w:type="dxa"/>
            <w:vAlign w:val="center"/>
          </w:tcPr>
          <w:p w:rsidR="00345EA6" w:rsidRDefault="00756E0F">
            <w:pPr>
              <w:jc w:val="right"/>
            </w:pPr>
            <w:r>
              <w:rPr>
                <w:color w:val="000000"/>
                <w:sz w:val="24"/>
              </w:rPr>
              <w:t>2.40</w:t>
            </w:r>
          </w:p>
        </w:tc>
      </w:tr>
      <w:tr w:rsidR="00345EA6">
        <w:tc>
          <w:tcPr>
            <w:tcW w:w="869" w:type="dxa"/>
            <w:vAlign w:val="center"/>
          </w:tcPr>
          <w:p w:rsidR="00345EA6" w:rsidRDefault="00756E0F">
            <w:pPr>
              <w:jc w:val="center"/>
            </w:pPr>
            <w:r>
              <w:rPr>
                <w:color w:val="000000"/>
                <w:sz w:val="24"/>
              </w:rPr>
              <w:t>3</w:t>
            </w:r>
          </w:p>
        </w:tc>
        <w:tc>
          <w:tcPr>
            <w:tcW w:w="1650" w:type="dxa"/>
            <w:vAlign w:val="center"/>
          </w:tcPr>
          <w:p w:rsidR="00345EA6" w:rsidRDefault="00756E0F">
            <w:pPr>
              <w:jc w:val="center"/>
            </w:pPr>
            <w:r>
              <w:rPr>
                <w:color w:val="000000"/>
                <w:sz w:val="24"/>
              </w:rPr>
              <w:t>002123</w:t>
            </w:r>
          </w:p>
        </w:tc>
        <w:tc>
          <w:tcPr>
            <w:tcW w:w="1980" w:type="dxa"/>
            <w:vAlign w:val="center"/>
          </w:tcPr>
          <w:p w:rsidR="00345EA6" w:rsidRDefault="00756E0F">
            <w:pPr>
              <w:jc w:val="center"/>
            </w:pPr>
            <w:r>
              <w:rPr>
                <w:color w:val="000000"/>
                <w:sz w:val="24"/>
              </w:rPr>
              <w:t>梦网集团</w:t>
            </w:r>
          </w:p>
        </w:tc>
        <w:tc>
          <w:tcPr>
            <w:tcW w:w="2879" w:type="dxa"/>
            <w:vAlign w:val="center"/>
          </w:tcPr>
          <w:p w:rsidR="00345EA6" w:rsidRDefault="00756E0F">
            <w:pPr>
              <w:jc w:val="right"/>
            </w:pPr>
            <w:r>
              <w:rPr>
                <w:color w:val="000000"/>
                <w:sz w:val="24"/>
              </w:rPr>
              <w:t>19,397,833.80</w:t>
            </w:r>
          </w:p>
        </w:tc>
        <w:tc>
          <w:tcPr>
            <w:tcW w:w="1620" w:type="dxa"/>
            <w:vAlign w:val="center"/>
          </w:tcPr>
          <w:p w:rsidR="00345EA6" w:rsidRDefault="00756E0F">
            <w:pPr>
              <w:jc w:val="right"/>
            </w:pPr>
            <w:r>
              <w:rPr>
                <w:color w:val="000000"/>
                <w:sz w:val="24"/>
              </w:rPr>
              <w:t>2.17</w:t>
            </w:r>
          </w:p>
        </w:tc>
      </w:tr>
      <w:tr w:rsidR="00345EA6">
        <w:tc>
          <w:tcPr>
            <w:tcW w:w="869" w:type="dxa"/>
            <w:vAlign w:val="center"/>
          </w:tcPr>
          <w:p w:rsidR="00345EA6" w:rsidRDefault="00756E0F">
            <w:pPr>
              <w:jc w:val="center"/>
            </w:pPr>
            <w:r>
              <w:rPr>
                <w:color w:val="000000"/>
                <w:sz w:val="24"/>
              </w:rPr>
              <w:t>4</w:t>
            </w:r>
          </w:p>
        </w:tc>
        <w:tc>
          <w:tcPr>
            <w:tcW w:w="1650" w:type="dxa"/>
            <w:vAlign w:val="center"/>
          </w:tcPr>
          <w:p w:rsidR="00345EA6" w:rsidRDefault="00756E0F">
            <w:pPr>
              <w:jc w:val="center"/>
            </w:pPr>
            <w:r>
              <w:rPr>
                <w:color w:val="000000"/>
                <w:sz w:val="24"/>
              </w:rPr>
              <w:t>300170</w:t>
            </w:r>
          </w:p>
        </w:tc>
        <w:tc>
          <w:tcPr>
            <w:tcW w:w="1980" w:type="dxa"/>
            <w:vAlign w:val="center"/>
          </w:tcPr>
          <w:p w:rsidR="00345EA6" w:rsidRDefault="00756E0F">
            <w:pPr>
              <w:jc w:val="center"/>
            </w:pPr>
            <w:r>
              <w:rPr>
                <w:color w:val="000000"/>
                <w:sz w:val="24"/>
              </w:rPr>
              <w:t>汉得信息</w:t>
            </w:r>
          </w:p>
        </w:tc>
        <w:tc>
          <w:tcPr>
            <w:tcW w:w="2879" w:type="dxa"/>
            <w:vAlign w:val="center"/>
          </w:tcPr>
          <w:p w:rsidR="00345EA6" w:rsidRDefault="00756E0F">
            <w:pPr>
              <w:jc w:val="right"/>
            </w:pPr>
            <w:r>
              <w:rPr>
                <w:color w:val="000000"/>
                <w:sz w:val="24"/>
              </w:rPr>
              <w:t>15,702,211.80</w:t>
            </w:r>
          </w:p>
        </w:tc>
        <w:tc>
          <w:tcPr>
            <w:tcW w:w="1620" w:type="dxa"/>
            <w:vAlign w:val="center"/>
          </w:tcPr>
          <w:p w:rsidR="00345EA6" w:rsidRDefault="00756E0F">
            <w:pPr>
              <w:jc w:val="right"/>
            </w:pPr>
            <w:r>
              <w:rPr>
                <w:color w:val="000000"/>
                <w:sz w:val="24"/>
              </w:rPr>
              <w:t>1.76</w:t>
            </w:r>
          </w:p>
        </w:tc>
      </w:tr>
      <w:tr w:rsidR="00345EA6">
        <w:tc>
          <w:tcPr>
            <w:tcW w:w="869" w:type="dxa"/>
            <w:vAlign w:val="center"/>
          </w:tcPr>
          <w:p w:rsidR="00345EA6" w:rsidRDefault="00756E0F">
            <w:pPr>
              <w:jc w:val="center"/>
            </w:pPr>
            <w:r>
              <w:rPr>
                <w:color w:val="000000"/>
                <w:sz w:val="24"/>
              </w:rPr>
              <w:t>5</w:t>
            </w:r>
          </w:p>
        </w:tc>
        <w:tc>
          <w:tcPr>
            <w:tcW w:w="1650" w:type="dxa"/>
            <w:vAlign w:val="center"/>
          </w:tcPr>
          <w:p w:rsidR="00345EA6" w:rsidRDefault="00756E0F">
            <w:pPr>
              <w:jc w:val="center"/>
            </w:pPr>
            <w:r>
              <w:rPr>
                <w:color w:val="000000"/>
                <w:sz w:val="24"/>
              </w:rPr>
              <w:t>002841</w:t>
            </w:r>
          </w:p>
        </w:tc>
        <w:tc>
          <w:tcPr>
            <w:tcW w:w="1980" w:type="dxa"/>
            <w:vAlign w:val="center"/>
          </w:tcPr>
          <w:p w:rsidR="00345EA6" w:rsidRDefault="00756E0F">
            <w:pPr>
              <w:jc w:val="center"/>
            </w:pPr>
            <w:r>
              <w:rPr>
                <w:color w:val="000000"/>
                <w:sz w:val="24"/>
              </w:rPr>
              <w:t>视源股份</w:t>
            </w:r>
          </w:p>
        </w:tc>
        <w:tc>
          <w:tcPr>
            <w:tcW w:w="2879" w:type="dxa"/>
            <w:vAlign w:val="center"/>
          </w:tcPr>
          <w:p w:rsidR="00345EA6" w:rsidRDefault="00756E0F">
            <w:pPr>
              <w:jc w:val="right"/>
            </w:pPr>
            <w:r>
              <w:rPr>
                <w:color w:val="000000"/>
                <w:sz w:val="24"/>
              </w:rPr>
              <w:t>14,916,162.32</w:t>
            </w:r>
          </w:p>
        </w:tc>
        <w:tc>
          <w:tcPr>
            <w:tcW w:w="1620" w:type="dxa"/>
            <w:vAlign w:val="center"/>
          </w:tcPr>
          <w:p w:rsidR="00345EA6" w:rsidRDefault="00756E0F">
            <w:pPr>
              <w:jc w:val="right"/>
            </w:pPr>
            <w:r>
              <w:rPr>
                <w:color w:val="000000"/>
                <w:sz w:val="24"/>
              </w:rPr>
              <w:t>1.67</w:t>
            </w:r>
          </w:p>
        </w:tc>
      </w:tr>
      <w:tr w:rsidR="00345EA6">
        <w:tc>
          <w:tcPr>
            <w:tcW w:w="869" w:type="dxa"/>
            <w:vAlign w:val="center"/>
          </w:tcPr>
          <w:p w:rsidR="00345EA6" w:rsidRDefault="00756E0F">
            <w:pPr>
              <w:jc w:val="center"/>
            </w:pPr>
            <w:r>
              <w:rPr>
                <w:color w:val="000000"/>
                <w:sz w:val="24"/>
              </w:rPr>
              <w:t>6</w:t>
            </w:r>
          </w:p>
        </w:tc>
        <w:tc>
          <w:tcPr>
            <w:tcW w:w="1650" w:type="dxa"/>
            <w:vAlign w:val="center"/>
          </w:tcPr>
          <w:p w:rsidR="00345EA6" w:rsidRDefault="00756E0F">
            <w:pPr>
              <w:jc w:val="center"/>
            </w:pPr>
            <w:r>
              <w:rPr>
                <w:color w:val="000000"/>
                <w:sz w:val="24"/>
              </w:rPr>
              <w:t>000802</w:t>
            </w:r>
          </w:p>
        </w:tc>
        <w:tc>
          <w:tcPr>
            <w:tcW w:w="1980" w:type="dxa"/>
            <w:vAlign w:val="center"/>
          </w:tcPr>
          <w:p w:rsidR="00345EA6" w:rsidRDefault="00756E0F">
            <w:pPr>
              <w:jc w:val="center"/>
            </w:pPr>
            <w:r>
              <w:rPr>
                <w:color w:val="000000"/>
                <w:sz w:val="24"/>
              </w:rPr>
              <w:t>北京文化</w:t>
            </w:r>
          </w:p>
        </w:tc>
        <w:tc>
          <w:tcPr>
            <w:tcW w:w="2879" w:type="dxa"/>
            <w:vAlign w:val="center"/>
          </w:tcPr>
          <w:p w:rsidR="00345EA6" w:rsidRDefault="00756E0F">
            <w:pPr>
              <w:jc w:val="right"/>
            </w:pPr>
            <w:r>
              <w:rPr>
                <w:color w:val="000000"/>
                <w:sz w:val="24"/>
              </w:rPr>
              <w:t>12,996,587.61</w:t>
            </w:r>
          </w:p>
        </w:tc>
        <w:tc>
          <w:tcPr>
            <w:tcW w:w="1620" w:type="dxa"/>
            <w:vAlign w:val="center"/>
          </w:tcPr>
          <w:p w:rsidR="00345EA6" w:rsidRDefault="00756E0F">
            <w:pPr>
              <w:jc w:val="right"/>
            </w:pPr>
            <w:r>
              <w:rPr>
                <w:color w:val="000000"/>
                <w:sz w:val="24"/>
              </w:rPr>
              <w:t>1.46</w:t>
            </w:r>
          </w:p>
        </w:tc>
      </w:tr>
      <w:tr w:rsidR="00345EA6">
        <w:tc>
          <w:tcPr>
            <w:tcW w:w="869" w:type="dxa"/>
            <w:vAlign w:val="center"/>
          </w:tcPr>
          <w:p w:rsidR="00345EA6" w:rsidRDefault="00756E0F">
            <w:pPr>
              <w:jc w:val="center"/>
            </w:pPr>
            <w:r>
              <w:rPr>
                <w:color w:val="000000"/>
                <w:sz w:val="24"/>
              </w:rPr>
              <w:t>7</w:t>
            </w:r>
          </w:p>
        </w:tc>
        <w:tc>
          <w:tcPr>
            <w:tcW w:w="1650" w:type="dxa"/>
            <w:vAlign w:val="center"/>
          </w:tcPr>
          <w:p w:rsidR="00345EA6" w:rsidRDefault="00756E0F">
            <w:pPr>
              <w:jc w:val="center"/>
            </w:pPr>
            <w:r>
              <w:rPr>
                <w:color w:val="000000"/>
                <w:sz w:val="24"/>
              </w:rPr>
              <w:t>600498</w:t>
            </w:r>
          </w:p>
        </w:tc>
        <w:tc>
          <w:tcPr>
            <w:tcW w:w="1980" w:type="dxa"/>
            <w:vAlign w:val="center"/>
          </w:tcPr>
          <w:p w:rsidR="00345EA6" w:rsidRDefault="00756E0F">
            <w:pPr>
              <w:jc w:val="center"/>
            </w:pPr>
            <w:r>
              <w:rPr>
                <w:color w:val="000000"/>
                <w:sz w:val="24"/>
              </w:rPr>
              <w:t>烽火通信</w:t>
            </w:r>
          </w:p>
        </w:tc>
        <w:tc>
          <w:tcPr>
            <w:tcW w:w="2879" w:type="dxa"/>
            <w:vAlign w:val="center"/>
          </w:tcPr>
          <w:p w:rsidR="00345EA6" w:rsidRDefault="00756E0F">
            <w:pPr>
              <w:jc w:val="right"/>
            </w:pPr>
            <w:r>
              <w:rPr>
                <w:color w:val="000000"/>
                <w:sz w:val="24"/>
              </w:rPr>
              <w:t>12,047,343.00</w:t>
            </w:r>
          </w:p>
        </w:tc>
        <w:tc>
          <w:tcPr>
            <w:tcW w:w="1620" w:type="dxa"/>
            <w:vAlign w:val="center"/>
          </w:tcPr>
          <w:p w:rsidR="00345EA6" w:rsidRDefault="00756E0F">
            <w:pPr>
              <w:jc w:val="right"/>
            </w:pPr>
            <w:r>
              <w:rPr>
                <w:color w:val="000000"/>
                <w:sz w:val="24"/>
              </w:rPr>
              <w:t>1.35</w:t>
            </w:r>
          </w:p>
        </w:tc>
      </w:tr>
      <w:tr w:rsidR="00345EA6">
        <w:tc>
          <w:tcPr>
            <w:tcW w:w="869" w:type="dxa"/>
            <w:vAlign w:val="center"/>
          </w:tcPr>
          <w:p w:rsidR="00345EA6" w:rsidRDefault="00756E0F">
            <w:pPr>
              <w:jc w:val="center"/>
            </w:pPr>
            <w:r>
              <w:rPr>
                <w:color w:val="000000"/>
                <w:sz w:val="24"/>
              </w:rPr>
              <w:t>8</w:t>
            </w:r>
          </w:p>
        </w:tc>
        <w:tc>
          <w:tcPr>
            <w:tcW w:w="1650" w:type="dxa"/>
            <w:vAlign w:val="center"/>
          </w:tcPr>
          <w:p w:rsidR="00345EA6" w:rsidRDefault="00756E0F">
            <w:pPr>
              <w:jc w:val="center"/>
            </w:pPr>
            <w:r>
              <w:rPr>
                <w:color w:val="000000"/>
                <w:sz w:val="24"/>
              </w:rPr>
              <w:t>300113</w:t>
            </w:r>
          </w:p>
        </w:tc>
        <w:tc>
          <w:tcPr>
            <w:tcW w:w="1980" w:type="dxa"/>
            <w:vAlign w:val="center"/>
          </w:tcPr>
          <w:p w:rsidR="00345EA6" w:rsidRDefault="00756E0F">
            <w:pPr>
              <w:jc w:val="center"/>
            </w:pPr>
            <w:r>
              <w:rPr>
                <w:color w:val="000000"/>
                <w:sz w:val="24"/>
              </w:rPr>
              <w:t>顺网科技</w:t>
            </w:r>
          </w:p>
        </w:tc>
        <w:tc>
          <w:tcPr>
            <w:tcW w:w="2879" w:type="dxa"/>
            <w:vAlign w:val="center"/>
          </w:tcPr>
          <w:p w:rsidR="00345EA6" w:rsidRDefault="00756E0F">
            <w:pPr>
              <w:jc w:val="right"/>
            </w:pPr>
            <w:r>
              <w:rPr>
                <w:color w:val="000000"/>
                <w:sz w:val="24"/>
              </w:rPr>
              <w:t>10,210,263.52</w:t>
            </w:r>
          </w:p>
        </w:tc>
        <w:tc>
          <w:tcPr>
            <w:tcW w:w="1620" w:type="dxa"/>
            <w:vAlign w:val="center"/>
          </w:tcPr>
          <w:p w:rsidR="00345EA6" w:rsidRDefault="00756E0F">
            <w:pPr>
              <w:jc w:val="right"/>
            </w:pPr>
            <w:r>
              <w:rPr>
                <w:color w:val="000000"/>
                <w:sz w:val="24"/>
              </w:rPr>
              <w:t>1.14</w:t>
            </w:r>
          </w:p>
        </w:tc>
      </w:tr>
      <w:tr w:rsidR="00345EA6">
        <w:tc>
          <w:tcPr>
            <w:tcW w:w="869" w:type="dxa"/>
            <w:vAlign w:val="center"/>
          </w:tcPr>
          <w:p w:rsidR="00345EA6" w:rsidRDefault="00756E0F">
            <w:pPr>
              <w:jc w:val="center"/>
            </w:pPr>
            <w:r>
              <w:rPr>
                <w:color w:val="000000"/>
                <w:sz w:val="24"/>
              </w:rPr>
              <w:t>9</w:t>
            </w:r>
          </w:p>
        </w:tc>
        <w:tc>
          <w:tcPr>
            <w:tcW w:w="1650" w:type="dxa"/>
            <w:vAlign w:val="center"/>
          </w:tcPr>
          <w:p w:rsidR="00345EA6" w:rsidRDefault="00756E0F">
            <w:pPr>
              <w:jc w:val="center"/>
            </w:pPr>
            <w:r>
              <w:rPr>
                <w:color w:val="000000"/>
                <w:sz w:val="24"/>
              </w:rPr>
              <w:t>603083</w:t>
            </w:r>
          </w:p>
        </w:tc>
        <w:tc>
          <w:tcPr>
            <w:tcW w:w="1980" w:type="dxa"/>
            <w:vAlign w:val="center"/>
          </w:tcPr>
          <w:p w:rsidR="00345EA6" w:rsidRDefault="00756E0F">
            <w:pPr>
              <w:jc w:val="center"/>
            </w:pPr>
            <w:r>
              <w:rPr>
                <w:color w:val="000000"/>
                <w:sz w:val="24"/>
              </w:rPr>
              <w:t>剑桥科技</w:t>
            </w:r>
          </w:p>
        </w:tc>
        <w:tc>
          <w:tcPr>
            <w:tcW w:w="2879" w:type="dxa"/>
            <w:vAlign w:val="center"/>
          </w:tcPr>
          <w:p w:rsidR="00345EA6" w:rsidRDefault="00756E0F">
            <w:pPr>
              <w:jc w:val="right"/>
            </w:pPr>
            <w:r>
              <w:rPr>
                <w:color w:val="000000"/>
                <w:sz w:val="24"/>
              </w:rPr>
              <w:t>9,330,707.80</w:t>
            </w:r>
          </w:p>
        </w:tc>
        <w:tc>
          <w:tcPr>
            <w:tcW w:w="1620" w:type="dxa"/>
            <w:vAlign w:val="center"/>
          </w:tcPr>
          <w:p w:rsidR="00345EA6" w:rsidRDefault="00756E0F">
            <w:pPr>
              <w:jc w:val="right"/>
            </w:pPr>
            <w:r>
              <w:rPr>
                <w:color w:val="000000"/>
                <w:sz w:val="24"/>
              </w:rPr>
              <w:t>1.05</w:t>
            </w:r>
          </w:p>
        </w:tc>
      </w:tr>
      <w:tr w:rsidR="00345EA6">
        <w:tc>
          <w:tcPr>
            <w:tcW w:w="869" w:type="dxa"/>
            <w:vAlign w:val="center"/>
          </w:tcPr>
          <w:p w:rsidR="00345EA6" w:rsidRDefault="00756E0F">
            <w:pPr>
              <w:jc w:val="center"/>
            </w:pPr>
            <w:r>
              <w:rPr>
                <w:color w:val="000000"/>
                <w:sz w:val="24"/>
              </w:rPr>
              <w:t>10</w:t>
            </w:r>
          </w:p>
        </w:tc>
        <w:tc>
          <w:tcPr>
            <w:tcW w:w="1650" w:type="dxa"/>
            <w:vAlign w:val="center"/>
          </w:tcPr>
          <w:p w:rsidR="00345EA6" w:rsidRDefault="00756E0F">
            <w:pPr>
              <w:jc w:val="center"/>
            </w:pPr>
            <w:r>
              <w:rPr>
                <w:color w:val="000000"/>
                <w:sz w:val="24"/>
              </w:rPr>
              <w:t>300571</w:t>
            </w:r>
          </w:p>
        </w:tc>
        <w:tc>
          <w:tcPr>
            <w:tcW w:w="1980" w:type="dxa"/>
            <w:vAlign w:val="center"/>
          </w:tcPr>
          <w:p w:rsidR="00345EA6" w:rsidRDefault="00756E0F">
            <w:pPr>
              <w:jc w:val="center"/>
            </w:pPr>
            <w:r>
              <w:rPr>
                <w:color w:val="000000"/>
                <w:sz w:val="24"/>
              </w:rPr>
              <w:t>平治信息</w:t>
            </w:r>
          </w:p>
        </w:tc>
        <w:tc>
          <w:tcPr>
            <w:tcW w:w="2879" w:type="dxa"/>
            <w:vAlign w:val="center"/>
          </w:tcPr>
          <w:p w:rsidR="00345EA6" w:rsidRDefault="00756E0F">
            <w:pPr>
              <w:jc w:val="right"/>
            </w:pPr>
            <w:r>
              <w:rPr>
                <w:color w:val="000000"/>
                <w:sz w:val="24"/>
              </w:rPr>
              <w:t>8,293,574.00</w:t>
            </w:r>
          </w:p>
        </w:tc>
        <w:tc>
          <w:tcPr>
            <w:tcW w:w="1620" w:type="dxa"/>
            <w:vAlign w:val="center"/>
          </w:tcPr>
          <w:p w:rsidR="00345EA6" w:rsidRDefault="00756E0F">
            <w:pPr>
              <w:jc w:val="right"/>
            </w:pPr>
            <w:r>
              <w:rPr>
                <w:color w:val="000000"/>
                <w:sz w:val="24"/>
              </w:rPr>
              <w:t>0.93</w:t>
            </w:r>
          </w:p>
        </w:tc>
      </w:tr>
      <w:tr w:rsidR="00345EA6">
        <w:tc>
          <w:tcPr>
            <w:tcW w:w="869" w:type="dxa"/>
            <w:vAlign w:val="center"/>
          </w:tcPr>
          <w:p w:rsidR="00345EA6" w:rsidRDefault="00756E0F">
            <w:pPr>
              <w:jc w:val="center"/>
            </w:pPr>
            <w:r>
              <w:rPr>
                <w:color w:val="000000"/>
                <w:sz w:val="24"/>
              </w:rPr>
              <w:t>11</w:t>
            </w:r>
          </w:p>
        </w:tc>
        <w:tc>
          <w:tcPr>
            <w:tcW w:w="1650" w:type="dxa"/>
            <w:vAlign w:val="center"/>
          </w:tcPr>
          <w:p w:rsidR="00345EA6" w:rsidRDefault="00756E0F">
            <w:pPr>
              <w:jc w:val="center"/>
            </w:pPr>
            <w:r>
              <w:rPr>
                <w:color w:val="000000"/>
                <w:sz w:val="24"/>
              </w:rPr>
              <w:t>002555</w:t>
            </w:r>
          </w:p>
        </w:tc>
        <w:tc>
          <w:tcPr>
            <w:tcW w:w="1980" w:type="dxa"/>
            <w:vAlign w:val="center"/>
          </w:tcPr>
          <w:p w:rsidR="00345EA6" w:rsidRDefault="00756E0F">
            <w:pPr>
              <w:jc w:val="center"/>
            </w:pPr>
            <w:r>
              <w:rPr>
                <w:color w:val="000000"/>
                <w:sz w:val="24"/>
              </w:rPr>
              <w:t>三七互娱</w:t>
            </w:r>
          </w:p>
        </w:tc>
        <w:tc>
          <w:tcPr>
            <w:tcW w:w="2879" w:type="dxa"/>
            <w:vAlign w:val="center"/>
          </w:tcPr>
          <w:p w:rsidR="00345EA6" w:rsidRDefault="00756E0F">
            <w:pPr>
              <w:jc w:val="right"/>
            </w:pPr>
            <w:r>
              <w:rPr>
                <w:color w:val="000000"/>
                <w:sz w:val="24"/>
              </w:rPr>
              <w:t>8,223,348.00</w:t>
            </w:r>
          </w:p>
        </w:tc>
        <w:tc>
          <w:tcPr>
            <w:tcW w:w="1620" w:type="dxa"/>
            <w:vAlign w:val="center"/>
          </w:tcPr>
          <w:p w:rsidR="00345EA6" w:rsidRDefault="00756E0F">
            <w:pPr>
              <w:jc w:val="right"/>
            </w:pPr>
            <w:r>
              <w:rPr>
                <w:color w:val="000000"/>
                <w:sz w:val="24"/>
              </w:rPr>
              <w:t>0.92</w:t>
            </w:r>
          </w:p>
        </w:tc>
      </w:tr>
      <w:tr w:rsidR="00345EA6">
        <w:tc>
          <w:tcPr>
            <w:tcW w:w="869" w:type="dxa"/>
            <w:vAlign w:val="center"/>
          </w:tcPr>
          <w:p w:rsidR="00345EA6" w:rsidRDefault="00756E0F">
            <w:pPr>
              <w:jc w:val="center"/>
            </w:pPr>
            <w:r>
              <w:rPr>
                <w:color w:val="000000"/>
                <w:sz w:val="24"/>
              </w:rPr>
              <w:t>12</w:t>
            </w:r>
          </w:p>
        </w:tc>
        <w:tc>
          <w:tcPr>
            <w:tcW w:w="1650" w:type="dxa"/>
            <w:vAlign w:val="center"/>
          </w:tcPr>
          <w:p w:rsidR="00345EA6" w:rsidRDefault="00756E0F">
            <w:pPr>
              <w:jc w:val="center"/>
            </w:pPr>
            <w:r>
              <w:rPr>
                <w:color w:val="000000"/>
                <w:sz w:val="24"/>
              </w:rPr>
              <w:t>002050</w:t>
            </w:r>
          </w:p>
        </w:tc>
        <w:tc>
          <w:tcPr>
            <w:tcW w:w="1980" w:type="dxa"/>
            <w:vAlign w:val="center"/>
          </w:tcPr>
          <w:p w:rsidR="00345EA6" w:rsidRDefault="00756E0F">
            <w:pPr>
              <w:jc w:val="center"/>
            </w:pPr>
            <w:r>
              <w:rPr>
                <w:color w:val="000000"/>
                <w:sz w:val="24"/>
              </w:rPr>
              <w:t>三花智控</w:t>
            </w:r>
          </w:p>
        </w:tc>
        <w:tc>
          <w:tcPr>
            <w:tcW w:w="2879" w:type="dxa"/>
            <w:vAlign w:val="center"/>
          </w:tcPr>
          <w:p w:rsidR="00345EA6" w:rsidRDefault="00756E0F">
            <w:pPr>
              <w:jc w:val="right"/>
            </w:pPr>
            <w:r>
              <w:rPr>
                <w:color w:val="000000"/>
                <w:sz w:val="24"/>
              </w:rPr>
              <w:t>7,879,647.72</w:t>
            </w:r>
          </w:p>
        </w:tc>
        <w:tc>
          <w:tcPr>
            <w:tcW w:w="1620" w:type="dxa"/>
            <w:vAlign w:val="center"/>
          </w:tcPr>
          <w:p w:rsidR="00345EA6" w:rsidRDefault="00756E0F">
            <w:pPr>
              <w:jc w:val="right"/>
            </w:pPr>
            <w:r>
              <w:rPr>
                <w:color w:val="000000"/>
                <w:sz w:val="24"/>
              </w:rPr>
              <w:t>0.88</w:t>
            </w:r>
          </w:p>
        </w:tc>
      </w:tr>
      <w:tr w:rsidR="00345EA6">
        <w:tc>
          <w:tcPr>
            <w:tcW w:w="869" w:type="dxa"/>
            <w:vAlign w:val="center"/>
          </w:tcPr>
          <w:p w:rsidR="00345EA6" w:rsidRDefault="00756E0F">
            <w:pPr>
              <w:jc w:val="center"/>
            </w:pPr>
            <w:r>
              <w:rPr>
                <w:color w:val="000000"/>
                <w:sz w:val="24"/>
              </w:rPr>
              <w:t>13</w:t>
            </w:r>
          </w:p>
        </w:tc>
        <w:tc>
          <w:tcPr>
            <w:tcW w:w="1650" w:type="dxa"/>
            <w:vAlign w:val="center"/>
          </w:tcPr>
          <w:p w:rsidR="00345EA6" w:rsidRDefault="00756E0F">
            <w:pPr>
              <w:jc w:val="center"/>
            </w:pPr>
            <w:r>
              <w:rPr>
                <w:color w:val="000000"/>
                <w:sz w:val="24"/>
              </w:rPr>
              <w:t>688169</w:t>
            </w:r>
          </w:p>
        </w:tc>
        <w:tc>
          <w:tcPr>
            <w:tcW w:w="1980" w:type="dxa"/>
            <w:vAlign w:val="center"/>
          </w:tcPr>
          <w:p w:rsidR="00345EA6" w:rsidRDefault="00756E0F">
            <w:pPr>
              <w:jc w:val="center"/>
            </w:pPr>
            <w:r>
              <w:rPr>
                <w:color w:val="000000"/>
                <w:sz w:val="24"/>
              </w:rPr>
              <w:t>石头科技</w:t>
            </w:r>
          </w:p>
        </w:tc>
        <w:tc>
          <w:tcPr>
            <w:tcW w:w="2879" w:type="dxa"/>
            <w:vAlign w:val="center"/>
          </w:tcPr>
          <w:p w:rsidR="00345EA6" w:rsidRDefault="00756E0F">
            <w:pPr>
              <w:jc w:val="right"/>
            </w:pPr>
            <w:r>
              <w:rPr>
                <w:color w:val="000000"/>
                <w:sz w:val="24"/>
              </w:rPr>
              <w:t>7,620,696.53</w:t>
            </w:r>
          </w:p>
        </w:tc>
        <w:tc>
          <w:tcPr>
            <w:tcW w:w="1620" w:type="dxa"/>
            <w:vAlign w:val="center"/>
          </w:tcPr>
          <w:p w:rsidR="00345EA6" w:rsidRDefault="00756E0F">
            <w:pPr>
              <w:jc w:val="right"/>
            </w:pPr>
            <w:r>
              <w:rPr>
                <w:color w:val="000000"/>
                <w:sz w:val="24"/>
              </w:rPr>
              <w:t>0.85</w:t>
            </w:r>
          </w:p>
        </w:tc>
      </w:tr>
      <w:tr w:rsidR="00345EA6">
        <w:tc>
          <w:tcPr>
            <w:tcW w:w="869" w:type="dxa"/>
            <w:vAlign w:val="center"/>
          </w:tcPr>
          <w:p w:rsidR="00345EA6" w:rsidRDefault="00756E0F">
            <w:pPr>
              <w:jc w:val="center"/>
            </w:pPr>
            <w:r>
              <w:rPr>
                <w:color w:val="000000"/>
                <w:sz w:val="24"/>
              </w:rPr>
              <w:t>14</w:t>
            </w:r>
          </w:p>
        </w:tc>
        <w:tc>
          <w:tcPr>
            <w:tcW w:w="1650" w:type="dxa"/>
            <w:vAlign w:val="center"/>
          </w:tcPr>
          <w:p w:rsidR="00345EA6" w:rsidRDefault="00756E0F">
            <w:pPr>
              <w:jc w:val="center"/>
            </w:pPr>
            <w:r>
              <w:rPr>
                <w:color w:val="000000"/>
                <w:sz w:val="24"/>
              </w:rPr>
              <w:t>300014</w:t>
            </w:r>
          </w:p>
        </w:tc>
        <w:tc>
          <w:tcPr>
            <w:tcW w:w="1980" w:type="dxa"/>
            <w:vAlign w:val="center"/>
          </w:tcPr>
          <w:p w:rsidR="00345EA6" w:rsidRDefault="00756E0F">
            <w:pPr>
              <w:jc w:val="center"/>
            </w:pPr>
            <w:r>
              <w:rPr>
                <w:color w:val="000000"/>
                <w:sz w:val="24"/>
              </w:rPr>
              <w:t>亿纬锂能</w:t>
            </w:r>
          </w:p>
        </w:tc>
        <w:tc>
          <w:tcPr>
            <w:tcW w:w="2879" w:type="dxa"/>
            <w:vAlign w:val="center"/>
          </w:tcPr>
          <w:p w:rsidR="00345EA6" w:rsidRDefault="00756E0F">
            <w:pPr>
              <w:jc w:val="right"/>
            </w:pPr>
            <w:r>
              <w:rPr>
                <w:color w:val="000000"/>
                <w:sz w:val="24"/>
              </w:rPr>
              <w:t>7,061,962.00</w:t>
            </w:r>
          </w:p>
        </w:tc>
        <w:tc>
          <w:tcPr>
            <w:tcW w:w="1620" w:type="dxa"/>
            <w:vAlign w:val="center"/>
          </w:tcPr>
          <w:p w:rsidR="00345EA6" w:rsidRDefault="00756E0F">
            <w:pPr>
              <w:jc w:val="right"/>
            </w:pPr>
            <w:r>
              <w:rPr>
                <w:color w:val="000000"/>
                <w:sz w:val="24"/>
              </w:rPr>
              <w:t>0.79</w:t>
            </w:r>
          </w:p>
        </w:tc>
      </w:tr>
      <w:tr w:rsidR="00345EA6">
        <w:tc>
          <w:tcPr>
            <w:tcW w:w="869" w:type="dxa"/>
            <w:vAlign w:val="center"/>
          </w:tcPr>
          <w:p w:rsidR="00345EA6" w:rsidRDefault="00756E0F">
            <w:pPr>
              <w:jc w:val="center"/>
            </w:pPr>
            <w:r>
              <w:rPr>
                <w:color w:val="000000"/>
                <w:sz w:val="24"/>
              </w:rPr>
              <w:t>15</w:t>
            </w:r>
          </w:p>
        </w:tc>
        <w:tc>
          <w:tcPr>
            <w:tcW w:w="1650" w:type="dxa"/>
            <w:vAlign w:val="center"/>
          </w:tcPr>
          <w:p w:rsidR="00345EA6" w:rsidRDefault="00756E0F">
            <w:pPr>
              <w:jc w:val="center"/>
            </w:pPr>
            <w:r>
              <w:rPr>
                <w:color w:val="000000"/>
                <w:sz w:val="24"/>
              </w:rPr>
              <w:t>603138</w:t>
            </w:r>
          </w:p>
        </w:tc>
        <w:tc>
          <w:tcPr>
            <w:tcW w:w="1980" w:type="dxa"/>
            <w:vAlign w:val="center"/>
          </w:tcPr>
          <w:p w:rsidR="00345EA6" w:rsidRDefault="00756E0F">
            <w:pPr>
              <w:jc w:val="center"/>
            </w:pPr>
            <w:r>
              <w:rPr>
                <w:color w:val="000000"/>
                <w:sz w:val="24"/>
              </w:rPr>
              <w:t>海量数据</w:t>
            </w:r>
          </w:p>
        </w:tc>
        <w:tc>
          <w:tcPr>
            <w:tcW w:w="2879" w:type="dxa"/>
            <w:vAlign w:val="center"/>
          </w:tcPr>
          <w:p w:rsidR="00345EA6" w:rsidRDefault="00756E0F">
            <w:pPr>
              <w:jc w:val="right"/>
            </w:pPr>
            <w:r>
              <w:rPr>
                <w:color w:val="000000"/>
                <w:sz w:val="24"/>
              </w:rPr>
              <w:t>6,656,704.00</w:t>
            </w:r>
          </w:p>
        </w:tc>
        <w:tc>
          <w:tcPr>
            <w:tcW w:w="1620" w:type="dxa"/>
            <w:vAlign w:val="center"/>
          </w:tcPr>
          <w:p w:rsidR="00345EA6" w:rsidRDefault="00756E0F">
            <w:pPr>
              <w:jc w:val="right"/>
            </w:pPr>
            <w:r>
              <w:rPr>
                <w:color w:val="000000"/>
                <w:sz w:val="24"/>
              </w:rPr>
              <w:t>0.75</w:t>
            </w:r>
          </w:p>
        </w:tc>
      </w:tr>
      <w:tr w:rsidR="00345EA6">
        <w:tc>
          <w:tcPr>
            <w:tcW w:w="869" w:type="dxa"/>
            <w:vAlign w:val="center"/>
          </w:tcPr>
          <w:p w:rsidR="00345EA6" w:rsidRDefault="00756E0F">
            <w:pPr>
              <w:jc w:val="center"/>
            </w:pPr>
            <w:r>
              <w:rPr>
                <w:color w:val="000000"/>
                <w:sz w:val="24"/>
              </w:rPr>
              <w:t>16</w:t>
            </w:r>
          </w:p>
        </w:tc>
        <w:tc>
          <w:tcPr>
            <w:tcW w:w="1650" w:type="dxa"/>
            <w:vAlign w:val="center"/>
          </w:tcPr>
          <w:p w:rsidR="00345EA6" w:rsidRDefault="00756E0F">
            <w:pPr>
              <w:jc w:val="center"/>
            </w:pPr>
            <w:r>
              <w:rPr>
                <w:color w:val="000000"/>
                <w:sz w:val="24"/>
              </w:rPr>
              <w:t>300078</w:t>
            </w:r>
          </w:p>
        </w:tc>
        <w:tc>
          <w:tcPr>
            <w:tcW w:w="1980" w:type="dxa"/>
            <w:vAlign w:val="center"/>
          </w:tcPr>
          <w:p w:rsidR="00345EA6" w:rsidRDefault="00756E0F">
            <w:pPr>
              <w:jc w:val="center"/>
            </w:pPr>
            <w:r>
              <w:rPr>
                <w:color w:val="000000"/>
                <w:sz w:val="24"/>
              </w:rPr>
              <w:t>思创医惠</w:t>
            </w:r>
          </w:p>
        </w:tc>
        <w:tc>
          <w:tcPr>
            <w:tcW w:w="2879" w:type="dxa"/>
            <w:vAlign w:val="center"/>
          </w:tcPr>
          <w:p w:rsidR="00345EA6" w:rsidRDefault="00756E0F">
            <w:pPr>
              <w:jc w:val="right"/>
            </w:pPr>
            <w:r>
              <w:rPr>
                <w:color w:val="000000"/>
                <w:sz w:val="24"/>
              </w:rPr>
              <w:t>6,630,152.29</w:t>
            </w:r>
          </w:p>
        </w:tc>
        <w:tc>
          <w:tcPr>
            <w:tcW w:w="1620" w:type="dxa"/>
            <w:vAlign w:val="center"/>
          </w:tcPr>
          <w:p w:rsidR="00345EA6" w:rsidRDefault="00756E0F">
            <w:pPr>
              <w:jc w:val="right"/>
            </w:pPr>
            <w:r>
              <w:rPr>
                <w:color w:val="000000"/>
                <w:sz w:val="24"/>
              </w:rPr>
              <w:t>0.74</w:t>
            </w:r>
          </w:p>
        </w:tc>
      </w:tr>
      <w:tr w:rsidR="00345EA6">
        <w:tc>
          <w:tcPr>
            <w:tcW w:w="869" w:type="dxa"/>
            <w:vAlign w:val="center"/>
          </w:tcPr>
          <w:p w:rsidR="00345EA6" w:rsidRDefault="00756E0F">
            <w:pPr>
              <w:jc w:val="center"/>
            </w:pPr>
            <w:r>
              <w:rPr>
                <w:color w:val="000000"/>
                <w:sz w:val="24"/>
              </w:rPr>
              <w:t>17</w:t>
            </w:r>
          </w:p>
        </w:tc>
        <w:tc>
          <w:tcPr>
            <w:tcW w:w="1650" w:type="dxa"/>
            <w:vAlign w:val="center"/>
          </w:tcPr>
          <w:p w:rsidR="00345EA6" w:rsidRDefault="00756E0F">
            <w:pPr>
              <w:jc w:val="center"/>
            </w:pPr>
            <w:r>
              <w:rPr>
                <w:color w:val="000000"/>
                <w:sz w:val="24"/>
              </w:rPr>
              <w:t>601038</w:t>
            </w:r>
          </w:p>
        </w:tc>
        <w:tc>
          <w:tcPr>
            <w:tcW w:w="1980" w:type="dxa"/>
            <w:vAlign w:val="center"/>
          </w:tcPr>
          <w:p w:rsidR="00345EA6" w:rsidRDefault="00756E0F">
            <w:pPr>
              <w:jc w:val="center"/>
            </w:pPr>
            <w:r>
              <w:rPr>
                <w:color w:val="000000"/>
                <w:sz w:val="24"/>
              </w:rPr>
              <w:t>一拖股份</w:t>
            </w:r>
          </w:p>
        </w:tc>
        <w:tc>
          <w:tcPr>
            <w:tcW w:w="2879" w:type="dxa"/>
            <w:vAlign w:val="center"/>
          </w:tcPr>
          <w:p w:rsidR="00345EA6" w:rsidRDefault="00756E0F">
            <w:pPr>
              <w:jc w:val="right"/>
            </w:pPr>
            <w:r>
              <w:rPr>
                <w:color w:val="000000"/>
                <w:sz w:val="24"/>
              </w:rPr>
              <w:t>6,466,485.19</w:t>
            </w:r>
          </w:p>
        </w:tc>
        <w:tc>
          <w:tcPr>
            <w:tcW w:w="1620" w:type="dxa"/>
            <w:vAlign w:val="center"/>
          </w:tcPr>
          <w:p w:rsidR="00345EA6" w:rsidRDefault="00756E0F">
            <w:pPr>
              <w:jc w:val="right"/>
            </w:pPr>
            <w:r>
              <w:rPr>
                <w:color w:val="000000"/>
                <w:sz w:val="24"/>
              </w:rPr>
              <w:t>0.72</w:t>
            </w:r>
          </w:p>
        </w:tc>
      </w:tr>
      <w:tr w:rsidR="00345EA6">
        <w:tc>
          <w:tcPr>
            <w:tcW w:w="869" w:type="dxa"/>
            <w:vAlign w:val="center"/>
          </w:tcPr>
          <w:p w:rsidR="00345EA6" w:rsidRDefault="00756E0F">
            <w:pPr>
              <w:jc w:val="center"/>
            </w:pPr>
            <w:r>
              <w:rPr>
                <w:color w:val="000000"/>
                <w:sz w:val="24"/>
              </w:rPr>
              <w:t>18</w:t>
            </w:r>
          </w:p>
        </w:tc>
        <w:tc>
          <w:tcPr>
            <w:tcW w:w="1650" w:type="dxa"/>
            <w:vAlign w:val="center"/>
          </w:tcPr>
          <w:p w:rsidR="00345EA6" w:rsidRDefault="00756E0F">
            <w:pPr>
              <w:jc w:val="center"/>
            </w:pPr>
            <w:r>
              <w:rPr>
                <w:color w:val="000000"/>
                <w:sz w:val="24"/>
              </w:rPr>
              <w:t>002352</w:t>
            </w:r>
          </w:p>
        </w:tc>
        <w:tc>
          <w:tcPr>
            <w:tcW w:w="1980" w:type="dxa"/>
            <w:vAlign w:val="center"/>
          </w:tcPr>
          <w:p w:rsidR="00345EA6" w:rsidRDefault="00756E0F">
            <w:pPr>
              <w:jc w:val="center"/>
            </w:pPr>
            <w:r>
              <w:rPr>
                <w:color w:val="000000"/>
                <w:sz w:val="24"/>
              </w:rPr>
              <w:t>顺丰控股</w:t>
            </w:r>
          </w:p>
        </w:tc>
        <w:tc>
          <w:tcPr>
            <w:tcW w:w="2879" w:type="dxa"/>
            <w:vAlign w:val="center"/>
          </w:tcPr>
          <w:p w:rsidR="00345EA6" w:rsidRDefault="00756E0F">
            <w:pPr>
              <w:jc w:val="right"/>
            </w:pPr>
            <w:r>
              <w:rPr>
                <w:color w:val="000000"/>
                <w:sz w:val="24"/>
              </w:rPr>
              <w:t>5,874,787.05</w:t>
            </w:r>
          </w:p>
        </w:tc>
        <w:tc>
          <w:tcPr>
            <w:tcW w:w="1620" w:type="dxa"/>
            <w:vAlign w:val="center"/>
          </w:tcPr>
          <w:p w:rsidR="00345EA6" w:rsidRDefault="00756E0F">
            <w:pPr>
              <w:jc w:val="right"/>
            </w:pPr>
            <w:r>
              <w:rPr>
                <w:color w:val="000000"/>
                <w:sz w:val="24"/>
              </w:rPr>
              <w:t>0.66</w:t>
            </w:r>
          </w:p>
        </w:tc>
      </w:tr>
      <w:tr w:rsidR="00345EA6">
        <w:tc>
          <w:tcPr>
            <w:tcW w:w="869" w:type="dxa"/>
            <w:vAlign w:val="center"/>
          </w:tcPr>
          <w:p w:rsidR="00345EA6" w:rsidRDefault="00756E0F">
            <w:pPr>
              <w:jc w:val="center"/>
            </w:pPr>
            <w:r>
              <w:rPr>
                <w:color w:val="000000"/>
                <w:sz w:val="24"/>
              </w:rPr>
              <w:t>19</w:t>
            </w:r>
          </w:p>
        </w:tc>
        <w:tc>
          <w:tcPr>
            <w:tcW w:w="1650" w:type="dxa"/>
            <w:vAlign w:val="center"/>
          </w:tcPr>
          <w:p w:rsidR="00345EA6" w:rsidRDefault="00756E0F">
            <w:pPr>
              <w:jc w:val="center"/>
            </w:pPr>
            <w:r>
              <w:rPr>
                <w:color w:val="000000"/>
                <w:sz w:val="24"/>
              </w:rPr>
              <w:t>600183</w:t>
            </w:r>
          </w:p>
        </w:tc>
        <w:tc>
          <w:tcPr>
            <w:tcW w:w="1980" w:type="dxa"/>
            <w:vAlign w:val="center"/>
          </w:tcPr>
          <w:p w:rsidR="00345EA6" w:rsidRDefault="00756E0F">
            <w:pPr>
              <w:jc w:val="center"/>
            </w:pPr>
            <w:r>
              <w:rPr>
                <w:color w:val="000000"/>
                <w:sz w:val="24"/>
              </w:rPr>
              <w:t>生益科技</w:t>
            </w:r>
          </w:p>
        </w:tc>
        <w:tc>
          <w:tcPr>
            <w:tcW w:w="2879" w:type="dxa"/>
            <w:vAlign w:val="center"/>
          </w:tcPr>
          <w:p w:rsidR="00345EA6" w:rsidRDefault="00756E0F">
            <w:pPr>
              <w:jc w:val="right"/>
            </w:pPr>
            <w:r>
              <w:rPr>
                <w:color w:val="000000"/>
                <w:sz w:val="24"/>
              </w:rPr>
              <w:t>5,317,537.16</w:t>
            </w:r>
          </w:p>
        </w:tc>
        <w:tc>
          <w:tcPr>
            <w:tcW w:w="1620" w:type="dxa"/>
            <w:vAlign w:val="center"/>
          </w:tcPr>
          <w:p w:rsidR="00345EA6" w:rsidRDefault="00756E0F">
            <w:pPr>
              <w:jc w:val="right"/>
            </w:pPr>
            <w:r>
              <w:rPr>
                <w:color w:val="000000"/>
                <w:sz w:val="24"/>
              </w:rPr>
              <w:t>0.60</w:t>
            </w:r>
          </w:p>
        </w:tc>
      </w:tr>
      <w:tr w:rsidR="00345EA6">
        <w:tc>
          <w:tcPr>
            <w:tcW w:w="869" w:type="dxa"/>
            <w:vAlign w:val="center"/>
          </w:tcPr>
          <w:p w:rsidR="00345EA6" w:rsidRDefault="00756E0F">
            <w:pPr>
              <w:jc w:val="center"/>
            </w:pPr>
            <w:r>
              <w:rPr>
                <w:color w:val="000000"/>
                <w:sz w:val="24"/>
              </w:rPr>
              <w:t>20</w:t>
            </w:r>
          </w:p>
        </w:tc>
        <w:tc>
          <w:tcPr>
            <w:tcW w:w="1650" w:type="dxa"/>
            <w:vAlign w:val="center"/>
          </w:tcPr>
          <w:p w:rsidR="00345EA6" w:rsidRDefault="00756E0F">
            <w:pPr>
              <w:jc w:val="center"/>
            </w:pPr>
            <w:r>
              <w:rPr>
                <w:color w:val="000000"/>
                <w:sz w:val="24"/>
              </w:rPr>
              <w:t>688039</w:t>
            </w:r>
          </w:p>
        </w:tc>
        <w:tc>
          <w:tcPr>
            <w:tcW w:w="1980" w:type="dxa"/>
            <w:vAlign w:val="center"/>
          </w:tcPr>
          <w:p w:rsidR="00345EA6" w:rsidRDefault="00756E0F">
            <w:pPr>
              <w:jc w:val="center"/>
            </w:pPr>
            <w:r>
              <w:rPr>
                <w:color w:val="000000"/>
                <w:sz w:val="24"/>
              </w:rPr>
              <w:t>当虹科技</w:t>
            </w:r>
          </w:p>
        </w:tc>
        <w:tc>
          <w:tcPr>
            <w:tcW w:w="2879" w:type="dxa"/>
            <w:vAlign w:val="center"/>
          </w:tcPr>
          <w:p w:rsidR="00345EA6" w:rsidRDefault="00756E0F">
            <w:pPr>
              <w:jc w:val="right"/>
            </w:pPr>
            <w:r>
              <w:rPr>
                <w:color w:val="000000"/>
                <w:sz w:val="24"/>
              </w:rPr>
              <w:t>4,955,279.83</w:t>
            </w:r>
          </w:p>
        </w:tc>
        <w:tc>
          <w:tcPr>
            <w:tcW w:w="1620" w:type="dxa"/>
            <w:vAlign w:val="center"/>
          </w:tcPr>
          <w:p w:rsidR="00345EA6" w:rsidRDefault="00756E0F">
            <w:pPr>
              <w:jc w:val="right"/>
            </w:pPr>
            <w:r>
              <w:rPr>
                <w:color w:val="000000"/>
                <w:sz w:val="24"/>
              </w:rPr>
              <w:t>0.56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809,080,874.12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316,664,535.31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63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64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64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64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64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64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64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64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217,213.50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406,520.88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71,335.25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695,069.63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345EA6">
        <w:tc>
          <w:tcPr>
            <w:tcW w:w="1145" w:type="dxa"/>
            <w:vAlign w:val="center"/>
          </w:tcPr>
          <w:p w:rsidR="00345EA6" w:rsidRDefault="00756E0F">
            <w:pPr>
              <w:jc w:val="center"/>
            </w:pPr>
            <w:r>
              <w:rPr>
                <w:color w:val="000000"/>
                <w:sz w:val="24"/>
              </w:rPr>
              <w:t>1</w:t>
            </w:r>
          </w:p>
        </w:tc>
        <w:tc>
          <w:tcPr>
            <w:tcW w:w="1376" w:type="dxa"/>
            <w:vAlign w:val="center"/>
          </w:tcPr>
          <w:p w:rsidR="00345EA6" w:rsidRDefault="00756E0F">
            <w:pPr>
              <w:jc w:val="center"/>
            </w:pPr>
            <w:r>
              <w:rPr>
                <w:color w:val="000000"/>
                <w:sz w:val="24"/>
              </w:rPr>
              <w:t>002352</w:t>
            </w:r>
          </w:p>
        </w:tc>
        <w:tc>
          <w:tcPr>
            <w:tcW w:w="1375" w:type="dxa"/>
            <w:vAlign w:val="center"/>
          </w:tcPr>
          <w:p w:rsidR="00345EA6" w:rsidRDefault="00756E0F">
            <w:pPr>
              <w:jc w:val="center"/>
            </w:pPr>
            <w:r>
              <w:rPr>
                <w:color w:val="000000"/>
                <w:sz w:val="24"/>
              </w:rPr>
              <w:t>顺丰控股</w:t>
            </w:r>
          </w:p>
        </w:tc>
        <w:tc>
          <w:tcPr>
            <w:tcW w:w="1908" w:type="dxa"/>
            <w:vAlign w:val="center"/>
          </w:tcPr>
          <w:p w:rsidR="00345EA6" w:rsidRDefault="00756E0F">
            <w:pPr>
              <w:jc w:val="right"/>
            </w:pPr>
            <w:r>
              <w:rPr>
                <w:color w:val="000000"/>
                <w:sz w:val="24"/>
              </w:rPr>
              <w:t>8,049,000.00</w:t>
            </w:r>
          </w:p>
        </w:tc>
        <w:tc>
          <w:tcPr>
            <w:tcW w:w="1426" w:type="dxa"/>
            <w:vAlign w:val="center"/>
          </w:tcPr>
          <w:p w:rsidR="00345EA6" w:rsidRDefault="00756E0F">
            <w:pPr>
              <w:jc w:val="right"/>
            </w:pPr>
            <w:r>
              <w:rPr>
                <w:color w:val="000000"/>
                <w:sz w:val="24"/>
              </w:rPr>
              <w:t>0.90</w:t>
            </w:r>
          </w:p>
        </w:tc>
        <w:tc>
          <w:tcPr>
            <w:tcW w:w="1768" w:type="dxa"/>
            <w:vAlign w:val="center"/>
          </w:tcPr>
          <w:p w:rsidR="00345EA6" w:rsidRDefault="00756E0F">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647"/>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64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476"/>
        <w:gridCol w:w="1517"/>
        <w:gridCol w:w="1716"/>
        <w:gridCol w:w="1535"/>
      </w:tblGrid>
      <w:tr w:rsidR="00756E0F" w:rsidRPr="005312D8" w:rsidTr="00756E0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45EA6" w:rsidRDefault="00756E0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756E0F" w:rsidRPr="005312D8" w:rsidTr="00756E0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45EA6" w:rsidRDefault="00345EA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756E0F" w:rsidRPr="005312D8" w:rsidTr="00756E0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45EA6" w:rsidRDefault="00345EA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756E0F" w:rsidRPr="005312D8" w:rsidTr="00756E0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45EA6" w:rsidRDefault="00756E0F">
            <w:pPr>
              <w:jc w:val="center"/>
            </w:pPr>
            <w:r>
              <w:rPr>
                <w:bCs/>
                <w:color w:val="000000"/>
                <w:sz w:val="24"/>
              </w:rPr>
              <w:t>67,127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11,808.76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1,226,839.71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0.15%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791,459,571.03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99.85%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649"/>
      <w:r w:rsidRPr="005312D8">
        <w:rPr>
          <w:rFonts w:ascii="Times New Roman" w:hAnsi="Times New Roman"/>
          <w:kern w:val="0"/>
          <w:szCs w:val="24"/>
        </w:rPr>
        <w:lastRenderedPageBreak/>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8,857.05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65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651"/>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2020</w:t>
            </w:r>
            <w:r w:rsidRPr="005312D8">
              <w:rPr>
                <w:sz w:val="24"/>
              </w:rPr>
              <w:t>年</w:t>
            </w:r>
            <w:r w:rsidRPr="005312D8">
              <w:rPr>
                <w:sz w:val="24"/>
              </w:rPr>
              <w:t>1</w:t>
            </w:r>
            <w:r w:rsidRPr="005312D8">
              <w:rPr>
                <w:sz w:val="24"/>
              </w:rPr>
              <w:t>月</w:t>
            </w:r>
            <w:r w:rsidRPr="005312D8">
              <w:rPr>
                <w:sz w:val="24"/>
              </w:rPr>
              <w:t>20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989,622,080.10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基金合同生效日起至报告期期末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196,935,669.36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792,686,410.74</w:t>
            </w:r>
          </w:p>
        </w:tc>
      </w:tr>
    </w:tbl>
    <w:p w:rsidR="00345EA6" w:rsidRDefault="00756E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652"/>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71653"/>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654"/>
      <w:r>
        <w:rPr>
          <w:rFonts w:ascii="Times New Roman" w:hAnsi="Times New Roman"/>
          <w:kern w:val="0"/>
          <w:szCs w:val="24"/>
        </w:rPr>
        <w:lastRenderedPageBreak/>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345EA6" w:rsidRDefault="00756E0F">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655"/>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656"/>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657"/>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658"/>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345EA6" w:rsidRDefault="00756E0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45EA6" w:rsidRDefault="00756E0F">
      <w:pPr>
        <w:tabs>
          <w:tab w:val="left" w:pos="426"/>
        </w:tabs>
        <w:spacing w:before="29" w:line="288" w:lineRule="auto"/>
        <w:jc w:val="left"/>
        <w:rPr>
          <w:kern w:val="0"/>
          <w:sz w:val="24"/>
        </w:rPr>
      </w:pPr>
      <w:r>
        <w:rPr>
          <w:kern w:val="0"/>
          <w:sz w:val="24"/>
        </w:rPr>
        <w:t>基金管理人及其高级管理人员本报告期内未受监管部门稽查或处罚。</w:t>
      </w:r>
    </w:p>
    <w:p w:rsidR="00345EA6" w:rsidRDefault="00756E0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659"/>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345EA6">
        <w:tc>
          <w:tcPr>
            <w:tcW w:w="1560" w:type="dxa"/>
            <w:vAlign w:val="center"/>
          </w:tcPr>
          <w:p w:rsidR="00345EA6" w:rsidRDefault="00756E0F">
            <w:pPr>
              <w:jc w:val="left"/>
            </w:pPr>
            <w:r>
              <w:rPr>
                <w:rFonts w:eastAsiaTheme="minorEastAsia"/>
                <w:sz w:val="24"/>
              </w:rPr>
              <w:t>华泰证券股份有限公司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84,900,024.82</w:t>
            </w:r>
          </w:p>
        </w:tc>
        <w:tc>
          <w:tcPr>
            <w:tcW w:w="1080" w:type="dxa"/>
            <w:vAlign w:val="center"/>
          </w:tcPr>
          <w:p w:rsidR="00345EA6" w:rsidRDefault="00756E0F">
            <w:pPr>
              <w:jc w:val="right"/>
            </w:pPr>
            <w:r>
              <w:rPr>
                <w:rFonts w:eastAsiaTheme="minorEastAsia"/>
                <w:sz w:val="24"/>
              </w:rPr>
              <w:t>7.58%</w:t>
            </w:r>
          </w:p>
        </w:tc>
        <w:tc>
          <w:tcPr>
            <w:tcW w:w="1620" w:type="dxa"/>
            <w:vAlign w:val="center"/>
          </w:tcPr>
          <w:p w:rsidR="00345EA6" w:rsidRDefault="00756E0F">
            <w:pPr>
              <w:jc w:val="right"/>
            </w:pPr>
            <w:r>
              <w:rPr>
                <w:rFonts w:eastAsiaTheme="minorEastAsia"/>
                <w:sz w:val="24"/>
              </w:rPr>
              <w:t>79,067.21</w:t>
            </w:r>
          </w:p>
        </w:tc>
        <w:tc>
          <w:tcPr>
            <w:tcW w:w="1080" w:type="dxa"/>
            <w:vAlign w:val="center"/>
          </w:tcPr>
          <w:p w:rsidR="00345EA6" w:rsidRDefault="00756E0F">
            <w:pPr>
              <w:jc w:val="right"/>
            </w:pPr>
            <w:r>
              <w:rPr>
                <w:rFonts w:eastAsiaTheme="minorEastAsia"/>
                <w:sz w:val="24"/>
              </w:rPr>
              <w:t>7.58%</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申万宏源证券有限公司</w:t>
            </w:r>
          </w:p>
        </w:tc>
        <w:tc>
          <w:tcPr>
            <w:tcW w:w="780" w:type="dxa"/>
            <w:vAlign w:val="center"/>
          </w:tcPr>
          <w:p w:rsidR="00345EA6" w:rsidRDefault="00756E0F">
            <w:pPr>
              <w:jc w:val="right"/>
            </w:pPr>
            <w:r>
              <w:rPr>
                <w:rFonts w:eastAsiaTheme="minorEastAsia" w:hint="eastAsia"/>
                <w:sz w:val="24"/>
              </w:rPr>
              <w:t>1</w:t>
            </w:r>
          </w:p>
        </w:tc>
        <w:tc>
          <w:tcPr>
            <w:tcW w:w="1800" w:type="dxa"/>
            <w:vAlign w:val="center"/>
          </w:tcPr>
          <w:p w:rsidR="00345EA6" w:rsidRDefault="00756E0F">
            <w:pPr>
              <w:jc w:val="right"/>
            </w:pPr>
            <w:r>
              <w:rPr>
                <w:rFonts w:eastAsiaTheme="minorEastAsia"/>
                <w:sz w:val="24"/>
              </w:rPr>
              <w:t>7,686,850.00</w:t>
            </w:r>
          </w:p>
        </w:tc>
        <w:tc>
          <w:tcPr>
            <w:tcW w:w="1080" w:type="dxa"/>
            <w:vAlign w:val="center"/>
          </w:tcPr>
          <w:p w:rsidR="00345EA6" w:rsidRDefault="00756E0F">
            <w:pPr>
              <w:jc w:val="right"/>
            </w:pPr>
            <w:r>
              <w:rPr>
                <w:rFonts w:eastAsiaTheme="minorEastAsia"/>
                <w:sz w:val="24"/>
              </w:rPr>
              <w:t>0.69%</w:t>
            </w:r>
          </w:p>
        </w:tc>
        <w:tc>
          <w:tcPr>
            <w:tcW w:w="1620" w:type="dxa"/>
            <w:vAlign w:val="center"/>
          </w:tcPr>
          <w:p w:rsidR="00345EA6" w:rsidRDefault="00756E0F">
            <w:pPr>
              <w:jc w:val="right"/>
            </w:pPr>
            <w:r>
              <w:rPr>
                <w:rFonts w:eastAsiaTheme="minorEastAsia"/>
                <w:sz w:val="24"/>
              </w:rPr>
              <w:t>7,158.72</w:t>
            </w:r>
          </w:p>
        </w:tc>
        <w:tc>
          <w:tcPr>
            <w:tcW w:w="1080" w:type="dxa"/>
            <w:vAlign w:val="center"/>
          </w:tcPr>
          <w:p w:rsidR="00345EA6" w:rsidRDefault="00756E0F">
            <w:pPr>
              <w:jc w:val="right"/>
            </w:pPr>
            <w:r>
              <w:rPr>
                <w:rFonts w:eastAsiaTheme="minorEastAsia"/>
                <w:sz w:val="24"/>
              </w:rPr>
              <w:t>0.69%</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光大证券股份有限公司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67,318,983.94</w:t>
            </w:r>
          </w:p>
        </w:tc>
        <w:tc>
          <w:tcPr>
            <w:tcW w:w="1080" w:type="dxa"/>
            <w:vAlign w:val="center"/>
          </w:tcPr>
          <w:p w:rsidR="00345EA6" w:rsidRDefault="00756E0F">
            <w:pPr>
              <w:jc w:val="right"/>
            </w:pPr>
            <w:r>
              <w:rPr>
                <w:rFonts w:eastAsiaTheme="minorEastAsia"/>
                <w:sz w:val="24"/>
              </w:rPr>
              <w:t>6.01%</w:t>
            </w:r>
          </w:p>
        </w:tc>
        <w:tc>
          <w:tcPr>
            <w:tcW w:w="1620" w:type="dxa"/>
            <w:vAlign w:val="center"/>
          </w:tcPr>
          <w:p w:rsidR="00345EA6" w:rsidRDefault="00756E0F">
            <w:pPr>
              <w:jc w:val="right"/>
            </w:pPr>
            <w:r>
              <w:rPr>
                <w:rFonts w:eastAsiaTheme="minorEastAsia"/>
                <w:sz w:val="24"/>
              </w:rPr>
              <w:t>62,782.85</w:t>
            </w:r>
          </w:p>
        </w:tc>
        <w:tc>
          <w:tcPr>
            <w:tcW w:w="1080" w:type="dxa"/>
            <w:vAlign w:val="center"/>
          </w:tcPr>
          <w:p w:rsidR="00345EA6" w:rsidRDefault="00756E0F">
            <w:pPr>
              <w:jc w:val="right"/>
            </w:pPr>
            <w:r>
              <w:rPr>
                <w:rFonts w:eastAsiaTheme="minorEastAsia"/>
                <w:sz w:val="24"/>
              </w:rPr>
              <w:t>6.02%</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海通证券股</w:t>
            </w:r>
            <w:r>
              <w:rPr>
                <w:rFonts w:eastAsiaTheme="minorEastAsia"/>
                <w:sz w:val="24"/>
              </w:rPr>
              <w:lastRenderedPageBreak/>
              <w:t>份有限公司</w:t>
            </w:r>
          </w:p>
        </w:tc>
        <w:tc>
          <w:tcPr>
            <w:tcW w:w="780" w:type="dxa"/>
            <w:vAlign w:val="center"/>
          </w:tcPr>
          <w:p w:rsidR="00345EA6" w:rsidRDefault="00756E0F">
            <w:pPr>
              <w:jc w:val="right"/>
            </w:pPr>
            <w:r>
              <w:rPr>
                <w:rFonts w:eastAsiaTheme="minorEastAsia"/>
                <w:sz w:val="24"/>
              </w:rPr>
              <w:lastRenderedPageBreak/>
              <w:t>1</w:t>
            </w:r>
          </w:p>
        </w:tc>
        <w:tc>
          <w:tcPr>
            <w:tcW w:w="1800" w:type="dxa"/>
            <w:vAlign w:val="center"/>
          </w:tcPr>
          <w:p w:rsidR="00345EA6" w:rsidRDefault="00756E0F">
            <w:pPr>
              <w:jc w:val="right"/>
            </w:pPr>
            <w:r>
              <w:rPr>
                <w:rFonts w:eastAsiaTheme="minorEastAsia"/>
                <w:sz w:val="24"/>
              </w:rPr>
              <w:t>57,152,399.88</w:t>
            </w:r>
          </w:p>
        </w:tc>
        <w:tc>
          <w:tcPr>
            <w:tcW w:w="1080" w:type="dxa"/>
            <w:vAlign w:val="center"/>
          </w:tcPr>
          <w:p w:rsidR="00345EA6" w:rsidRDefault="00756E0F">
            <w:pPr>
              <w:jc w:val="right"/>
            </w:pPr>
            <w:r>
              <w:rPr>
                <w:rFonts w:eastAsiaTheme="minorEastAsia"/>
                <w:sz w:val="24"/>
              </w:rPr>
              <w:t>5.10%</w:t>
            </w:r>
          </w:p>
        </w:tc>
        <w:tc>
          <w:tcPr>
            <w:tcW w:w="1620" w:type="dxa"/>
            <w:vAlign w:val="center"/>
          </w:tcPr>
          <w:p w:rsidR="00345EA6" w:rsidRDefault="00756E0F">
            <w:pPr>
              <w:jc w:val="right"/>
            </w:pPr>
            <w:r>
              <w:rPr>
                <w:rFonts w:eastAsiaTheme="minorEastAsia"/>
                <w:sz w:val="24"/>
              </w:rPr>
              <w:t>53,226.16</w:t>
            </w:r>
          </w:p>
        </w:tc>
        <w:tc>
          <w:tcPr>
            <w:tcW w:w="1080" w:type="dxa"/>
            <w:vAlign w:val="center"/>
          </w:tcPr>
          <w:p w:rsidR="00345EA6" w:rsidRDefault="00756E0F">
            <w:pPr>
              <w:jc w:val="right"/>
            </w:pPr>
            <w:r>
              <w:rPr>
                <w:rFonts w:eastAsiaTheme="minorEastAsia"/>
                <w:sz w:val="24"/>
              </w:rPr>
              <w:t>5.10%</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招商证券股份有限公司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47,669,759.97</w:t>
            </w:r>
          </w:p>
        </w:tc>
        <w:tc>
          <w:tcPr>
            <w:tcW w:w="1080" w:type="dxa"/>
            <w:vAlign w:val="center"/>
          </w:tcPr>
          <w:p w:rsidR="00345EA6" w:rsidRDefault="00756E0F">
            <w:pPr>
              <w:jc w:val="right"/>
            </w:pPr>
            <w:r>
              <w:rPr>
                <w:rFonts w:eastAsiaTheme="minorEastAsia"/>
                <w:sz w:val="24"/>
              </w:rPr>
              <w:t>4.25%</w:t>
            </w:r>
          </w:p>
        </w:tc>
        <w:tc>
          <w:tcPr>
            <w:tcW w:w="1620" w:type="dxa"/>
            <w:vAlign w:val="center"/>
          </w:tcPr>
          <w:p w:rsidR="00345EA6" w:rsidRDefault="00756E0F">
            <w:pPr>
              <w:jc w:val="right"/>
            </w:pPr>
            <w:r>
              <w:rPr>
                <w:rFonts w:eastAsiaTheme="minorEastAsia"/>
                <w:sz w:val="24"/>
              </w:rPr>
              <w:t>44,395.32</w:t>
            </w:r>
          </w:p>
        </w:tc>
        <w:tc>
          <w:tcPr>
            <w:tcW w:w="1080" w:type="dxa"/>
            <w:vAlign w:val="center"/>
          </w:tcPr>
          <w:p w:rsidR="00345EA6" w:rsidRDefault="00756E0F">
            <w:pPr>
              <w:jc w:val="right"/>
            </w:pPr>
            <w:r>
              <w:rPr>
                <w:rFonts w:eastAsiaTheme="minorEastAsia"/>
                <w:sz w:val="24"/>
              </w:rPr>
              <w:t>4.25%</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西南证券股份有限公司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41,221,533.00</w:t>
            </w:r>
          </w:p>
        </w:tc>
        <w:tc>
          <w:tcPr>
            <w:tcW w:w="1080" w:type="dxa"/>
            <w:vAlign w:val="center"/>
          </w:tcPr>
          <w:p w:rsidR="00345EA6" w:rsidRDefault="00756E0F">
            <w:pPr>
              <w:jc w:val="right"/>
            </w:pPr>
            <w:r>
              <w:rPr>
                <w:rFonts w:eastAsiaTheme="minorEastAsia"/>
                <w:sz w:val="24"/>
              </w:rPr>
              <w:t>3.68%</w:t>
            </w:r>
          </w:p>
        </w:tc>
        <w:tc>
          <w:tcPr>
            <w:tcW w:w="1620" w:type="dxa"/>
            <w:vAlign w:val="center"/>
          </w:tcPr>
          <w:p w:rsidR="00345EA6" w:rsidRDefault="00756E0F">
            <w:pPr>
              <w:jc w:val="right"/>
            </w:pPr>
            <w:r>
              <w:rPr>
                <w:rFonts w:eastAsiaTheme="minorEastAsia"/>
                <w:sz w:val="24"/>
              </w:rPr>
              <w:t>38,389.63</w:t>
            </w:r>
          </w:p>
        </w:tc>
        <w:tc>
          <w:tcPr>
            <w:tcW w:w="1080" w:type="dxa"/>
            <w:vAlign w:val="center"/>
          </w:tcPr>
          <w:p w:rsidR="00345EA6" w:rsidRDefault="00756E0F">
            <w:pPr>
              <w:jc w:val="right"/>
            </w:pPr>
            <w:r>
              <w:rPr>
                <w:rFonts w:eastAsiaTheme="minorEastAsia"/>
                <w:sz w:val="24"/>
              </w:rPr>
              <w:t>3.68%</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天风证券股份有限公司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35,683,904.75</w:t>
            </w:r>
          </w:p>
        </w:tc>
        <w:tc>
          <w:tcPr>
            <w:tcW w:w="1080" w:type="dxa"/>
            <w:vAlign w:val="center"/>
          </w:tcPr>
          <w:p w:rsidR="00345EA6" w:rsidRDefault="00756E0F">
            <w:pPr>
              <w:jc w:val="right"/>
            </w:pPr>
            <w:r>
              <w:rPr>
                <w:rFonts w:eastAsiaTheme="minorEastAsia"/>
                <w:sz w:val="24"/>
              </w:rPr>
              <w:t>3.18%</w:t>
            </w:r>
          </w:p>
        </w:tc>
        <w:tc>
          <w:tcPr>
            <w:tcW w:w="1620" w:type="dxa"/>
            <w:vAlign w:val="center"/>
          </w:tcPr>
          <w:p w:rsidR="00345EA6" w:rsidRDefault="00756E0F">
            <w:pPr>
              <w:jc w:val="right"/>
            </w:pPr>
            <w:r>
              <w:rPr>
                <w:rFonts w:eastAsiaTheme="minorEastAsia"/>
                <w:sz w:val="24"/>
              </w:rPr>
              <w:t>33,232.12</w:t>
            </w:r>
          </w:p>
        </w:tc>
        <w:tc>
          <w:tcPr>
            <w:tcW w:w="1080" w:type="dxa"/>
            <w:vAlign w:val="center"/>
          </w:tcPr>
          <w:p w:rsidR="00345EA6" w:rsidRDefault="00756E0F">
            <w:pPr>
              <w:jc w:val="right"/>
            </w:pPr>
            <w:r>
              <w:rPr>
                <w:rFonts w:eastAsiaTheme="minorEastAsia"/>
                <w:sz w:val="24"/>
              </w:rPr>
              <w:t>3.18%</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东方证券股份有限公司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2,908,188.58</w:t>
            </w:r>
          </w:p>
        </w:tc>
        <w:tc>
          <w:tcPr>
            <w:tcW w:w="1080" w:type="dxa"/>
            <w:vAlign w:val="center"/>
          </w:tcPr>
          <w:p w:rsidR="00345EA6" w:rsidRDefault="00756E0F">
            <w:pPr>
              <w:jc w:val="right"/>
            </w:pPr>
            <w:r>
              <w:rPr>
                <w:rFonts w:eastAsiaTheme="minorEastAsia"/>
                <w:sz w:val="24"/>
              </w:rPr>
              <w:t>0.26%</w:t>
            </w:r>
          </w:p>
        </w:tc>
        <w:tc>
          <w:tcPr>
            <w:tcW w:w="1620" w:type="dxa"/>
            <w:vAlign w:val="center"/>
          </w:tcPr>
          <w:p w:rsidR="00345EA6" w:rsidRDefault="00756E0F">
            <w:pPr>
              <w:jc w:val="right"/>
            </w:pPr>
            <w:r>
              <w:rPr>
                <w:rFonts w:eastAsiaTheme="minorEastAsia"/>
                <w:sz w:val="24"/>
              </w:rPr>
              <w:t>2,708.33</w:t>
            </w:r>
          </w:p>
        </w:tc>
        <w:tc>
          <w:tcPr>
            <w:tcW w:w="1080" w:type="dxa"/>
            <w:vAlign w:val="center"/>
          </w:tcPr>
          <w:p w:rsidR="00345EA6" w:rsidRDefault="00756E0F">
            <w:pPr>
              <w:jc w:val="right"/>
            </w:pPr>
            <w:r>
              <w:rPr>
                <w:rFonts w:eastAsiaTheme="minorEastAsia"/>
                <w:sz w:val="24"/>
              </w:rPr>
              <w:t>0.26%</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国泰君安证券股份有限公司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275,590,627.76</w:t>
            </w:r>
          </w:p>
        </w:tc>
        <w:tc>
          <w:tcPr>
            <w:tcW w:w="1080" w:type="dxa"/>
            <w:vAlign w:val="center"/>
          </w:tcPr>
          <w:p w:rsidR="00345EA6" w:rsidRDefault="00756E0F">
            <w:pPr>
              <w:jc w:val="right"/>
            </w:pPr>
            <w:r>
              <w:rPr>
                <w:rFonts w:eastAsiaTheme="minorEastAsia"/>
                <w:sz w:val="24"/>
              </w:rPr>
              <w:t>24.59%</w:t>
            </w:r>
          </w:p>
        </w:tc>
        <w:tc>
          <w:tcPr>
            <w:tcW w:w="1620" w:type="dxa"/>
            <w:vAlign w:val="center"/>
          </w:tcPr>
          <w:p w:rsidR="00345EA6" w:rsidRDefault="00756E0F">
            <w:pPr>
              <w:jc w:val="right"/>
            </w:pPr>
            <w:r>
              <w:rPr>
                <w:rFonts w:eastAsiaTheme="minorEastAsia"/>
                <w:sz w:val="24"/>
              </w:rPr>
              <w:t>256,658.14</w:t>
            </w:r>
          </w:p>
        </w:tc>
        <w:tc>
          <w:tcPr>
            <w:tcW w:w="1080" w:type="dxa"/>
            <w:vAlign w:val="center"/>
          </w:tcPr>
          <w:p w:rsidR="00345EA6" w:rsidRDefault="00756E0F">
            <w:pPr>
              <w:jc w:val="right"/>
            </w:pPr>
            <w:r>
              <w:rPr>
                <w:rFonts w:eastAsiaTheme="minorEastAsia"/>
                <w:sz w:val="24"/>
              </w:rPr>
              <w:t>24.59%</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西部证券股份有限公司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274,622,917.33</w:t>
            </w:r>
          </w:p>
        </w:tc>
        <w:tc>
          <w:tcPr>
            <w:tcW w:w="1080" w:type="dxa"/>
            <w:vAlign w:val="center"/>
          </w:tcPr>
          <w:p w:rsidR="00345EA6" w:rsidRDefault="00756E0F">
            <w:pPr>
              <w:jc w:val="right"/>
            </w:pPr>
            <w:r>
              <w:rPr>
                <w:rFonts w:eastAsiaTheme="minorEastAsia"/>
                <w:sz w:val="24"/>
              </w:rPr>
              <w:t>24.51%</w:t>
            </w:r>
          </w:p>
        </w:tc>
        <w:tc>
          <w:tcPr>
            <w:tcW w:w="1620" w:type="dxa"/>
            <w:vAlign w:val="center"/>
          </w:tcPr>
          <w:p w:rsidR="00345EA6" w:rsidRDefault="00756E0F">
            <w:pPr>
              <w:jc w:val="right"/>
            </w:pPr>
            <w:r>
              <w:rPr>
                <w:rFonts w:eastAsiaTheme="minorEastAsia"/>
                <w:sz w:val="24"/>
              </w:rPr>
              <w:t>255,756.84</w:t>
            </w:r>
          </w:p>
        </w:tc>
        <w:tc>
          <w:tcPr>
            <w:tcW w:w="1080" w:type="dxa"/>
            <w:vAlign w:val="center"/>
          </w:tcPr>
          <w:p w:rsidR="00345EA6" w:rsidRDefault="00756E0F">
            <w:pPr>
              <w:jc w:val="right"/>
            </w:pPr>
            <w:r>
              <w:rPr>
                <w:rFonts w:eastAsiaTheme="minorEastAsia"/>
                <w:sz w:val="24"/>
              </w:rPr>
              <w:t>24.51%</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广发证券股份有限公司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116,453,296.34</w:t>
            </w:r>
          </w:p>
        </w:tc>
        <w:tc>
          <w:tcPr>
            <w:tcW w:w="1080" w:type="dxa"/>
            <w:vAlign w:val="center"/>
          </w:tcPr>
          <w:p w:rsidR="00345EA6" w:rsidRDefault="00756E0F">
            <w:pPr>
              <w:jc w:val="right"/>
            </w:pPr>
            <w:r>
              <w:rPr>
                <w:rFonts w:eastAsiaTheme="minorEastAsia"/>
                <w:sz w:val="24"/>
              </w:rPr>
              <w:t>10.39%</w:t>
            </w:r>
          </w:p>
        </w:tc>
        <w:tc>
          <w:tcPr>
            <w:tcW w:w="1620" w:type="dxa"/>
            <w:vAlign w:val="center"/>
          </w:tcPr>
          <w:p w:rsidR="00345EA6" w:rsidRDefault="00756E0F">
            <w:pPr>
              <w:jc w:val="right"/>
            </w:pPr>
            <w:r>
              <w:rPr>
                <w:rFonts w:eastAsiaTheme="minorEastAsia"/>
                <w:sz w:val="24"/>
              </w:rPr>
              <w:t>108,451.90</w:t>
            </w:r>
          </w:p>
        </w:tc>
        <w:tc>
          <w:tcPr>
            <w:tcW w:w="1080" w:type="dxa"/>
            <w:vAlign w:val="center"/>
          </w:tcPr>
          <w:p w:rsidR="00345EA6" w:rsidRDefault="00756E0F">
            <w:pPr>
              <w:jc w:val="right"/>
            </w:pPr>
            <w:r>
              <w:rPr>
                <w:rFonts w:eastAsiaTheme="minorEastAsia"/>
                <w:sz w:val="24"/>
              </w:rPr>
              <w:t>10.39%</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长江证券股份有限公司</w:t>
            </w:r>
          </w:p>
        </w:tc>
        <w:tc>
          <w:tcPr>
            <w:tcW w:w="780" w:type="dxa"/>
            <w:vAlign w:val="center"/>
          </w:tcPr>
          <w:p w:rsidR="00345EA6" w:rsidRDefault="00756E0F">
            <w:pPr>
              <w:jc w:val="right"/>
            </w:pPr>
            <w:r>
              <w:rPr>
                <w:rFonts w:eastAsiaTheme="minorEastAsia"/>
                <w:sz w:val="24"/>
              </w:rPr>
              <w:t>2</w:t>
            </w:r>
          </w:p>
        </w:tc>
        <w:tc>
          <w:tcPr>
            <w:tcW w:w="1800" w:type="dxa"/>
            <w:vAlign w:val="center"/>
          </w:tcPr>
          <w:p w:rsidR="00345EA6" w:rsidRDefault="00756E0F">
            <w:pPr>
              <w:jc w:val="right"/>
            </w:pPr>
            <w:r>
              <w:rPr>
                <w:rFonts w:eastAsiaTheme="minorEastAsia"/>
                <w:sz w:val="24"/>
              </w:rPr>
              <w:t>109,343,841.23</w:t>
            </w:r>
          </w:p>
        </w:tc>
        <w:tc>
          <w:tcPr>
            <w:tcW w:w="1080" w:type="dxa"/>
            <w:vAlign w:val="center"/>
          </w:tcPr>
          <w:p w:rsidR="00345EA6" w:rsidRDefault="00756E0F">
            <w:pPr>
              <w:jc w:val="right"/>
            </w:pPr>
            <w:r>
              <w:rPr>
                <w:rFonts w:eastAsiaTheme="minorEastAsia"/>
                <w:sz w:val="24"/>
              </w:rPr>
              <w:t>9.76%</w:t>
            </w:r>
          </w:p>
        </w:tc>
        <w:tc>
          <w:tcPr>
            <w:tcW w:w="1620" w:type="dxa"/>
            <w:vAlign w:val="center"/>
          </w:tcPr>
          <w:p w:rsidR="00345EA6" w:rsidRDefault="00756E0F">
            <w:pPr>
              <w:jc w:val="right"/>
            </w:pPr>
            <w:r>
              <w:rPr>
                <w:rFonts w:eastAsiaTheme="minorEastAsia"/>
                <w:sz w:val="24"/>
              </w:rPr>
              <w:t>101,831.12</w:t>
            </w:r>
          </w:p>
        </w:tc>
        <w:tc>
          <w:tcPr>
            <w:tcW w:w="1080" w:type="dxa"/>
            <w:vAlign w:val="center"/>
          </w:tcPr>
          <w:p w:rsidR="00345EA6" w:rsidRDefault="00756E0F">
            <w:pPr>
              <w:jc w:val="right"/>
            </w:pPr>
            <w:r>
              <w:rPr>
                <w:rFonts w:eastAsiaTheme="minorEastAsia"/>
                <w:sz w:val="24"/>
              </w:rPr>
              <w:t>9.76%</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东兴证券股份有限公司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川财证券有限责任公司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北京高华证券有限责任公司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国信证券股份有限公司</w:t>
            </w:r>
          </w:p>
        </w:tc>
        <w:tc>
          <w:tcPr>
            <w:tcW w:w="780" w:type="dxa"/>
            <w:vAlign w:val="center"/>
          </w:tcPr>
          <w:p w:rsidR="00345EA6" w:rsidRDefault="00756E0F">
            <w:pPr>
              <w:jc w:val="right"/>
            </w:pPr>
            <w:r>
              <w:rPr>
                <w:rFonts w:eastAsiaTheme="minorEastAsia"/>
                <w:sz w:val="24"/>
              </w:rPr>
              <w:t>2</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中国国际金融股份有限公司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瑞银证券有限责任公司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兴业证券股份有限公司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r w:rsidR="00345EA6">
        <w:tc>
          <w:tcPr>
            <w:tcW w:w="1560" w:type="dxa"/>
            <w:vAlign w:val="center"/>
          </w:tcPr>
          <w:p w:rsidR="00345EA6" w:rsidRDefault="00756E0F">
            <w:pPr>
              <w:jc w:val="left"/>
            </w:pPr>
            <w:r>
              <w:rPr>
                <w:rFonts w:eastAsiaTheme="minorEastAsia"/>
                <w:sz w:val="24"/>
              </w:rPr>
              <w:t>民生证券股份有限公司</w:t>
            </w:r>
          </w:p>
        </w:tc>
        <w:tc>
          <w:tcPr>
            <w:tcW w:w="780" w:type="dxa"/>
            <w:vAlign w:val="center"/>
          </w:tcPr>
          <w:p w:rsidR="00345EA6" w:rsidRDefault="00756E0F">
            <w:pPr>
              <w:jc w:val="right"/>
            </w:pPr>
            <w:r>
              <w:rPr>
                <w:rFonts w:eastAsiaTheme="minorEastAsia"/>
                <w:sz w:val="24"/>
              </w:rPr>
              <w:t>1</w:t>
            </w:r>
          </w:p>
        </w:tc>
        <w:tc>
          <w:tcPr>
            <w:tcW w:w="180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62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right"/>
            </w:pPr>
            <w:r>
              <w:rPr>
                <w:rFonts w:eastAsiaTheme="minorEastAsia"/>
                <w:sz w:val="24"/>
              </w:rPr>
              <w:t>-</w:t>
            </w:r>
          </w:p>
        </w:tc>
        <w:tc>
          <w:tcPr>
            <w:tcW w:w="1080" w:type="dxa"/>
            <w:vAlign w:val="center"/>
          </w:tcPr>
          <w:p w:rsidR="00345EA6" w:rsidRDefault="00756E0F">
            <w:pPr>
              <w:jc w:val="left"/>
            </w:pPr>
            <w:r>
              <w:rPr>
                <w:rFonts w:eastAsiaTheme="minorEastAsia"/>
                <w:sz w:val="24"/>
              </w:rPr>
              <w:t>-</w:t>
            </w:r>
          </w:p>
        </w:tc>
      </w:tr>
    </w:tbl>
    <w:p w:rsidR="00345EA6" w:rsidRDefault="00756E0F">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、报告期内，本基金以上交易单元均为新增交易单元；</w:t>
      </w:r>
    </w:p>
    <w:p w:rsidR="00345EA6" w:rsidRDefault="00756E0F">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71660"/>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271661"/>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345EA6">
        <w:tc>
          <w:tcPr>
            <w:tcW w:w="720" w:type="dxa"/>
            <w:vAlign w:val="center"/>
          </w:tcPr>
          <w:p w:rsidR="00345EA6" w:rsidRDefault="00756E0F">
            <w:pPr>
              <w:jc w:val="center"/>
            </w:pPr>
            <w:r>
              <w:rPr>
                <w:color w:val="000000"/>
                <w:sz w:val="24"/>
              </w:rPr>
              <w:t>1</w:t>
            </w:r>
          </w:p>
        </w:tc>
        <w:tc>
          <w:tcPr>
            <w:tcW w:w="4319" w:type="dxa"/>
            <w:vAlign w:val="center"/>
          </w:tcPr>
          <w:p w:rsidR="00345EA6" w:rsidRDefault="00756E0F">
            <w:r>
              <w:rPr>
                <w:color w:val="000000"/>
                <w:sz w:val="24"/>
              </w:rPr>
              <w:t>交银施罗德基金管理有限公司关于交银施罗德科锐科技创新混合型证券投资基金提前结束募集暨进行比例配售的公告</w:t>
            </w:r>
          </w:p>
        </w:tc>
        <w:tc>
          <w:tcPr>
            <w:tcW w:w="2519" w:type="dxa"/>
            <w:vAlign w:val="center"/>
          </w:tcPr>
          <w:p w:rsidR="00345EA6" w:rsidRDefault="00756E0F">
            <w:r>
              <w:rPr>
                <w:color w:val="000000"/>
                <w:sz w:val="24"/>
              </w:rPr>
              <w:t>证券时报、公司网站</w:t>
            </w:r>
          </w:p>
        </w:tc>
        <w:tc>
          <w:tcPr>
            <w:tcW w:w="1440" w:type="dxa"/>
            <w:vAlign w:val="center"/>
          </w:tcPr>
          <w:p w:rsidR="00345EA6" w:rsidRDefault="00756E0F">
            <w:pPr>
              <w:jc w:val="center"/>
            </w:pPr>
            <w:r>
              <w:rPr>
                <w:color w:val="000000"/>
                <w:sz w:val="24"/>
              </w:rPr>
              <w:t>2020-01-15</w:t>
            </w:r>
          </w:p>
        </w:tc>
      </w:tr>
      <w:tr w:rsidR="00345EA6">
        <w:tc>
          <w:tcPr>
            <w:tcW w:w="720" w:type="dxa"/>
            <w:vAlign w:val="center"/>
          </w:tcPr>
          <w:p w:rsidR="00345EA6" w:rsidRDefault="00756E0F">
            <w:pPr>
              <w:jc w:val="center"/>
            </w:pPr>
            <w:r>
              <w:rPr>
                <w:color w:val="000000"/>
                <w:sz w:val="24"/>
              </w:rPr>
              <w:t>2</w:t>
            </w:r>
          </w:p>
        </w:tc>
        <w:tc>
          <w:tcPr>
            <w:tcW w:w="4319" w:type="dxa"/>
            <w:vAlign w:val="center"/>
          </w:tcPr>
          <w:p w:rsidR="00345EA6" w:rsidRDefault="00756E0F">
            <w:r>
              <w:rPr>
                <w:color w:val="000000"/>
                <w:sz w:val="24"/>
              </w:rPr>
              <w:t>交银施罗德基金管理有限公司关于增加交银施罗德科锐科技创新混合型证券投资基金销售机构的公告</w:t>
            </w:r>
          </w:p>
        </w:tc>
        <w:tc>
          <w:tcPr>
            <w:tcW w:w="2519" w:type="dxa"/>
            <w:vAlign w:val="center"/>
          </w:tcPr>
          <w:p w:rsidR="00345EA6" w:rsidRDefault="00756E0F">
            <w:r>
              <w:rPr>
                <w:color w:val="000000"/>
                <w:sz w:val="24"/>
              </w:rPr>
              <w:t>证券时报、公司网站</w:t>
            </w:r>
          </w:p>
        </w:tc>
        <w:tc>
          <w:tcPr>
            <w:tcW w:w="1440" w:type="dxa"/>
            <w:vAlign w:val="center"/>
          </w:tcPr>
          <w:p w:rsidR="00345EA6" w:rsidRDefault="00756E0F">
            <w:pPr>
              <w:jc w:val="center"/>
            </w:pPr>
            <w:r>
              <w:rPr>
                <w:color w:val="000000"/>
                <w:sz w:val="24"/>
              </w:rPr>
              <w:t>2020-01-15</w:t>
            </w:r>
          </w:p>
        </w:tc>
      </w:tr>
      <w:tr w:rsidR="00345EA6">
        <w:tc>
          <w:tcPr>
            <w:tcW w:w="720" w:type="dxa"/>
            <w:vAlign w:val="center"/>
          </w:tcPr>
          <w:p w:rsidR="00345EA6" w:rsidRDefault="00756E0F">
            <w:pPr>
              <w:jc w:val="center"/>
            </w:pPr>
            <w:r>
              <w:rPr>
                <w:color w:val="000000"/>
                <w:sz w:val="24"/>
              </w:rPr>
              <w:t>3</w:t>
            </w:r>
          </w:p>
        </w:tc>
        <w:tc>
          <w:tcPr>
            <w:tcW w:w="4319" w:type="dxa"/>
            <w:vAlign w:val="center"/>
          </w:tcPr>
          <w:p w:rsidR="00345EA6" w:rsidRDefault="00756E0F">
            <w:r>
              <w:rPr>
                <w:color w:val="000000"/>
                <w:sz w:val="24"/>
              </w:rPr>
              <w:t>交银施罗德基金管理有限公司关于交银施罗德科锐科技创新混合型证券投资基金认购申请确认比例结果的公告</w:t>
            </w:r>
          </w:p>
        </w:tc>
        <w:tc>
          <w:tcPr>
            <w:tcW w:w="2519" w:type="dxa"/>
            <w:vAlign w:val="center"/>
          </w:tcPr>
          <w:p w:rsidR="00345EA6" w:rsidRDefault="00756E0F">
            <w:r>
              <w:rPr>
                <w:color w:val="000000"/>
                <w:sz w:val="24"/>
              </w:rPr>
              <w:t>证券时报、公司网站</w:t>
            </w:r>
          </w:p>
        </w:tc>
        <w:tc>
          <w:tcPr>
            <w:tcW w:w="1440" w:type="dxa"/>
            <w:vAlign w:val="center"/>
          </w:tcPr>
          <w:p w:rsidR="00345EA6" w:rsidRDefault="00756E0F">
            <w:pPr>
              <w:jc w:val="center"/>
            </w:pPr>
            <w:r>
              <w:rPr>
                <w:color w:val="000000"/>
                <w:sz w:val="24"/>
              </w:rPr>
              <w:t>2020-01-16</w:t>
            </w:r>
          </w:p>
        </w:tc>
      </w:tr>
      <w:tr w:rsidR="00345EA6">
        <w:tc>
          <w:tcPr>
            <w:tcW w:w="720" w:type="dxa"/>
            <w:vAlign w:val="center"/>
          </w:tcPr>
          <w:p w:rsidR="00345EA6" w:rsidRDefault="00756E0F">
            <w:pPr>
              <w:jc w:val="center"/>
            </w:pPr>
            <w:r>
              <w:rPr>
                <w:color w:val="000000"/>
                <w:sz w:val="24"/>
              </w:rPr>
              <w:t>4</w:t>
            </w:r>
          </w:p>
        </w:tc>
        <w:tc>
          <w:tcPr>
            <w:tcW w:w="4319" w:type="dxa"/>
            <w:vAlign w:val="center"/>
          </w:tcPr>
          <w:p w:rsidR="00345EA6" w:rsidRDefault="00756E0F">
            <w:r>
              <w:rPr>
                <w:color w:val="000000"/>
                <w:sz w:val="24"/>
              </w:rPr>
              <w:t>交银施罗德基金管理有限公司关于交银施罗德科锐科技创新混合型证券投资基金基金合同生效公告</w:t>
            </w:r>
          </w:p>
        </w:tc>
        <w:tc>
          <w:tcPr>
            <w:tcW w:w="2519" w:type="dxa"/>
            <w:vAlign w:val="center"/>
          </w:tcPr>
          <w:p w:rsidR="00345EA6" w:rsidRDefault="00756E0F">
            <w:r>
              <w:rPr>
                <w:color w:val="000000"/>
                <w:sz w:val="24"/>
              </w:rPr>
              <w:t>证券时报、公司网站</w:t>
            </w:r>
          </w:p>
        </w:tc>
        <w:tc>
          <w:tcPr>
            <w:tcW w:w="1440" w:type="dxa"/>
            <w:vAlign w:val="center"/>
          </w:tcPr>
          <w:p w:rsidR="00345EA6" w:rsidRDefault="00756E0F">
            <w:pPr>
              <w:jc w:val="center"/>
            </w:pPr>
            <w:r>
              <w:rPr>
                <w:color w:val="000000"/>
                <w:sz w:val="24"/>
              </w:rPr>
              <w:t>2020-01-21</w:t>
            </w:r>
          </w:p>
        </w:tc>
      </w:tr>
      <w:tr w:rsidR="00345EA6">
        <w:tc>
          <w:tcPr>
            <w:tcW w:w="720" w:type="dxa"/>
            <w:vAlign w:val="center"/>
          </w:tcPr>
          <w:p w:rsidR="00345EA6" w:rsidRDefault="00756E0F">
            <w:pPr>
              <w:jc w:val="center"/>
            </w:pPr>
            <w:r>
              <w:rPr>
                <w:color w:val="000000"/>
                <w:sz w:val="24"/>
              </w:rPr>
              <w:t>5</w:t>
            </w:r>
          </w:p>
        </w:tc>
        <w:tc>
          <w:tcPr>
            <w:tcW w:w="4319" w:type="dxa"/>
            <w:vAlign w:val="center"/>
          </w:tcPr>
          <w:p w:rsidR="00345EA6" w:rsidRDefault="00756E0F">
            <w:r>
              <w:rPr>
                <w:color w:val="000000"/>
                <w:sz w:val="24"/>
              </w:rPr>
              <w:t>交银施罗德基金管理有限公司关于春节假期调整延期办理有关业务的公告</w:t>
            </w:r>
          </w:p>
        </w:tc>
        <w:tc>
          <w:tcPr>
            <w:tcW w:w="2519" w:type="dxa"/>
            <w:vAlign w:val="center"/>
          </w:tcPr>
          <w:p w:rsidR="00345EA6" w:rsidRDefault="00756E0F">
            <w:r>
              <w:rPr>
                <w:color w:val="000000"/>
                <w:sz w:val="24"/>
              </w:rPr>
              <w:t>中国证券报、上海证券报、证券时报、公司网站</w:t>
            </w:r>
          </w:p>
        </w:tc>
        <w:tc>
          <w:tcPr>
            <w:tcW w:w="1440" w:type="dxa"/>
            <w:vAlign w:val="center"/>
          </w:tcPr>
          <w:p w:rsidR="00345EA6" w:rsidRDefault="00756E0F">
            <w:pPr>
              <w:jc w:val="center"/>
            </w:pPr>
            <w:r>
              <w:rPr>
                <w:color w:val="000000"/>
                <w:sz w:val="24"/>
              </w:rPr>
              <w:t>2020-01-31</w:t>
            </w:r>
          </w:p>
        </w:tc>
      </w:tr>
      <w:tr w:rsidR="00345EA6">
        <w:tc>
          <w:tcPr>
            <w:tcW w:w="720" w:type="dxa"/>
            <w:vAlign w:val="center"/>
          </w:tcPr>
          <w:p w:rsidR="00345EA6" w:rsidRDefault="00756E0F">
            <w:pPr>
              <w:jc w:val="center"/>
            </w:pPr>
            <w:r>
              <w:rPr>
                <w:color w:val="000000"/>
                <w:sz w:val="24"/>
              </w:rPr>
              <w:t>6</w:t>
            </w:r>
          </w:p>
        </w:tc>
        <w:tc>
          <w:tcPr>
            <w:tcW w:w="4319" w:type="dxa"/>
            <w:vAlign w:val="center"/>
          </w:tcPr>
          <w:p w:rsidR="00345EA6" w:rsidRDefault="00756E0F">
            <w:r>
              <w:rPr>
                <w:color w:val="000000"/>
                <w:sz w:val="24"/>
              </w:rPr>
              <w:t>交银施罗德基金管理有限公司关于终止泰诚财富基金销售（大连）有限公司办理相关销售业务的公告</w:t>
            </w:r>
          </w:p>
        </w:tc>
        <w:tc>
          <w:tcPr>
            <w:tcW w:w="2519" w:type="dxa"/>
            <w:vAlign w:val="center"/>
          </w:tcPr>
          <w:p w:rsidR="00345EA6" w:rsidRDefault="00756E0F">
            <w:r>
              <w:rPr>
                <w:color w:val="000000"/>
                <w:sz w:val="24"/>
              </w:rPr>
              <w:t>中国证券报、上海证券报、证券时报、公司网站</w:t>
            </w:r>
          </w:p>
        </w:tc>
        <w:tc>
          <w:tcPr>
            <w:tcW w:w="1440" w:type="dxa"/>
            <w:vAlign w:val="center"/>
          </w:tcPr>
          <w:p w:rsidR="00345EA6" w:rsidRDefault="00756E0F">
            <w:pPr>
              <w:jc w:val="center"/>
            </w:pPr>
            <w:r>
              <w:rPr>
                <w:color w:val="000000"/>
                <w:sz w:val="24"/>
              </w:rPr>
              <w:t>2020-03-21</w:t>
            </w:r>
          </w:p>
        </w:tc>
      </w:tr>
      <w:tr w:rsidR="00345EA6">
        <w:tc>
          <w:tcPr>
            <w:tcW w:w="720" w:type="dxa"/>
            <w:vAlign w:val="center"/>
          </w:tcPr>
          <w:p w:rsidR="00345EA6" w:rsidRDefault="00756E0F">
            <w:pPr>
              <w:jc w:val="center"/>
            </w:pPr>
            <w:r>
              <w:rPr>
                <w:color w:val="000000"/>
                <w:sz w:val="24"/>
              </w:rPr>
              <w:t>7</w:t>
            </w:r>
          </w:p>
        </w:tc>
        <w:tc>
          <w:tcPr>
            <w:tcW w:w="4319" w:type="dxa"/>
            <w:vAlign w:val="center"/>
          </w:tcPr>
          <w:p w:rsidR="00345EA6" w:rsidRDefault="00756E0F">
            <w:r>
              <w:rPr>
                <w:color w:val="000000"/>
                <w:sz w:val="24"/>
              </w:rPr>
              <w:t>交银施罗德基金管理有限公司关于暂停部分销售机构办理相关销售业务的公告</w:t>
            </w:r>
          </w:p>
        </w:tc>
        <w:tc>
          <w:tcPr>
            <w:tcW w:w="2519" w:type="dxa"/>
            <w:vAlign w:val="center"/>
          </w:tcPr>
          <w:p w:rsidR="00345EA6" w:rsidRDefault="00756E0F">
            <w:r>
              <w:rPr>
                <w:color w:val="000000"/>
                <w:sz w:val="24"/>
              </w:rPr>
              <w:t>中国证券报、上海证券报、证券时报、公司网站</w:t>
            </w:r>
          </w:p>
        </w:tc>
        <w:tc>
          <w:tcPr>
            <w:tcW w:w="1440" w:type="dxa"/>
            <w:vAlign w:val="center"/>
          </w:tcPr>
          <w:p w:rsidR="00345EA6" w:rsidRDefault="00756E0F">
            <w:pPr>
              <w:jc w:val="center"/>
            </w:pPr>
            <w:r>
              <w:rPr>
                <w:color w:val="000000"/>
                <w:sz w:val="24"/>
              </w:rPr>
              <w:t>2020-04-13</w:t>
            </w:r>
          </w:p>
        </w:tc>
      </w:tr>
      <w:tr w:rsidR="00345EA6">
        <w:tc>
          <w:tcPr>
            <w:tcW w:w="720" w:type="dxa"/>
            <w:vAlign w:val="center"/>
          </w:tcPr>
          <w:p w:rsidR="00345EA6" w:rsidRDefault="00756E0F">
            <w:pPr>
              <w:jc w:val="center"/>
            </w:pPr>
            <w:r>
              <w:rPr>
                <w:color w:val="000000"/>
                <w:sz w:val="24"/>
              </w:rPr>
              <w:t>8</w:t>
            </w:r>
          </w:p>
        </w:tc>
        <w:tc>
          <w:tcPr>
            <w:tcW w:w="4319" w:type="dxa"/>
            <w:vAlign w:val="center"/>
          </w:tcPr>
          <w:p w:rsidR="00345EA6" w:rsidRDefault="00756E0F">
            <w:r>
              <w:rPr>
                <w:color w:val="000000"/>
                <w:sz w:val="24"/>
              </w:rPr>
              <w:t>交银施罗德基金管理有限公司关于交银施罗德科锐科技创新混合型证券投资基金开放日常赎回业务的公告</w:t>
            </w:r>
          </w:p>
        </w:tc>
        <w:tc>
          <w:tcPr>
            <w:tcW w:w="2519" w:type="dxa"/>
            <w:vAlign w:val="center"/>
          </w:tcPr>
          <w:p w:rsidR="00345EA6" w:rsidRDefault="00756E0F">
            <w:r>
              <w:rPr>
                <w:color w:val="000000"/>
                <w:sz w:val="24"/>
              </w:rPr>
              <w:t>证券时报、公司网站</w:t>
            </w:r>
          </w:p>
        </w:tc>
        <w:tc>
          <w:tcPr>
            <w:tcW w:w="1440" w:type="dxa"/>
            <w:vAlign w:val="center"/>
          </w:tcPr>
          <w:p w:rsidR="00345EA6" w:rsidRDefault="00756E0F">
            <w:pPr>
              <w:jc w:val="center"/>
            </w:pPr>
            <w:r>
              <w:rPr>
                <w:color w:val="000000"/>
                <w:sz w:val="24"/>
              </w:rPr>
              <w:t>2020-04-15</w:t>
            </w:r>
          </w:p>
        </w:tc>
      </w:tr>
      <w:tr w:rsidR="00345EA6">
        <w:tc>
          <w:tcPr>
            <w:tcW w:w="720" w:type="dxa"/>
            <w:vAlign w:val="center"/>
          </w:tcPr>
          <w:p w:rsidR="00345EA6" w:rsidRDefault="00756E0F">
            <w:pPr>
              <w:jc w:val="center"/>
            </w:pPr>
            <w:r>
              <w:rPr>
                <w:color w:val="000000"/>
                <w:sz w:val="24"/>
              </w:rPr>
              <w:t>9</w:t>
            </w:r>
          </w:p>
        </w:tc>
        <w:tc>
          <w:tcPr>
            <w:tcW w:w="4319" w:type="dxa"/>
            <w:vAlign w:val="center"/>
          </w:tcPr>
          <w:p w:rsidR="00345EA6" w:rsidRDefault="00756E0F">
            <w:r>
              <w:rPr>
                <w:color w:val="000000"/>
                <w:sz w:val="24"/>
              </w:rPr>
              <w:t>交银施罗德科锐科技创新混合型证券投资基金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345EA6" w:rsidRDefault="00756E0F">
            <w:r>
              <w:rPr>
                <w:color w:val="000000"/>
                <w:sz w:val="24"/>
              </w:rPr>
              <w:t>公司网站</w:t>
            </w:r>
          </w:p>
        </w:tc>
        <w:tc>
          <w:tcPr>
            <w:tcW w:w="1440" w:type="dxa"/>
            <w:vAlign w:val="center"/>
          </w:tcPr>
          <w:p w:rsidR="00345EA6" w:rsidRDefault="00756E0F">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271662"/>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271663"/>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345EA6" w:rsidRDefault="00756E0F">
      <w:pPr>
        <w:spacing w:before="29" w:line="288" w:lineRule="auto"/>
        <w:ind w:firstLineChars="200" w:firstLine="480"/>
        <w:rPr>
          <w:color w:val="000000"/>
          <w:sz w:val="24"/>
        </w:rPr>
      </w:pPr>
      <w:r>
        <w:rPr>
          <w:color w:val="000000"/>
          <w:sz w:val="24"/>
        </w:rPr>
        <w:t>1</w:t>
      </w:r>
      <w:r>
        <w:rPr>
          <w:color w:val="000000"/>
          <w:sz w:val="24"/>
        </w:rPr>
        <w:t>、中国证监会准予交银施罗德科锐科技创新混合型证券投资基金募集注册的文件；</w:t>
      </w:r>
      <w:r>
        <w:rPr>
          <w:color w:val="000000"/>
          <w:sz w:val="24"/>
        </w:rPr>
        <w:t xml:space="preserve"> </w:t>
      </w:r>
    </w:p>
    <w:p w:rsidR="00345EA6" w:rsidRDefault="00756E0F">
      <w:pPr>
        <w:spacing w:before="29" w:line="288" w:lineRule="auto"/>
        <w:ind w:firstLineChars="200" w:firstLine="480"/>
        <w:rPr>
          <w:color w:val="000000"/>
          <w:sz w:val="24"/>
        </w:rPr>
      </w:pPr>
      <w:r>
        <w:rPr>
          <w:color w:val="000000"/>
          <w:sz w:val="24"/>
        </w:rPr>
        <w:t>2</w:t>
      </w:r>
      <w:r>
        <w:rPr>
          <w:color w:val="000000"/>
          <w:sz w:val="24"/>
        </w:rPr>
        <w:t>、《交银施罗德科锐科技创新混合型证券投资基金基金合同》；</w:t>
      </w:r>
      <w:r>
        <w:rPr>
          <w:color w:val="000000"/>
          <w:sz w:val="24"/>
        </w:rPr>
        <w:t xml:space="preserve"> </w:t>
      </w:r>
    </w:p>
    <w:p w:rsidR="00345EA6" w:rsidRDefault="00756E0F">
      <w:pPr>
        <w:spacing w:before="29" w:line="288" w:lineRule="auto"/>
        <w:ind w:firstLineChars="200" w:firstLine="480"/>
        <w:rPr>
          <w:color w:val="000000"/>
          <w:sz w:val="24"/>
        </w:rPr>
      </w:pPr>
      <w:r>
        <w:rPr>
          <w:color w:val="000000"/>
          <w:sz w:val="24"/>
        </w:rPr>
        <w:t>3</w:t>
      </w:r>
      <w:r>
        <w:rPr>
          <w:color w:val="000000"/>
          <w:sz w:val="24"/>
        </w:rPr>
        <w:t>、《交银施罗德科锐科技创新混合型证券投资基金招募说明书》；</w:t>
      </w:r>
      <w:r>
        <w:rPr>
          <w:color w:val="000000"/>
          <w:sz w:val="24"/>
        </w:rPr>
        <w:t xml:space="preserve"> </w:t>
      </w:r>
    </w:p>
    <w:p w:rsidR="00345EA6" w:rsidRDefault="00756E0F">
      <w:pPr>
        <w:spacing w:before="29" w:line="288" w:lineRule="auto"/>
        <w:ind w:firstLineChars="200" w:firstLine="480"/>
        <w:rPr>
          <w:color w:val="000000"/>
          <w:sz w:val="24"/>
        </w:rPr>
      </w:pPr>
      <w:r>
        <w:rPr>
          <w:color w:val="000000"/>
          <w:sz w:val="24"/>
        </w:rPr>
        <w:lastRenderedPageBreak/>
        <w:t>4</w:t>
      </w:r>
      <w:r>
        <w:rPr>
          <w:color w:val="000000"/>
          <w:sz w:val="24"/>
        </w:rPr>
        <w:t>、《交银施罗德科锐科技创新混合型证券投资基金托管协议》；</w:t>
      </w:r>
      <w:r>
        <w:rPr>
          <w:color w:val="000000"/>
          <w:sz w:val="24"/>
        </w:rPr>
        <w:t xml:space="preserve"> </w:t>
      </w:r>
    </w:p>
    <w:p w:rsidR="00345EA6" w:rsidRDefault="00756E0F">
      <w:pPr>
        <w:spacing w:before="29" w:line="288" w:lineRule="auto"/>
        <w:ind w:firstLineChars="200" w:firstLine="480"/>
        <w:rPr>
          <w:color w:val="000000"/>
          <w:sz w:val="24"/>
        </w:rPr>
      </w:pPr>
      <w:r>
        <w:rPr>
          <w:color w:val="000000"/>
          <w:sz w:val="24"/>
        </w:rPr>
        <w:t>5</w:t>
      </w:r>
      <w:r>
        <w:rPr>
          <w:color w:val="000000"/>
          <w:sz w:val="24"/>
        </w:rPr>
        <w:t>、关于申请募集注册交银施罗德科锐科技创新混合型证券投资基金的法律意见书；</w:t>
      </w:r>
      <w:r>
        <w:rPr>
          <w:color w:val="000000"/>
          <w:sz w:val="24"/>
        </w:rPr>
        <w:t xml:space="preserve"> </w:t>
      </w:r>
    </w:p>
    <w:p w:rsidR="00345EA6" w:rsidRDefault="00756E0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45EA6" w:rsidRDefault="00756E0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、报告期内交银施罗德科锐科技创新混合型证券投资基金在指定报刊上各项公告的原稿。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71664"/>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71665"/>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345EA6" w:rsidRDefault="00756E0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F4" w:rsidRDefault="003B3BF4">
      <w:r>
        <w:separator/>
      </w:r>
    </w:p>
  </w:endnote>
  <w:endnote w:type="continuationSeparator" w:id="0">
    <w:p w:rsidR="003B3BF4" w:rsidRDefault="003B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247F">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247F">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F4" w:rsidRDefault="003B3BF4">
      <w:r>
        <w:separator/>
      </w:r>
    </w:p>
  </w:footnote>
  <w:footnote w:type="continuationSeparator" w:id="0">
    <w:p w:rsidR="003B3BF4" w:rsidRDefault="003B3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交银施罗德科锐科技创新混合型证券投资基金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5EA6"/>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3BF4"/>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47F"/>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6E0F"/>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C05F4-06F2-459E-8085-C42A184CD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48</Pages>
  <Words>6119</Words>
  <Characters>34882</Characters>
  <Application>Microsoft Office Word</Application>
  <DocSecurity>0</DocSecurity>
  <Lines>290</Lines>
  <Paragraphs>81</Paragraphs>
  <ScaleCrop>false</ScaleCrop>
  <Company/>
  <LinksUpToDate>false</LinksUpToDate>
  <CharactersWithSpaces>40920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3295</cp:revision>
  <cp:lastPrinted>2007-07-19T00:46:00Z</cp:lastPrinted>
  <dcterms:created xsi:type="dcterms:W3CDTF">2013-08-19T07:44:00Z</dcterms:created>
  <dcterms:modified xsi:type="dcterms:W3CDTF">2020-08-25T10:12:00Z</dcterms:modified>
</cp:coreProperties>
</file>