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交银施罗德股息优化混合型证券投资基金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2017年8月25日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252,772,485.50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47,930,417.03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115,016,743.38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0.4958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453,076,688.37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1.7924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37.24%</w:t>
            </w:r>
          </w:p>
        </w:tc>
        <w:tc>
          <w:tcPr>
            <w:vAlign w:val="center"/>
          </w:tcPr>
          <w:p>
            <w:pPr>
              <w:jc w:val="center"/>
            </w:pPr>
            <w:r>
              <w:rPr>
                <w:color w:val="000000"/>
                <w:sz w:val="24"/>
                <w:szCs w:val="24"/>
              </w:rPr>
              <w:t>1.12%</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29.70%</w:t>
            </w:r>
          </w:p>
        </w:tc>
        <w:tc>
          <w:tcPr>
            <w:vAlign w:val="center"/>
          </w:tcPr>
          <w:p>
            <w:pPr>
              <w:jc w:val="center"/>
            </w:pPr>
            <w:r>
              <w:rPr>
                <w:color w:val="000000"/>
                <w:sz w:val="24"/>
                <w:szCs w:val="24"/>
              </w:rPr>
              <w:t>0.58%</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31.12%</w:t>
            </w:r>
          </w:p>
        </w:tc>
        <w:tc>
          <w:tcPr>
            <w:vAlign w:val="center"/>
          </w:tcPr>
          <w:p>
            <w:pPr>
              <w:jc w:val="center"/>
            </w:pPr>
            <w:r>
              <w:rPr>
                <w:color w:val="000000"/>
                <w:sz w:val="24"/>
                <w:szCs w:val="24"/>
              </w:rPr>
              <w:t>1.64%</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28.85%</w:t>
            </w:r>
          </w:p>
        </w:tc>
        <w:tc>
          <w:tcPr>
            <w:vAlign w:val="center"/>
          </w:tcPr>
          <w:p>
            <w:pPr>
              <w:jc w:val="center"/>
            </w:pPr>
            <w:r>
              <w:rPr>
                <w:color w:val="000000"/>
                <w:sz w:val="24"/>
                <w:szCs w:val="24"/>
              </w:rPr>
              <w:t>0.74%</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45.74%</w:t>
            </w:r>
          </w:p>
        </w:tc>
        <w:tc>
          <w:tcPr>
            <w:vAlign w:val="center"/>
          </w:tcPr>
          <w:p>
            <w:pPr>
              <w:jc w:val="center"/>
            </w:pPr>
            <w:r>
              <w:rPr>
                <w:color w:val="000000"/>
                <w:sz w:val="24"/>
                <w:szCs w:val="24"/>
              </w:rPr>
              <w:t>1.37%</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37.96%</w:t>
            </w:r>
          </w:p>
        </w:tc>
        <w:tc>
          <w:tcPr>
            <w:vAlign w:val="center"/>
          </w:tcPr>
          <w:p>
            <w:pPr>
              <w:jc w:val="center"/>
            </w:pPr>
            <w:r>
              <w:rPr>
                <w:color w:val="000000"/>
                <w:sz w:val="24"/>
                <w:szCs w:val="24"/>
              </w:rPr>
              <w:t>0.65%</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79.24%</w:t>
            </w:r>
          </w:p>
        </w:tc>
        <w:tc>
          <w:tcPr>
            <w:vAlign w:val="center"/>
          </w:tcPr>
          <w:p>
            <w:pPr>
              <w:jc w:val="center"/>
            </w:pPr>
            <w:r>
              <w:rPr>
                <w:color w:val="000000"/>
                <w:sz w:val="24"/>
                <w:szCs w:val="24"/>
              </w:rPr>
              <w:t>1.46%</w:t>
            </w:r>
          </w:p>
        </w:tc>
        <w:tc>
          <w:tcPr>
            <w:vAlign w:val="center"/>
          </w:tcPr>
          <w:p>
            <w:pPr>
              <w:jc w:val="center"/>
            </w:pPr>
            <w:r>
              <w:rPr>
                <w:color w:val="000000"/>
                <w:sz w:val="24"/>
                <w:szCs w:val="24"/>
              </w:rPr>
              <w:t>14.76%</w:t>
            </w:r>
          </w:p>
        </w:tc>
        <w:tc>
          <w:tcPr>
            <w:vAlign w:val="center"/>
          </w:tcPr>
          <w:p>
            <w:pPr>
              <w:jc w:val="center"/>
            </w:pPr>
            <w:r>
              <w:rPr>
                <w:color w:val="000000"/>
                <w:sz w:val="24"/>
                <w:szCs w:val="24"/>
              </w:rPr>
              <w:t>0.76%</w:t>
            </w:r>
          </w:p>
        </w:tc>
        <w:tc>
          <w:tcPr>
            <w:vAlign w:val="center"/>
          </w:tcPr>
          <w:p>
            <w:pPr>
              <w:jc w:val="center"/>
            </w:pPr>
            <w:r>
              <w:rPr>
                <w:color w:val="000000"/>
                <w:sz w:val="24"/>
                <w:szCs w:val="24"/>
              </w:rPr>
              <w:t>64.48%</w:t>
            </w:r>
          </w:p>
        </w:tc>
        <w:tc>
          <w:tcPr>
            <w:vAlign w:val="center"/>
          </w:tcPr>
          <w:p>
            <w:pPr>
              <w:jc w:val="center"/>
            </w:pPr>
            <w:r>
              <w:rPr>
                <w:color w:val="000000"/>
                <w:sz w:val="24"/>
                <w:szCs w:val="24"/>
              </w:rPr>
              <w:t>0.70%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交银施罗德股息优化混合型证券投资基金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2017年8月25日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2017-08-25</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二季度，新冠疫情对国内影响开始弱化，经济出现比较明显的弱复苏。海外市场流动性泛滥，导致全球资本市场溢价率快速提升。A股市场在5-6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二季度主要以消费白马龙头作为底仓的配置思路，持仓上适当做了一些微调，集中到中报较好而且后续增速较快的公司上，整体集中度略微下降。二季度整个消费医药明显跑赢市场，后续随着中秋国庆来临，国内消费行业有望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1）结合疫情后消费复苏的节奏，适当做一些重仓股的结构调整。在追求全年绝对收益的前提下，逐步布局市值相对低估，长期空间巨大的消费服务类龙头公司；（2）海外疫情持续，与海外需求高度相关的制造业等龙头企业，可能在三季度存在一定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400,857,133.71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400,857,133.71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53,733,703.99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16,110,414.37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470,701,252.07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336,939,348.94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6,753,820.57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23,346,143.70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13,556,844.00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650,895.68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19,597,314.50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400,857,133.71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88.47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238,270</w:t>
            </w:r>
          </w:p>
        </w:tc>
        <w:tc>
          <w:tcPr>
            <w:vAlign w:val="center"/>
          </w:tcPr>
          <w:p>
            <w:pPr>
              <w:jc w:val="right"/>
            </w:pPr>
            <w:r>
              <w:rPr>
                <w:color w:val="000000"/>
                <w:sz w:val="24"/>
                <w:szCs w:val="24"/>
              </w:rPr>
              <w:t>40,772,762.40</w:t>
            </w:r>
          </w:p>
        </w:tc>
        <w:tc>
          <w:tcPr>
            <w:vAlign w:val="center"/>
          </w:tcPr>
          <w:p>
            <w:pPr>
              <w:jc w:val="right"/>
            </w:pPr>
            <w:r>
              <w:rPr>
                <w:color w:val="000000"/>
                <w:sz w:val="24"/>
                <w:szCs w:val="24"/>
              </w:rPr>
              <w:t>9.00</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27,406</w:t>
            </w:r>
          </w:p>
        </w:tc>
        <w:tc>
          <w:tcPr>
            <w:vAlign w:val="center"/>
          </w:tcPr>
          <w:p>
            <w:pPr>
              <w:jc w:val="right"/>
            </w:pPr>
            <w:r>
              <w:rPr>
                <w:color w:val="000000"/>
                <w:sz w:val="24"/>
                <w:szCs w:val="24"/>
              </w:rPr>
              <w:t>40,091,689.28</w:t>
            </w:r>
          </w:p>
        </w:tc>
        <w:tc>
          <w:tcPr>
            <w:vAlign w:val="center"/>
          </w:tcPr>
          <w:p>
            <w:pPr>
              <w:jc w:val="right"/>
            </w:pPr>
            <w:r>
              <w:rPr>
                <w:color w:val="000000"/>
                <w:sz w:val="24"/>
                <w:szCs w:val="24"/>
              </w:rPr>
              <w:t>8.85</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1,898,831</w:t>
            </w:r>
          </w:p>
        </w:tc>
        <w:tc>
          <w:tcPr>
            <w:vAlign w:val="center"/>
          </w:tcPr>
          <w:p>
            <w:pPr>
              <w:jc w:val="right"/>
            </w:pPr>
            <w:r>
              <w:rPr>
                <w:color w:val="000000"/>
                <w:sz w:val="24"/>
                <w:szCs w:val="24"/>
              </w:rPr>
              <w:t>37,387,982.39</w:t>
            </w:r>
          </w:p>
        </w:tc>
        <w:tc>
          <w:tcPr>
            <w:vAlign w:val="center"/>
          </w:tcPr>
          <w:p>
            <w:pPr>
              <w:jc w:val="right"/>
            </w:pPr>
            <w:r>
              <w:rPr>
                <w:color w:val="000000"/>
                <w:sz w:val="24"/>
                <w:szCs w:val="24"/>
              </w:rPr>
              <w:t>8.25</w:t>
            </w:r>
          </w:p>
        </w:tc>
      </w:tr>
      <w:tr>
        <w:tc>
          <w:tcPr>
            <w:vAlign w:val="center"/>
          </w:tcPr>
          <w:p>
            <w:pPr>
              <w:jc w:val="center"/>
            </w:pPr>
            <w:r>
              <w:rPr>
                <w:color w:val="000000"/>
                <w:sz w:val="24"/>
                <w:szCs w:val="24"/>
              </w:rPr>
              <w:t>4</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256,200</w:t>
            </w:r>
          </w:p>
        </w:tc>
        <w:tc>
          <w:tcPr>
            <w:vAlign w:val="center"/>
          </w:tcPr>
          <w:p>
            <w:pPr>
              <w:jc w:val="right"/>
            </w:pPr>
            <w:r>
              <w:rPr>
                <w:color w:val="000000"/>
                <w:sz w:val="24"/>
                <w:szCs w:val="24"/>
              </w:rPr>
              <w:t>26,936,868.00</w:t>
            </w:r>
          </w:p>
        </w:tc>
        <w:tc>
          <w:tcPr>
            <w:vAlign w:val="center"/>
          </w:tcPr>
          <w:p>
            <w:pPr>
              <w:jc w:val="right"/>
            </w:pPr>
            <w:r>
              <w:rPr>
                <w:color w:val="000000"/>
                <w:sz w:val="24"/>
                <w:szCs w:val="24"/>
              </w:rPr>
              <w:t>5.95</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245,392</w:t>
            </w:r>
          </w:p>
        </w:tc>
        <w:tc>
          <w:tcPr>
            <w:vAlign w:val="center"/>
          </w:tcPr>
          <w:p>
            <w:pPr>
              <w:jc w:val="right"/>
            </w:pPr>
            <w:r>
              <w:rPr>
                <w:color w:val="000000"/>
                <w:sz w:val="24"/>
                <w:szCs w:val="24"/>
              </w:rPr>
              <w:t>22,649,681.60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357,217</w:t>
            </w:r>
          </w:p>
        </w:tc>
        <w:tc>
          <w:tcPr>
            <w:vAlign w:val="center"/>
          </w:tcPr>
          <w:p>
            <w:pPr>
              <w:jc w:val="right"/>
            </w:pPr>
            <w:r>
              <w:rPr>
                <w:color w:val="000000"/>
                <w:sz w:val="24"/>
                <w:szCs w:val="24"/>
              </w:rPr>
              <w:t>20,207,765.69</w:t>
            </w:r>
          </w:p>
        </w:tc>
        <w:tc>
          <w:tcPr>
            <w:vAlign w:val="center"/>
          </w:tcPr>
          <w:p>
            <w:pPr>
              <w:jc w:val="right"/>
            </w:pPr>
            <w:r>
              <w:rPr>
                <w:color w:val="000000"/>
                <w:sz w:val="24"/>
                <w:szCs w:val="24"/>
              </w:rPr>
              <w:t>4.46</w:t>
            </w:r>
          </w:p>
        </w:tc>
      </w:tr>
      <w:tr>
        <w:tc>
          <w:tcPr>
            <w:vAlign w:val="center"/>
          </w:tcPr>
          <w:p>
            <w:pPr>
              <w:jc w:val="center"/>
            </w:pPr>
            <w:r>
              <w:rPr>
                <w:color w:val="000000"/>
                <w:sz w:val="24"/>
                <w:szCs w:val="24"/>
              </w:rPr>
              <w:t>7</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262,125</w:t>
            </w:r>
          </w:p>
        </w:tc>
        <w:tc>
          <w:tcPr>
            <w:vAlign w:val="center"/>
          </w:tcPr>
          <w:p>
            <w:pPr>
              <w:jc w:val="right"/>
            </w:pPr>
            <w:r>
              <w:rPr>
                <w:color w:val="000000"/>
                <w:sz w:val="24"/>
                <w:szCs w:val="24"/>
              </w:rPr>
              <w:t>20,055,183.75</w:t>
            </w:r>
          </w:p>
        </w:tc>
        <w:tc>
          <w:tcPr>
            <w:vAlign w:val="center"/>
          </w:tcPr>
          <w:p>
            <w:pPr>
              <w:jc w:val="right"/>
            </w:pPr>
            <w:r>
              <w:rPr>
                <w:color w:val="000000"/>
                <w:sz w:val="24"/>
                <w:szCs w:val="24"/>
              </w:rPr>
              <w:t>4.43</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257,710</w:t>
            </w:r>
          </w:p>
        </w:tc>
        <w:tc>
          <w:tcPr>
            <w:vAlign w:val="center"/>
          </w:tcPr>
          <w:p>
            <w:pPr>
              <w:jc w:val="right"/>
            </w:pPr>
            <w:r>
              <w:rPr>
                <w:color w:val="000000"/>
                <w:sz w:val="24"/>
                <w:szCs w:val="24"/>
              </w:rPr>
              <w:t>19,714,815.00</w:t>
            </w:r>
          </w:p>
        </w:tc>
        <w:tc>
          <w:tcPr>
            <w:vAlign w:val="center"/>
          </w:tcPr>
          <w:p>
            <w:pPr>
              <w:jc w:val="right"/>
            </w:pPr>
            <w:r>
              <w:rPr>
                <w:color w:val="000000"/>
                <w:sz w:val="24"/>
                <w:szCs w:val="24"/>
              </w:rPr>
              <w:t>4.35</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177,500</w:t>
            </w:r>
          </w:p>
        </w:tc>
        <w:tc>
          <w:tcPr>
            <w:vAlign w:val="center"/>
          </w:tcPr>
          <w:p>
            <w:pPr>
              <w:jc w:val="right"/>
            </w:pPr>
            <w:r>
              <w:rPr>
                <w:color w:val="000000"/>
                <w:sz w:val="24"/>
                <w:szCs w:val="24"/>
              </w:rPr>
              <w:t>15,886,250.00</w:t>
            </w:r>
          </w:p>
        </w:tc>
        <w:tc>
          <w:tcPr>
            <w:vAlign w:val="center"/>
          </w:tcPr>
          <w:p>
            <w:pPr>
              <w:jc w:val="right"/>
            </w:pPr>
            <w:r>
              <w:rPr>
                <w:color w:val="000000"/>
                <w:sz w:val="24"/>
                <w:szCs w:val="24"/>
              </w:rPr>
              <w:t>3.51</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241,140</w:t>
            </w:r>
          </w:p>
        </w:tc>
        <w:tc>
          <w:tcPr>
            <w:vAlign w:val="center"/>
          </w:tcPr>
          <w:p>
            <w:pPr>
              <w:jc w:val="right"/>
            </w:pPr>
            <w:r>
              <w:rPr>
                <w:color w:val="000000"/>
                <w:sz w:val="24"/>
                <w:szCs w:val="24"/>
              </w:rPr>
              <w:t>13,986,120.00</w:t>
            </w:r>
          </w:p>
        </w:tc>
        <w:tc>
          <w:tcPr>
            <w:vAlign w:val="center"/>
          </w:tcPr>
          <w:p>
            <w:pPr>
              <w:jc w:val="right"/>
            </w:pPr>
            <w:r>
              <w:rPr>
                <w:color w:val="000000"/>
                <w:sz w:val="24"/>
                <w:szCs w:val="24"/>
              </w:rPr>
              <w:t>3.09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125,352.13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15,230,307.12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10,613.22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744,141.90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16,110,414.37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209,630,265.21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86,224,951.31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43,082,731.02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252,772,485.50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25.86%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1、中国证监会准予交银施罗德股息优化混合型证券投资基金募集注册的文件；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2、《交银施罗德股息优化混合型证券投资基金基金合同》；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3、《交银施罗德股息优化混合型证券投资基金招募说明书》；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4、《交银施罗德股息优化混合型证券投资基金托管协议》；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5、关于申请募集注册交银施罗德股息优化混合型证券投资基金的法律意见书；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8、报告期内交银施罗德股息优化混合型证券投资基金在指定报刊上各项公告的原稿。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交银施罗德股息优化混合型证券投资基金2020年第2季度报告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