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47CD5" w:rsidRDefault="00181D5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2,904,206,746.99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C6769" w:rsidRPr="00414345" w:rsidTr="000C676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C6769" w:rsidRPr="00414345" w:rsidTr="000C67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24,488,472.77</w:t>
            </w:r>
          </w:p>
        </w:tc>
      </w:tr>
      <w:tr w:rsidR="000C6769" w:rsidRPr="00414345" w:rsidTr="000C67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-8,402,701.03</w:t>
            </w:r>
          </w:p>
        </w:tc>
      </w:tr>
      <w:tr w:rsidR="000C6769" w:rsidRPr="00414345" w:rsidTr="000C67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-0.0031</w:t>
            </w:r>
          </w:p>
        </w:tc>
      </w:tr>
      <w:tr w:rsidR="000C6769" w:rsidRPr="00414345" w:rsidTr="000C67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3,384,074,474.08</w:t>
            </w:r>
          </w:p>
        </w:tc>
      </w:tr>
      <w:tr w:rsidR="000C6769" w:rsidRPr="00414345" w:rsidTr="000C676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1.165</w:t>
            </w:r>
          </w:p>
        </w:tc>
      </w:tr>
    </w:tbl>
    <w:p w:rsidR="00347CD5" w:rsidRDefault="00181D5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181D54">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7400B">
        <w:trPr>
          <w:jc w:val="center"/>
        </w:trPr>
        <w:tc>
          <w:tcPr>
            <w:tcW w:w="1701" w:type="dxa"/>
            <w:vAlign w:val="center"/>
          </w:tcPr>
          <w:p w:rsidR="00F7400B" w:rsidRDefault="00F7400B" w:rsidP="00F7400B">
            <w:pPr>
              <w:jc w:val="left"/>
            </w:pPr>
            <w:bookmarkStart w:id="0" w:name="_GoBack" w:colFirst="1" w:colLast="6"/>
            <w:r>
              <w:rPr>
                <w:color w:val="000000"/>
                <w:sz w:val="24"/>
                <w:szCs w:val="24"/>
              </w:rPr>
              <w:t>过去三个月</w:t>
            </w:r>
          </w:p>
        </w:tc>
        <w:tc>
          <w:tcPr>
            <w:tcW w:w="1045" w:type="dxa"/>
            <w:vAlign w:val="center"/>
          </w:tcPr>
          <w:p w:rsidR="00F7400B" w:rsidRPr="00F7400B" w:rsidRDefault="00F7400B" w:rsidP="00F7400B">
            <w:pPr>
              <w:widowControl/>
              <w:jc w:val="center"/>
              <w:rPr>
                <w:color w:val="000000"/>
                <w:kern w:val="2"/>
                <w:sz w:val="24"/>
                <w:szCs w:val="24"/>
              </w:rPr>
            </w:pPr>
            <w:r w:rsidRPr="00F7400B">
              <w:rPr>
                <w:rFonts w:hint="eastAsia"/>
                <w:color w:val="000000"/>
                <w:kern w:val="2"/>
                <w:sz w:val="24"/>
                <w:szCs w:val="24"/>
              </w:rPr>
              <w:t>0.00%</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-1.31%</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1.31%</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0.00%</w:t>
            </w:r>
          </w:p>
        </w:tc>
      </w:tr>
      <w:tr w:rsidR="00F7400B">
        <w:trPr>
          <w:jc w:val="center"/>
        </w:trPr>
        <w:tc>
          <w:tcPr>
            <w:tcW w:w="1701" w:type="dxa"/>
            <w:vAlign w:val="center"/>
          </w:tcPr>
          <w:p w:rsidR="00F7400B" w:rsidRDefault="00F7400B" w:rsidP="00F7400B">
            <w:pPr>
              <w:jc w:val="left"/>
              <w:rPr>
                <w:color w:val="000000"/>
                <w:sz w:val="24"/>
                <w:szCs w:val="24"/>
              </w:rPr>
            </w:pPr>
            <w:r>
              <w:rPr>
                <w:color w:val="000000"/>
                <w:sz w:val="24"/>
                <w:szCs w:val="24"/>
              </w:rPr>
              <w:t>过去</w:t>
            </w:r>
            <w:r>
              <w:rPr>
                <w:rFonts w:hint="eastAsia"/>
                <w:color w:val="000000"/>
                <w:sz w:val="24"/>
                <w:szCs w:val="24"/>
              </w:rPr>
              <w:t>六个月</w:t>
            </w:r>
          </w:p>
        </w:tc>
        <w:tc>
          <w:tcPr>
            <w:tcW w:w="1045"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1.75%</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0.14%</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1.61%</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0.00%</w:t>
            </w:r>
          </w:p>
        </w:tc>
      </w:tr>
      <w:tr w:rsidR="00F7400B">
        <w:trPr>
          <w:jc w:val="center"/>
        </w:trPr>
        <w:tc>
          <w:tcPr>
            <w:tcW w:w="1701" w:type="dxa"/>
            <w:vAlign w:val="center"/>
          </w:tcPr>
          <w:p w:rsidR="00F7400B" w:rsidRDefault="00F7400B" w:rsidP="00F7400B">
            <w:pPr>
              <w:jc w:val="left"/>
              <w:rPr>
                <w:color w:val="000000"/>
                <w:sz w:val="24"/>
                <w:szCs w:val="24"/>
              </w:rPr>
            </w:pPr>
            <w:r>
              <w:rPr>
                <w:color w:val="000000"/>
                <w:sz w:val="24"/>
                <w:szCs w:val="24"/>
              </w:rPr>
              <w:t>过去</w:t>
            </w:r>
            <w:r>
              <w:rPr>
                <w:rFonts w:hint="eastAsia"/>
                <w:color w:val="000000"/>
                <w:sz w:val="24"/>
                <w:szCs w:val="24"/>
              </w:rPr>
              <w:t>一年</w:t>
            </w:r>
          </w:p>
        </w:tc>
        <w:tc>
          <w:tcPr>
            <w:tcW w:w="1045"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3.63%</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0.07%</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0.89%</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0.07%</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2.74%</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0.00%</w:t>
            </w:r>
          </w:p>
        </w:tc>
      </w:tr>
      <w:tr w:rsidR="00F7400B">
        <w:trPr>
          <w:jc w:val="center"/>
        </w:trPr>
        <w:tc>
          <w:tcPr>
            <w:tcW w:w="1701" w:type="dxa"/>
            <w:vAlign w:val="center"/>
          </w:tcPr>
          <w:p w:rsidR="00F7400B" w:rsidRDefault="00F7400B" w:rsidP="00F7400B">
            <w:pPr>
              <w:jc w:val="left"/>
              <w:rPr>
                <w:color w:val="000000"/>
                <w:sz w:val="24"/>
                <w:szCs w:val="24"/>
              </w:rPr>
            </w:pPr>
            <w:r>
              <w:rPr>
                <w:color w:val="000000"/>
                <w:sz w:val="24"/>
                <w:szCs w:val="24"/>
              </w:rPr>
              <w:t>过去</w:t>
            </w:r>
            <w:r>
              <w:rPr>
                <w:rFonts w:hint="eastAsia"/>
                <w:color w:val="000000"/>
                <w:sz w:val="24"/>
                <w:szCs w:val="24"/>
              </w:rPr>
              <w:t>三年</w:t>
            </w:r>
          </w:p>
        </w:tc>
        <w:tc>
          <w:tcPr>
            <w:tcW w:w="1045"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13.78%</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0.08%</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1.03%</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0.06%</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12.75%</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0.02%</w:t>
            </w:r>
          </w:p>
        </w:tc>
      </w:tr>
      <w:tr w:rsidR="00F7400B">
        <w:trPr>
          <w:jc w:val="center"/>
        </w:trPr>
        <w:tc>
          <w:tcPr>
            <w:tcW w:w="1701" w:type="dxa"/>
            <w:vAlign w:val="center"/>
          </w:tcPr>
          <w:p w:rsidR="00F7400B" w:rsidRDefault="00F7400B" w:rsidP="00F7400B">
            <w:pPr>
              <w:jc w:val="left"/>
              <w:rPr>
                <w:color w:val="000000"/>
                <w:sz w:val="24"/>
                <w:szCs w:val="24"/>
              </w:rPr>
            </w:pPr>
            <w:r>
              <w:rPr>
                <w:color w:val="000000"/>
                <w:sz w:val="24"/>
                <w:szCs w:val="24"/>
              </w:rPr>
              <w:t>过去</w:t>
            </w:r>
            <w:r>
              <w:rPr>
                <w:rFonts w:hint="eastAsia"/>
                <w:color w:val="000000"/>
                <w:sz w:val="24"/>
                <w:szCs w:val="24"/>
              </w:rPr>
              <w:t>五年</w:t>
            </w:r>
          </w:p>
        </w:tc>
        <w:tc>
          <w:tcPr>
            <w:tcW w:w="1045"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23.32%</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-9.77%</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0.08%</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33.09%</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0.01%</w:t>
            </w:r>
          </w:p>
        </w:tc>
      </w:tr>
      <w:tr w:rsidR="00F7400B">
        <w:trPr>
          <w:jc w:val="center"/>
        </w:trPr>
        <w:tc>
          <w:tcPr>
            <w:tcW w:w="1701" w:type="dxa"/>
            <w:vAlign w:val="center"/>
          </w:tcPr>
          <w:p w:rsidR="00F7400B" w:rsidRDefault="00F7400B" w:rsidP="00F7400B">
            <w:pPr>
              <w:jc w:val="left"/>
              <w:rPr>
                <w:color w:val="000000"/>
                <w:sz w:val="24"/>
                <w:szCs w:val="24"/>
              </w:rPr>
            </w:pPr>
            <w:r>
              <w:rPr>
                <w:rFonts w:hint="eastAsia"/>
                <w:color w:val="000000"/>
                <w:sz w:val="24"/>
                <w:szCs w:val="24"/>
              </w:rPr>
              <w:t>自</w:t>
            </w:r>
            <w:r>
              <w:rPr>
                <w:color w:val="000000"/>
                <w:sz w:val="24"/>
                <w:szCs w:val="24"/>
              </w:rPr>
              <w:t>基金合同</w:t>
            </w:r>
            <w:r>
              <w:rPr>
                <w:rFonts w:hint="eastAsia"/>
                <w:color w:val="000000"/>
                <w:sz w:val="24"/>
                <w:szCs w:val="24"/>
              </w:rPr>
              <w:t>生效</w:t>
            </w:r>
            <w:r>
              <w:rPr>
                <w:color w:val="000000"/>
                <w:sz w:val="24"/>
                <w:szCs w:val="24"/>
              </w:rPr>
              <w:t>起至今</w:t>
            </w:r>
          </w:p>
        </w:tc>
        <w:tc>
          <w:tcPr>
            <w:tcW w:w="1045"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73.20%</w:t>
            </w:r>
          </w:p>
        </w:tc>
        <w:tc>
          <w:tcPr>
            <w:tcW w:w="134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0.22%</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-5.22%</w:t>
            </w:r>
          </w:p>
        </w:tc>
        <w:tc>
          <w:tcPr>
            <w:tcW w:w="1492"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0.09%</w:t>
            </w:r>
          </w:p>
        </w:tc>
        <w:tc>
          <w:tcPr>
            <w:tcW w:w="1194"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78.42%</w:t>
            </w:r>
          </w:p>
        </w:tc>
        <w:tc>
          <w:tcPr>
            <w:tcW w:w="898" w:type="dxa"/>
            <w:vAlign w:val="center"/>
          </w:tcPr>
          <w:p w:rsidR="00F7400B" w:rsidRPr="00F7400B" w:rsidRDefault="00F7400B" w:rsidP="00F7400B">
            <w:pPr>
              <w:jc w:val="center"/>
              <w:rPr>
                <w:rFonts w:hint="eastAsia"/>
                <w:color w:val="000000"/>
                <w:kern w:val="2"/>
                <w:sz w:val="24"/>
                <w:szCs w:val="24"/>
              </w:rPr>
            </w:pPr>
            <w:r w:rsidRPr="00F7400B">
              <w:rPr>
                <w:rFonts w:hint="eastAsia"/>
                <w:color w:val="000000"/>
                <w:kern w:val="2"/>
                <w:sz w:val="24"/>
                <w:szCs w:val="24"/>
              </w:rPr>
              <w:t>0.13%</w:t>
            </w:r>
          </w:p>
        </w:tc>
      </w:tr>
      <w:bookmarkEnd w:id="0"/>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47CD5">
        <w:trPr>
          <w:jc w:val="center"/>
        </w:trPr>
        <w:tc>
          <w:tcPr>
            <w:tcW w:w="846" w:type="dxa"/>
            <w:vAlign w:val="center"/>
          </w:tcPr>
          <w:p w:rsidR="00347CD5" w:rsidRDefault="00181D54">
            <w:pPr>
              <w:jc w:val="center"/>
            </w:pPr>
            <w:r>
              <w:rPr>
                <w:color w:val="000000"/>
                <w:sz w:val="24"/>
                <w:szCs w:val="24"/>
              </w:rPr>
              <w:t>唐赟</w:t>
            </w:r>
          </w:p>
        </w:tc>
        <w:tc>
          <w:tcPr>
            <w:tcW w:w="845" w:type="dxa"/>
            <w:vAlign w:val="center"/>
          </w:tcPr>
          <w:p w:rsidR="00347CD5" w:rsidRDefault="00181D5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、交银双利债券、交银双轮动债券、交银荣鑫灵活配置混合的基金经理</w:t>
            </w:r>
          </w:p>
        </w:tc>
        <w:tc>
          <w:tcPr>
            <w:tcW w:w="1549" w:type="dxa"/>
            <w:vAlign w:val="center"/>
          </w:tcPr>
          <w:p w:rsidR="00347CD5" w:rsidRDefault="00181D54">
            <w:pPr>
              <w:jc w:val="center"/>
            </w:pPr>
            <w:r>
              <w:rPr>
                <w:color w:val="000000"/>
                <w:sz w:val="24"/>
                <w:szCs w:val="24"/>
              </w:rPr>
              <w:t>2015-08-04</w:t>
            </w:r>
          </w:p>
        </w:tc>
        <w:tc>
          <w:tcPr>
            <w:tcW w:w="1548" w:type="dxa"/>
            <w:vAlign w:val="center"/>
          </w:tcPr>
          <w:p w:rsidR="00347CD5" w:rsidRDefault="00181D54">
            <w:pPr>
              <w:jc w:val="center"/>
            </w:pPr>
            <w:r>
              <w:rPr>
                <w:color w:val="000000"/>
                <w:sz w:val="24"/>
                <w:szCs w:val="24"/>
              </w:rPr>
              <w:t>-</w:t>
            </w:r>
          </w:p>
        </w:tc>
        <w:tc>
          <w:tcPr>
            <w:tcW w:w="1407" w:type="dxa"/>
            <w:vAlign w:val="center"/>
          </w:tcPr>
          <w:p w:rsidR="00347CD5" w:rsidRDefault="00181D54">
            <w:pPr>
              <w:jc w:val="center"/>
            </w:pPr>
            <w:r>
              <w:rPr>
                <w:color w:val="000000"/>
                <w:sz w:val="24"/>
                <w:szCs w:val="24"/>
              </w:rPr>
              <w:t>10</w:t>
            </w:r>
            <w:r>
              <w:rPr>
                <w:color w:val="000000"/>
                <w:sz w:val="24"/>
                <w:szCs w:val="24"/>
              </w:rPr>
              <w:t>年</w:t>
            </w:r>
          </w:p>
        </w:tc>
        <w:tc>
          <w:tcPr>
            <w:tcW w:w="2673" w:type="dxa"/>
            <w:vAlign w:val="center"/>
          </w:tcPr>
          <w:p w:rsidR="00347CD5" w:rsidRDefault="00181D5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47CD5" w:rsidRDefault="00181D5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47CD5" w:rsidRDefault="00181D5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47CD5" w:rsidRDefault="00181D5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47CD5" w:rsidRDefault="00181D54">
      <w:pPr>
        <w:spacing w:before="29" w:line="288" w:lineRule="auto"/>
        <w:ind w:firstLineChars="200" w:firstLine="480"/>
        <w:rPr>
          <w:color w:val="000000"/>
          <w:sz w:val="24"/>
          <w:szCs w:val="24"/>
        </w:rPr>
      </w:pPr>
      <w:r>
        <w:rPr>
          <w:color w:val="000000"/>
          <w:sz w:val="24"/>
          <w:szCs w:val="24"/>
        </w:rPr>
        <w:t>本报告期内，债券市场收益率先下后上，整体呈现大幅波动的格局。报告期内国内经济逐步企稳、海外疫情大范围爆发、货币政策预期先宽松后收紧、利率债供给压力加大等因素不断交织，影响债券市场的预期不断调整修复。债券收益率下行集中在四月上旬和中旬，主要源自月初央行公告定向降准并超预期下调超额存款准备金利率，此阶段利率水平创下年内新低；债券收益率上行集中在五月上旬和六月，并且震荡幅度加大，其中五月初的利率上行主要源自资金面边际收紧、海外市场风险偏好回升等因素，从五月底开始，利率上行的动力逐步转变为央行态度变化导致的一系列市场预期扭转，具体的触发因素包括利率走廊中枢抬升、特别国债市场化发行、市场降准预期落空等，导致六月以来利率在震荡中大幅攀升。</w:t>
      </w:r>
    </w:p>
    <w:p w:rsidR="00347CD5" w:rsidRDefault="00181D54">
      <w:pPr>
        <w:spacing w:before="29" w:line="288" w:lineRule="auto"/>
        <w:ind w:firstLineChars="200" w:firstLine="480"/>
        <w:rPr>
          <w:color w:val="000000"/>
          <w:sz w:val="24"/>
          <w:szCs w:val="24"/>
        </w:rPr>
      </w:pPr>
      <w:r>
        <w:rPr>
          <w:color w:val="000000"/>
          <w:sz w:val="24"/>
          <w:szCs w:val="24"/>
        </w:rPr>
        <w:t>报告期内，我们认为信用债市场存在较好的杠杆套息机会，在基金操作中，我们继续维持组合杠杆水平和中性的组合久期配置，保持信用债整体的较高仓位，在板块上保持了部分中低等级城投债品种的配置，提升底仓的静态收益。同时，基金的长久期利率品种仓位不高，控制回撤，择机选择小部分仓位进行长久期利率债的波段交易，以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短期内，在特别国债发行完成之前，预计市场可能会维持震荡行情，中期来看，经济触底回升的方向仍在，后续债券收益率或将难以突破年内的低点。组合策略方面，我们将视融资成本及市场收益率变动情况，择机降低一部分的杠杆，并控制久期风险，择机配置中短久期的信用债品种，并积极关注长端利率的波段交易机会，以期提升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3,923,632,861.50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3,923,632,861.50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13,234,311.47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74,110,602.80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4,010,977,775.77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178,532,361.50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178,532,361.50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544,286,500.00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3,010,909,000.00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88.97</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3,923,632,861.50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47CD5">
        <w:trPr>
          <w:jc w:val="center"/>
        </w:trPr>
        <w:tc>
          <w:tcPr>
            <w:tcW w:w="850" w:type="dxa"/>
            <w:vAlign w:val="center"/>
          </w:tcPr>
          <w:p w:rsidR="00347CD5" w:rsidRDefault="00181D54">
            <w:pPr>
              <w:jc w:val="center"/>
            </w:pPr>
            <w:r>
              <w:rPr>
                <w:color w:val="000000"/>
                <w:sz w:val="24"/>
                <w:szCs w:val="24"/>
              </w:rPr>
              <w:t>1</w:t>
            </w:r>
          </w:p>
        </w:tc>
        <w:tc>
          <w:tcPr>
            <w:tcW w:w="1475" w:type="dxa"/>
            <w:vAlign w:val="center"/>
          </w:tcPr>
          <w:p w:rsidR="00347CD5" w:rsidRDefault="00181D54">
            <w:pPr>
              <w:jc w:val="center"/>
            </w:pPr>
            <w:r>
              <w:rPr>
                <w:color w:val="000000"/>
                <w:sz w:val="24"/>
                <w:szCs w:val="24"/>
              </w:rPr>
              <w:t>101762016</w:t>
            </w:r>
          </w:p>
        </w:tc>
        <w:tc>
          <w:tcPr>
            <w:tcW w:w="1769" w:type="dxa"/>
            <w:vAlign w:val="center"/>
          </w:tcPr>
          <w:p w:rsidR="00347CD5" w:rsidRDefault="00181D54">
            <w:pPr>
              <w:jc w:val="center"/>
            </w:pPr>
            <w:r>
              <w:rPr>
                <w:color w:val="000000"/>
                <w:sz w:val="24"/>
                <w:szCs w:val="24"/>
              </w:rPr>
              <w:t>17</w:t>
            </w:r>
            <w:r>
              <w:rPr>
                <w:color w:val="000000"/>
                <w:sz w:val="24"/>
                <w:szCs w:val="24"/>
              </w:rPr>
              <w:t>盐城交通</w:t>
            </w:r>
            <w:r>
              <w:rPr>
                <w:color w:val="000000"/>
                <w:sz w:val="24"/>
                <w:szCs w:val="24"/>
              </w:rPr>
              <w:t>MTN001</w:t>
            </w:r>
          </w:p>
        </w:tc>
        <w:tc>
          <w:tcPr>
            <w:tcW w:w="1387" w:type="dxa"/>
            <w:vAlign w:val="center"/>
          </w:tcPr>
          <w:p w:rsidR="00347CD5" w:rsidRDefault="00181D54">
            <w:pPr>
              <w:jc w:val="right"/>
            </w:pPr>
            <w:r>
              <w:rPr>
                <w:color w:val="000000"/>
                <w:sz w:val="24"/>
                <w:szCs w:val="24"/>
              </w:rPr>
              <w:t>700,000</w:t>
            </w:r>
          </w:p>
        </w:tc>
        <w:tc>
          <w:tcPr>
            <w:tcW w:w="2150" w:type="dxa"/>
            <w:vAlign w:val="center"/>
          </w:tcPr>
          <w:p w:rsidR="00347CD5" w:rsidRDefault="00181D54">
            <w:pPr>
              <w:jc w:val="right"/>
            </w:pPr>
            <w:r>
              <w:rPr>
                <w:color w:val="000000"/>
                <w:sz w:val="24"/>
                <w:szCs w:val="24"/>
              </w:rPr>
              <w:t>73,857,000.00</w:t>
            </w:r>
          </w:p>
        </w:tc>
        <w:tc>
          <w:tcPr>
            <w:tcW w:w="1237" w:type="dxa"/>
            <w:vAlign w:val="center"/>
          </w:tcPr>
          <w:p w:rsidR="00347CD5" w:rsidRDefault="00181D54">
            <w:pPr>
              <w:jc w:val="right"/>
            </w:pPr>
            <w:r>
              <w:rPr>
                <w:color w:val="000000"/>
                <w:sz w:val="24"/>
                <w:szCs w:val="24"/>
              </w:rPr>
              <w:t>2.18</w:t>
            </w:r>
          </w:p>
        </w:tc>
      </w:tr>
      <w:tr w:rsidR="00347CD5">
        <w:trPr>
          <w:jc w:val="center"/>
        </w:trPr>
        <w:tc>
          <w:tcPr>
            <w:tcW w:w="850" w:type="dxa"/>
            <w:vAlign w:val="center"/>
          </w:tcPr>
          <w:p w:rsidR="00347CD5" w:rsidRDefault="00181D54">
            <w:pPr>
              <w:jc w:val="center"/>
            </w:pPr>
            <w:r>
              <w:rPr>
                <w:color w:val="000000"/>
                <w:sz w:val="24"/>
                <w:szCs w:val="24"/>
              </w:rPr>
              <w:t>2</w:t>
            </w:r>
          </w:p>
        </w:tc>
        <w:tc>
          <w:tcPr>
            <w:tcW w:w="1475" w:type="dxa"/>
            <w:vAlign w:val="center"/>
          </w:tcPr>
          <w:p w:rsidR="00347CD5" w:rsidRDefault="00181D54">
            <w:pPr>
              <w:jc w:val="center"/>
            </w:pPr>
            <w:r>
              <w:rPr>
                <w:color w:val="000000"/>
                <w:sz w:val="24"/>
                <w:szCs w:val="24"/>
              </w:rPr>
              <w:t>170209</w:t>
            </w:r>
          </w:p>
        </w:tc>
        <w:tc>
          <w:tcPr>
            <w:tcW w:w="1769" w:type="dxa"/>
            <w:vAlign w:val="center"/>
          </w:tcPr>
          <w:p w:rsidR="00347CD5" w:rsidRDefault="00181D54">
            <w:pPr>
              <w:jc w:val="center"/>
            </w:pPr>
            <w:r>
              <w:rPr>
                <w:color w:val="000000"/>
                <w:sz w:val="24"/>
                <w:szCs w:val="24"/>
              </w:rPr>
              <w:t>17</w:t>
            </w:r>
            <w:r>
              <w:rPr>
                <w:color w:val="000000"/>
                <w:sz w:val="24"/>
                <w:szCs w:val="24"/>
              </w:rPr>
              <w:t>国开</w:t>
            </w:r>
            <w:r>
              <w:rPr>
                <w:color w:val="000000"/>
                <w:sz w:val="24"/>
                <w:szCs w:val="24"/>
              </w:rPr>
              <w:t>09</w:t>
            </w:r>
          </w:p>
        </w:tc>
        <w:tc>
          <w:tcPr>
            <w:tcW w:w="1387" w:type="dxa"/>
            <w:vAlign w:val="center"/>
          </w:tcPr>
          <w:p w:rsidR="00347CD5" w:rsidRDefault="00181D54">
            <w:pPr>
              <w:jc w:val="right"/>
            </w:pPr>
            <w:r>
              <w:rPr>
                <w:color w:val="000000"/>
                <w:sz w:val="24"/>
                <w:szCs w:val="24"/>
              </w:rPr>
              <w:t>700,000</w:t>
            </w:r>
          </w:p>
        </w:tc>
        <w:tc>
          <w:tcPr>
            <w:tcW w:w="2150" w:type="dxa"/>
            <w:vAlign w:val="center"/>
          </w:tcPr>
          <w:p w:rsidR="00347CD5" w:rsidRDefault="00181D54">
            <w:pPr>
              <w:jc w:val="right"/>
            </w:pPr>
            <w:r>
              <w:rPr>
                <w:color w:val="000000"/>
                <w:sz w:val="24"/>
                <w:szCs w:val="24"/>
              </w:rPr>
              <w:t>70,322,000.00</w:t>
            </w:r>
          </w:p>
        </w:tc>
        <w:tc>
          <w:tcPr>
            <w:tcW w:w="1237" w:type="dxa"/>
            <w:vAlign w:val="center"/>
          </w:tcPr>
          <w:p w:rsidR="00347CD5" w:rsidRDefault="00181D54">
            <w:pPr>
              <w:jc w:val="right"/>
            </w:pPr>
            <w:r>
              <w:rPr>
                <w:color w:val="000000"/>
                <w:sz w:val="24"/>
                <w:szCs w:val="24"/>
              </w:rPr>
              <w:t>2.08</w:t>
            </w:r>
          </w:p>
        </w:tc>
      </w:tr>
      <w:tr w:rsidR="00347CD5">
        <w:trPr>
          <w:jc w:val="center"/>
        </w:trPr>
        <w:tc>
          <w:tcPr>
            <w:tcW w:w="850" w:type="dxa"/>
            <w:vAlign w:val="center"/>
          </w:tcPr>
          <w:p w:rsidR="00347CD5" w:rsidRDefault="00181D54">
            <w:pPr>
              <w:jc w:val="center"/>
            </w:pPr>
            <w:r>
              <w:rPr>
                <w:color w:val="000000"/>
                <w:sz w:val="24"/>
                <w:szCs w:val="24"/>
              </w:rPr>
              <w:t>3</w:t>
            </w:r>
          </w:p>
        </w:tc>
        <w:tc>
          <w:tcPr>
            <w:tcW w:w="1475" w:type="dxa"/>
            <w:vAlign w:val="center"/>
          </w:tcPr>
          <w:p w:rsidR="00347CD5" w:rsidRDefault="00181D54">
            <w:pPr>
              <w:jc w:val="center"/>
            </w:pPr>
            <w:r>
              <w:rPr>
                <w:color w:val="000000"/>
                <w:sz w:val="24"/>
                <w:szCs w:val="24"/>
              </w:rPr>
              <w:t>102000710</w:t>
            </w:r>
          </w:p>
        </w:tc>
        <w:tc>
          <w:tcPr>
            <w:tcW w:w="1769" w:type="dxa"/>
            <w:vAlign w:val="center"/>
          </w:tcPr>
          <w:p w:rsidR="00347CD5" w:rsidRDefault="00181D54">
            <w:pPr>
              <w:jc w:val="center"/>
            </w:pPr>
            <w:r>
              <w:rPr>
                <w:color w:val="000000"/>
                <w:sz w:val="24"/>
                <w:szCs w:val="24"/>
              </w:rPr>
              <w:t>20</w:t>
            </w:r>
            <w:r>
              <w:rPr>
                <w:color w:val="000000"/>
                <w:sz w:val="24"/>
                <w:szCs w:val="24"/>
              </w:rPr>
              <w:t>南京浦口</w:t>
            </w:r>
            <w:r>
              <w:rPr>
                <w:color w:val="000000"/>
                <w:sz w:val="24"/>
                <w:szCs w:val="24"/>
              </w:rPr>
              <w:t>MTN002</w:t>
            </w:r>
          </w:p>
        </w:tc>
        <w:tc>
          <w:tcPr>
            <w:tcW w:w="1387" w:type="dxa"/>
            <w:vAlign w:val="center"/>
          </w:tcPr>
          <w:p w:rsidR="00347CD5" w:rsidRDefault="00181D54">
            <w:pPr>
              <w:jc w:val="right"/>
            </w:pPr>
            <w:r>
              <w:rPr>
                <w:color w:val="000000"/>
                <w:sz w:val="24"/>
                <w:szCs w:val="24"/>
              </w:rPr>
              <w:t>700,000</w:t>
            </w:r>
          </w:p>
        </w:tc>
        <w:tc>
          <w:tcPr>
            <w:tcW w:w="2150" w:type="dxa"/>
            <w:vAlign w:val="center"/>
          </w:tcPr>
          <w:p w:rsidR="00347CD5" w:rsidRDefault="00181D54">
            <w:pPr>
              <w:jc w:val="right"/>
            </w:pPr>
            <w:r>
              <w:rPr>
                <w:color w:val="000000"/>
                <w:sz w:val="24"/>
                <w:szCs w:val="24"/>
              </w:rPr>
              <w:t>69,440,000.00</w:t>
            </w:r>
          </w:p>
        </w:tc>
        <w:tc>
          <w:tcPr>
            <w:tcW w:w="1237" w:type="dxa"/>
            <w:vAlign w:val="center"/>
          </w:tcPr>
          <w:p w:rsidR="00347CD5" w:rsidRDefault="00181D54">
            <w:pPr>
              <w:jc w:val="right"/>
            </w:pPr>
            <w:r>
              <w:rPr>
                <w:color w:val="000000"/>
                <w:sz w:val="24"/>
                <w:szCs w:val="24"/>
              </w:rPr>
              <w:t>2.05</w:t>
            </w:r>
          </w:p>
        </w:tc>
      </w:tr>
      <w:tr w:rsidR="00347CD5">
        <w:trPr>
          <w:jc w:val="center"/>
        </w:trPr>
        <w:tc>
          <w:tcPr>
            <w:tcW w:w="850" w:type="dxa"/>
            <w:vAlign w:val="center"/>
          </w:tcPr>
          <w:p w:rsidR="00347CD5" w:rsidRDefault="00181D54">
            <w:pPr>
              <w:jc w:val="center"/>
            </w:pPr>
            <w:r>
              <w:rPr>
                <w:color w:val="000000"/>
                <w:sz w:val="24"/>
                <w:szCs w:val="24"/>
              </w:rPr>
              <w:t>4</w:t>
            </w:r>
          </w:p>
        </w:tc>
        <w:tc>
          <w:tcPr>
            <w:tcW w:w="1475" w:type="dxa"/>
            <w:vAlign w:val="center"/>
          </w:tcPr>
          <w:p w:rsidR="00347CD5" w:rsidRDefault="00181D54">
            <w:pPr>
              <w:jc w:val="center"/>
            </w:pPr>
            <w:r>
              <w:rPr>
                <w:color w:val="000000"/>
                <w:sz w:val="24"/>
                <w:szCs w:val="24"/>
              </w:rPr>
              <w:t>101800335</w:t>
            </w:r>
          </w:p>
        </w:tc>
        <w:tc>
          <w:tcPr>
            <w:tcW w:w="1769" w:type="dxa"/>
            <w:vAlign w:val="center"/>
          </w:tcPr>
          <w:p w:rsidR="00347CD5" w:rsidRDefault="00181D54">
            <w:pPr>
              <w:jc w:val="center"/>
            </w:pPr>
            <w:r>
              <w:rPr>
                <w:color w:val="000000"/>
                <w:sz w:val="24"/>
                <w:szCs w:val="24"/>
              </w:rPr>
              <w:t>18</w:t>
            </w:r>
            <w:r>
              <w:rPr>
                <w:color w:val="000000"/>
                <w:sz w:val="24"/>
                <w:szCs w:val="24"/>
              </w:rPr>
              <w:t>江津华信</w:t>
            </w:r>
            <w:r>
              <w:rPr>
                <w:color w:val="000000"/>
                <w:sz w:val="24"/>
                <w:szCs w:val="24"/>
              </w:rPr>
              <w:t>MTN001</w:t>
            </w:r>
          </w:p>
        </w:tc>
        <w:tc>
          <w:tcPr>
            <w:tcW w:w="1387" w:type="dxa"/>
            <w:vAlign w:val="center"/>
          </w:tcPr>
          <w:p w:rsidR="00347CD5" w:rsidRDefault="00181D54">
            <w:pPr>
              <w:jc w:val="right"/>
            </w:pPr>
            <w:r>
              <w:rPr>
                <w:color w:val="000000"/>
                <w:sz w:val="24"/>
                <w:szCs w:val="24"/>
              </w:rPr>
              <w:t>600,000</w:t>
            </w:r>
          </w:p>
        </w:tc>
        <w:tc>
          <w:tcPr>
            <w:tcW w:w="2150" w:type="dxa"/>
            <w:vAlign w:val="center"/>
          </w:tcPr>
          <w:p w:rsidR="00347CD5" w:rsidRDefault="00181D54">
            <w:pPr>
              <w:jc w:val="right"/>
            </w:pPr>
            <w:r>
              <w:rPr>
                <w:color w:val="000000"/>
                <w:sz w:val="24"/>
                <w:szCs w:val="24"/>
              </w:rPr>
              <w:t>64,446,000.00</w:t>
            </w:r>
          </w:p>
        </w:tc>
        <w:tc>
          <w:tcPr>
            <w:tcW w:w="1237" w:type="dxa"/>
            <w:vAlign w:val="center"/>
          </w:tcPr>
          <w:p w:rsidR="00347CD5" w:rsidRDefault="00181D54">
            <w:pPr>
              <w:jc w:val="right"/>
            </w:pPr>
            <w:r>
              <w:rPr>
                <w:color w:val="000000"/>
                <w:sz w:val="24"/>
                <w:szCs w:val="24"/>
              </w:rPr>
              <w:t>1.90</w:t>
            </w:r>
          </w:p>
        </w:tc>
      </w:tr>
      <w:tr w:rsidR="00347CD5">
        <w:trPr>
          <w:jc w:val="center"/>
        </w:trPr>
        <w:tc>
          <w:tcPr>
            <w:tcW w:w="850" w:type="dxa"/>
            <w:vAlign w:val="center"/>
          </w:tcPr>
          <w:p w:rsidR="00347CD5" w:rsidRDefault="00181D54">
            <w:pPr>
              <w:jc w:val="center"/>
            </w:pPr>
            <w:r>
              <w:rPr>
                <w:color w:val="000000"/>
                <w:sz w:val="24"/>
                <w:szCs w:val="24"/>
              </w:rPr>
              <w:t>5</w:t>
            </w:r>
          </w:p>
        </w:tc>
        <w:tc>
          <w:tcPr>
            <w:tcW w:w="1475" w:type="dxa"/>
            <w:vAlign w:val="center"/>
          </w:tcPr>
          <w:p w:rsidR="00347CD5" w:rsidRDefault="00181D54">
            <w:pPr>
              <w:jc w:val="center"/>
            </w:pPr>
            <w:r>
              <w:rPr>
                <w:color w:val="000000"/>
                <w:sz w:val="24"/>
                <w:szCs w:val="24"/>
              </w:rPr>
              <w:t>101761029</w:t>
            </w:r>
          </w:p>
        </w:tc>
        <w:tc>
          <w:tcPr>
            <w:tcW w:w="1769" w:type="dxa"/>
            <w:vAlign w:val="center"/>
          </w:tcPr>
          <w:p w:rsidR="00347CD5" w:rsidRDefault="00181D54">
            <w:pPr>
              <w:jc w:val="center"/>
            </w:pPr>
            <w:r>
              <w:rPr>
                <w:color w:val="000000"/>
                <w:sz w:val="24"/>
                <w:szCs w:val="24"/>
              </w:rPr>
              <w:t>17</w:t>
            </w:r>
            <w:r>
              <w:rPr>
                <w:color w:val="000000"/>
                <w:sz w:val="24"/>
                <w:szCs w:val="24"/>
              </w:rPr>
              <w:t>徐州经开</w:t>
            </w:r>
            <w:r>
              <w:rPr>
                <w:color w:val="000000"/>
                <w:sz w:val="24"/>
                <w:szCs w:val="24"/>
              </w:rPr>
              <w:t>MTN005</w:t>
            </w:r>
          </w:p>
        </w:tc>
        <w:tc>
          <w:tcPr>
            <w:tcW w:w="1387" w:type="dxa"/>
            <w:vAlign w:val="center"/>
          </w:tcPr>
          <w:p w:rsidR="00347CD5" w:rsidRDefault="00181D54">
            <w:pPr>
              <w:jc w:val="right"/>
            </w:pPr>
            <w:r>
              <w:rPr>
                <w:color w:val="000000"/>
                <w:sz w:val="24"/>
                <w:szCs w:val="24"/>
              </w:rPr>
              <w:t>600,000</w:t>
            </w:r>
          </w:p>
        </w:tc>
        <w:tc>
          <w:tcPr>
            <w:tcW w:w="2150" w:type="dxa"/>
            <w:vAlign w:val="center"/>
          </w:tcPr>
          <w:p w:rsidR="00347CD5" w:rsidRDefault="00181D54">
            <w:pPr>
              <w:jc w:val="right"/>
            </w:pPr>
            <w:r>
              <w:rPr>
                <w:color w:val="000000"/>
                <w:sz w:val="24"/>
                <w:szCs w:val="24"/>
              </w:rPr>
              <w:t>62,946,000.00</w:t>
            </w:r>
          </w:p>
        </w:tc>
        <w:tc>
          <w:tcPr>
            <w:tcW w:w="1237" w:type="dxa"/>
            <w:vAlign w:val="center"/>
          </w:tcPr>
          <w:p w:rsidR="00347CD5" w:rsidRDefault="00181D54">
            <w:pPr>
              <w:jc w:val="right"/>
            </w:pPr>
            <w:r>
              <w:rPr>
                <w:color w:val="000000"/>
                <w:sz w:val="24"/>
                <w:szCs w:val="24"/>
              </w:rPr>
              <w:t>1.86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33,336.79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499,790.42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66,071,245.63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7,506,229.96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74,110,602.80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2,152,970,544.45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1,292,539,496.61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541,303,294.07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2,904,206,746.99</w:t>
            </w:r>
          </w:p>
        </w:tc>
      </w:tr>
    </w:tbl>
    <w:p w:rsidR="00347CD5" w:rsidRDefault="00181D5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47CD5" w:rsidRDefault="00181D5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347CD5" w:rsidRDefault="00181D5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347CD5" w:rsidRDefault="00181D5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47CD5" w:rsidRDefault="00181D5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47CD5" w:rsidRDefault="00181D5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47CD5" w:rsidRDefault="00181D5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7400B">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7400B">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6769"/>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1D54"/>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47CD5"/>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00B"/>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F502-F9B3-4460-9423-31EA1732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11</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603</cp:revision>
  <dcterms:created xsi:type="dcterms:W3CDTF">2012-10-16T06:07:00Z</dcterms:created>
  <dcterms:modified xsi:type="dcterms:W3CDTF">2020-07-10T11:57:00Z</dcterms:modified>
</cp:coreProperties>
</file>