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交银施罗德优选回报灵活配置混合型证券投资基金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2020年第2季度报告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2020年6月30日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二〇二〇年七月二十一日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基金托管人中信银行股份有限公司根据本基金合同规定，于2020年7月20日复核了本报告中的财务指标、净值表现和投资组合报告等内容，保证复核内容不存在虚假记载、误导性陈述或者重大遗漏。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本报告期自2020年4月1日起至6月30日止。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交银优选回报灵活配置混合</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519768</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2016年4月22日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784,233,775.32</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 xml:space="preserve">本基金在控制风险并保持基金资产良好的流动性的前提下，力争为投资者提供长期稳健的投资回报。  </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50%×沪深300指数收益率+50%×中债综合全价指数收益率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交银优选回报灵活配置混合A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交银优选回报灵活配置混合C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519768</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519769</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752,383,023.30</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31,850,752.02</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(2020年4月1日-2020年6月30日)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交银优选回报灵活配置混合A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交银优选回报灵活配置混合C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12,805,852.12</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302,956.07</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18,374,766.86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324,838.09</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0.0253</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0.0238</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907,509,868.56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38,114,002.81</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1.206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1.197</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注：1、上述基金A类业绩指标不包括持有人认购或交易基金的各项费用，计入费用后的实际收益水平要低于所列数字；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交银优选回报灵活配置混合A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2.20%</w:t>
            </w:r>
          </w:p>
        </w:tc>
        <w:tc>
          <w:tcPr>
            <w:vAlign w:val="center"/>
          </w:tcPr>
          <w:p>
            <w:pPr>
              <w:jc w:val="center"/>
            </w:pPr>
            <w:r>
              <w:rPr>
                <w:color w:val="000000"/>
                <w:sz w:val="24"/>
              </w:rPr>
              <w:t>0.11%</w:t>
            </w:r>
          </w:p>
        </w:tc>
        <w:tc>
          <w:tcPr>
            <w:vAlign w:val="center"/>
          </w:tcPr>
          <w:p>
            <w:pPr>
              <w:jc w:val="center"/>
            </w:pPr>
            <w:r>
              <w:rPr>
                <w:color w:val="000000"/>
                <w:sz w:val="24"/>
              </w:rPr>
              <w:t>5.80%</w:t>
            </w:r>
          </w:p>
        </w:tc>
        <w:tc>
          <w:tcPr>
            <w:vAlign w:val="center"/>
          </w:tcPr>
          <w:p>
            <w:pPr>
              <w:jc w:val="center"/>
            </w:pPr>
            <w:r>
              <w:rPr>
                <w:color w:val="000000"/>
                <w:sz w:val="24"/>
              </w:rPr>
              <w:t>0.45%</w:t>
            </w:r>
          </w:p>
        </w:tc>
        <w:tc>
          <w:tcPr>
            <w:vAlign w:val="center"/>
          </w:tcPr>
          <w:p>
            <w:pPr>
              <w:jc w:val="center"/>
            </w:pPr>
            <w:r>
              <w:rPr>
                <w:color w:val="000000"/>
                <w:sz w:val="24"/>
              </w:rPr>
              <w:t>-3.60%</w:t>
            </w:r>
          </w:p>
        </w:tc>
        <w:tc>
          <w:tcPr>
            <w:vAlign w:val="center"/>
          </w:tcPr>
          <w:p>
            <w:pPr>
              <w:jc w:val="center"/>
            </w:pPr>
            <w:r>
              <w:rPr>
                <w:color w:val="000000"/>
                <w:sz w:val="24"/>
              </w:rPr>
              <w:t>-0.34%</w:t>
            </w:r>
          </w:p>
        </w:tc>
      </w:tr>
      <w:tr>
        <w:tc>
          <w:tcPr>
            <w:vAlign w:val="center"/>
          </w:tcPr>
          <w:p>
            <w:pPr>
              <w:jc w:val="left"/>
            </w:pPr>
            <w:r>
              <w:rPr>
                <w:color w:val="000000"/>
                <w:sz w:val="24"/>
              </w:rPr>
              <w:t>过去六个月</w:t>
            </w:r>
          </w:p>
        </w:tc>
        <w:tc>
          <w:tcPr>
            <w:vAlign w:val="center"/>
          </w:tcPr>
          <w:p>
            <w:pPr>
              <w:jc w:val="center"/>
            </w:pPr>
            <w:r>
              <w:rPr>
                <w:color w:val="000000"/>
                <w:sz w:val="24"/>
              </w:rPr>
              <w:t>4.15%</w:t>
            </w:r>
          </w:p>
        </w:tc>
        <w:tc>
          <w:tcPr>
            <w:vAlign w:val="center"/>
          </w:tcPr>
          <w:p>
            <w:pPr>
              <w:jc w:val="center"/>
            </w:pPr>
            <w:r>
              <w:rPr>
                <w:color w:val="000000"/>
                <w:sz w:val="24"/>
              </w:rPr>
              <w:t>0.17%</w:t>
            </w:r>
          </w:p>
        </w:tc>
        <w:tc>
          <w:tcPr>
            <w:vAlign w:val="center"/>
          </w:tcPr>
          <w:p>
            <w:pPr>
              <w:jc w:val="center"/>
            </w:pPr>
            <w:r>
              <w:rPr>
                <w:color w:val="000000"/>
                <w:sz w:val="24"/>
              </w:rPr>
              <w:t>1.59%</w:t>
            </w:r>
          </w:p>
        </w:tc>
        <w:tc>
          <w:tcPr>
            <w:vAlign w:val="center"/>
          </w:tcPr>
          <w:p>
            <w:pPr>
              <w:jc w:val="center"/>
            </w:pPr>
            <w:r>
              <w:rPr>
                <w:color w:val="000000"/>
                <w:sz w:val="24"/>
              </w:rPr>
              <w:t>0.74%</w:t>
            </w:r>
          </w:p>
        </w:tc>
        <w:tc>
          <w:tcPr>
            <w:vAlign w:val="center"/>
          </w:tcPr>
          <w:p>
            <w:pPr>
              <w:jc w:val="center"/>
            </w:pPr>
            <w:r>
              <w:rPr>
                <w:color w:val="000000"/>
                <w:sz w:val="24"/>
              </w:rPr>
              <w:t>2.56%</w:t>
            </w:r>
          </w:p>
        </w:tc>
        <w:tc>
          <w:tcPr>
            <w:vAlign w:val="center"/>
          </w:tcPr>
          <w:p>
            <w:pPr>
              <w:jc w:val="center"/>
            </w:pPr>
            <w:r>
              <w:rPr>
                <w:color w:val="000000"/>
                <w:sz w:val="24"/>
              </w:rPr>
              <w:t>-0.57%</w:t>
            </w:r>
          </w:p>
        </w:tc>
      </w:tr>
      <w:tr>
        <w:tc>
          <w:tcPr>
            <w:vAlign w:val="center"/>
          </w:tcPr>
          <w:p>
            <w:pPr>
              <w:jc w:val="left"/>
            </w:pPr>
            <w:r>
              <w:rPr>
                <w:color w:val="000000"/>
                <w:sz w:val="24"/>
              </w:rPr>
              <w:t>过去一年</w:t>
            </w:r>
          </w:p>
        </w:tc>
        <w:tc>
          <w:tcPr>
            <w:vAlign w:val="center"/>
          </w:tcPr>
          <w:p>
            <w:pPr>
              <w:jc w:val="center"/>
            </w:pPr>
            <w:r>
              <w:rPr>
                <w:color w:val="000000"/>
                <w:sz w:val="24"/>
              </w:rPr>
              <w:t>10.04%</w:t>
            </w:r>
          </w:p>
        </w:tc>
        <w:tc>
          <w:tcPr>
            <w:vAlign w:val="center"/>
          </w:tcPr>
          <w:p>
            <w:pPr>
              <w:jc w:val="center"/>
            </w:pPr>
            <w:r>
              <w:rPr>
                <w:color w:val="000000"/>
                <w:sz w:val="24"/>
              </w:rPr>
              <w:t>0.15%</w:t>
            </w:r>
          </w:p>
        </w:tc>
        <w:tc>
          <w:tcPr>
            <w:vAlign w:val="center"/>
          </w:tcPr>
          <w:p>
            <w:pPr>
              <w:jc w:val="center"/>
            </w:pPr>
            <w:r>
              <w:rPr>
                <w:color w:val="000000"/>
                <w:sz w:val="24"/>
              </w:rPr>
              <w:t>5.81%</w:t>
            </w:r>
          </w:p>
        </w:tc>
        <w:tc>
          <w:tcPr>
            <w:vAlign w:val="center"/>
          </w:tcPr>
          <w:p>
            <w:pPr>
              <w:jc w:val="center"/>
            </w:pPr>
            <w:r>
              <w:rPr>
                <w:color w:val="000000"/>
                <w:sz w:val="24"/>
              </w:rPr>
              <w:t>0.60%</w:t>
            </w:r>
          </w:p>
        </w:tc>
        <w:tc>
          <w:tcPr>
            <w:vAlign w:val="center"/>
          </w:tcPr>
          <w:p>
            <w:pPr>
              <w:jc w:val="center"/>
            </w:pPr>
            <w:r>
              <w:rPr>
                <w:color w:val="000000"/>
                <w:sz w:val="24"/>
              </w:rPr>
              <w:t>4.23%</w:t>
            </w:r>
          </w:p>
        </w:tc>
        <w:tc>
          <w:tcPr>
            <w:vAlign w:val="center"/>
          </w:tcPr>
          <w:p>
            <w:pPr>
              <w:jc w:val="center"/>
            </w:pPr>
            <w:r>
              <w:rPr>
                <w:color w:val="000000"/>
                <w:sz w:val="24"/>
              </w:rPr>
              <w:t>-0.45%</w:t>
            </w:r>
          </w:p>
        </w:tc>
      </w:tr>
      <w:tr>
        <w:tc>
          <w:tcPr>
            <w:vAlign w:val="center"/>
          </w:tcPr>
          <w:p>
            <w:pPr>
              <w:jc w:val="left"/>
            </w:pPr>
            <w:r>
              <w:rPr>
                <w:color w:val="000000"/>
                <w:sz w:val="24"/>
              </w:rPr>
              <w:t>过去三年</w:t>
            </w:r>
          </w:p>
        </w:tc>
        <w:tc>
          <w:tcPr>
            <w:vAlign w:val="center"/>
          </w:tcPr>
          <w:p>
            <w:pPr>
              <w:jc w:val="center"/>
            </w:pPr>
            <w:r>
              <w:rPr>
                <w:color w:val="000000"/>
                <w:sz w:val="24"/>
              </w:rPr>
              <w:t>20.55%</w:t>
            </w:r>
          </w:p>
        </w:tc>
        <w:tc>
          <w:tcPr>
            <w:vAlign w:val="center"/>
          </w:tcPr>
          <w:p>
            <w:pPr>
              <w:jc w:val="center"/>
            </w:pPr>
            <w:r>
              <w:rPr>
                <w:color w:val="000000"/>
                <w:sz w:val="24"/>
              </w:rPr>
              <w:t>0.13%</w:t>
            </w:r>
          </w:p>
        </w:tc>
        <w:tc>
          <w:tcPr>
            <w:vAlign w:val="center"/>
          </w:tcPr>
          <w:p>
            <w:pPr>
              <w:jc w:val="center"/>
            </w:pPr>
            <w:r>
              <w:rPr>
                <w:color w:val="000000"/>
                <w:sz w:val="24"/>
              </w:rPr>
              <w:t>11.17%</w:t>
            </w:r>
          </w:p>
        </w:tc>
        <w:tc>
          <w:tcPr>
            <w:vAlign w:val="center"/>
          </w:tcPr>
          <w:p>
            <w:pPr>
              <w:jc w:val="center"/>
            </w:pPr>
            <w:r>
              <w:rPr>
                <w:color w:val="000000"/>
                <w:sz w:val="24"/>
              </w:rPr>
              <w:t>0.62%</w:t>
            </w:r>
          </w:p>
        </w:tc>
        <w:tc>
          <w:tcPr>
            <w:vAlign w:val="center"/>
          </w:tcPr>
          <w:p>
            <w:pPr>
              <w:jc w:val="center"/>
            </w:pPr>
            <w:r>
              <w:rPr>
                <w:color w:val="000000"/>
                <w:sz w:val="24"/>
              </w:rPr>
              <w:t>9.38%</w:t>
            </w:r>
          </w:p>
        </w:tc>
        <w:tc>
          <w:tcPr>
            <w:vAlign w:val="center"/>
          </w:tcPr>
          <w:p>
            <w:pPr>
              <w:jc w:val="center"/>
            </w:pPr>
            <w:r>
              <w:rPr>
                <w:color w:val="000000"/>
                <w:sz w:val="24"/>
              </w:rPr>
              <w:t>-0.49%</w:t>
            </w:r>
          </w:p>
        </w:tc>
      </w:tr>
      <w:tr>
        <w:tc>
          <w:tcPr>
            <w:vAlign w:val="center"/>
          </w:tcPr>
          <w:p>
            <w:pPr>
              <w:jc w:val="left"/>
            </w:pPr>
            <w:r>
              <w:rPr>
                <w:color w:val="000000"/>
                <w:sz w:val="24"/>
              </w:rPr>
              <w:t>自基金合同生效起至今</w:t>
            </w:r>
          </w:p>
        </w:tc>
        <w:tc>
          <w:tcPr>
            <w:vAlign w:val="center"/>
          </w:tcPr>
          <w:p>
            <w:pPr>
              <w:jc w:val="center"/>
            </w:pPr>
            <w:r>
              <w:rPr>
                <w:color w:val="000000"/>
                <w:sz w:val="24"/>
              </w:rPr>
              <w:t>27.54%</w:t>
            </w:r>
          </w:p>
        </w:tc>
        <w:tc>
          <w:tcPr>
            <w:vAlign w:val="center"/>
          </w:tcPr>
          <w:p>
            <w:pPr>
              <w:jc w:val="center"/>
            </w:pPr>
            <w:r>
              <w:rPr>
                <w:color w:val="000000"/>
                <w:sz w:val="24"/>
              </w:rPr>
              <w:t>0.11%</w:t>
            </w:r>
          </w:p>
        </w:tc>
        <w:tc>
          <w:tcPr>
            <w:vAlign w:val="center"/>
          </w:tcPr>
          <w:p>
            <w:pPr>
              <w:jc w:val="center"/>
            </w:pPr>
            <w:r>
              <w:rPr>
                <w:color w:val="000000"/>
                <w:sz w:val="24"/>
              </w:rPr>
              <w:t>17.99%</w:t>
            </w:r>
          </w:p>
        </w:tc>
        <w:tc>
          <w:tcPr>
            <w:vAlign w:val="center"/>
          </w:tcPr>
          <w:p>
            <w:pPr>
              <w:jc w:val="center"/>
            </w:pPr>
            <w:r>
              <w:rPr>
                <w:color w:val="000000"/>
                <w:sz w:val="24"/>
              </w:rPr>
              <w:t>0.56%</w:t>
            </w:r>
          </w:p>
        </w:tc>
        <w:tc>
          <w:tcPr>
            <w:vAlign w:val="center"/>
          </w:tcPr>
          <w:p>
            <w:pPr>
              <w:jc w:val="center"/>
            </w:pPr>
            <w:r>
              <w:rPr>
                <w:color w:val="000000"/>
                <w:sz w:val="24"/>
              </w:rPr>
              <w:t>9.55%</w:t>
            </w:r>
          </w:p>
        </w:tc>
        <w:tc>
          <w:tcPr>
            <w:vAlign w:val="center"/>
          </w:tcPr>
          <w:p>
            <w:pPr>
              <w:jc w:val="center"/>
            </w:pPr>
            <w:r>
              <w:rPr>
                <w:color w:val="000000"/>
                <w:sz w:val="24"/>
              </w:rPr>
              <w:t>-0.45%</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交银优选回报灵活配置混合C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2.22%</w:t>
            </w:r>
          </w:p>
        </w:tc>
        <w:tc>
          <w:tcPr>
            <w:vAlign w:val="center"/>
          </w:tcPr>
          <w:p>
            <w:pPr>
              <w:jc w:val="center"/>
            </w:pPr>
            <w:r>
              <w:rPr>
                <w:color w:val="000000"/>
                <w:sz w:val="24"/>
              </w:rPr>
              <w:t>0.12%</w:t>
            </w:r>
          </w:p>
        </w:tc>
        <w:tc>
          <w:tcPr>
            <w:vAlign w:val="center"/>
          </w:tcPr>
          <w:p>
            <w:pPr>
              <w:jc w:val="center"/>
            </w:pPr>
            <w:r>
              <w:rPr>
                <w:color w:val="000000"/>
                <w:sz w:val="24"/>
              </w:rPr>
              <w:t>5.80%</w:t>
            </w:r>
          </w:p>
        </w:tc>
        <w:tc>
          <w:tcPr>
            <w:vAlign w:val="center"/>
          </w:tcPr>
          <w:p>
            <w:pPr>
              <w:jc w:val="center"/>
            </w:pPr>
            <w:r>
              <w:rPr>
                <w:color w:val="000000"/>
                <w:sz w:val="24"/>
              </w:rPr>
              <w:t>0.45%</w:t>
            </w:r>
          </w:p>
        </w:tc>
        <w:tc>
          <w:tcPr>
            <w:vAlign w:val="center"/>
          </w:tcPr>
          <w:p>
            <w:pPr>
              <w:jc w:val="center"/>
            </w:pPr>
            <w:r>
              <w:rPr>
                <w:color w:val="000000"/>
                <w:sz w:val="24"/>
              </w:rPr>
              <w:t>-3.58%</w:t>
            </w:r>
          </w:p>
        </w:tc>
        <w:tc>
          <w:tcPr>
            <w:vAlign w:val="center"/>
          </w:tcPr>
          <w:p>
            <w:pPr>
              <w:jc w:val="center"/>
            </w:pPr>
            <w:r>
              <w:rPr>
                <w:color w:val="000000"/>
                <w:sz w:val="24"/>
              </w:rPr>
              <w:t>-0.33%</w:t>
            </w:r>
          </w:p>
        </w:tc>
      </w:tr>
      <w:tr>
        <w:tc>
          <w:tcPr>
            <w:vAlign w:val="center"/>
          </w:tcPr>
          <w:p>
            <w:pPr>
              <w:jc w:val="left"/>
            </w:pPr>
            <w:r>
              <w:rPr>
                <w:color w:val="000000"/>
                <w:sz w:val="24"/>
              </w:rPr>
              <w:t>过去六个月</w:t>
            </w:r>
          </w:p>
        </w:tc>
        <w:tc>
          <w:tcPr>
            <w:vAlign w:val="center"/>
          </w:tcPr>
          <w:p>
            <w:pPr>
              <w:jc w:val="center"/>
            </w:pPr>
            <w:r>
              <w:rPr>
                <w:color w:val="000000"/>
                <w:sz w:val="24"/>
              </w:rPr>
              <w:t>4.09%</w:t>
            </w:r>
          </w:p>
        </w:tc>
        <w:tc>
          <w:tcPr>
            <w:vAlign w:val="center"/>
          </w:tcPr>
          <w:p>
            <w:pPr>
              <w:jc w:val="center"/>
            </w:pPr>
            <w:r>
              <w:rPr>
                <w:color w:val="000000"/>
                <w:sz w:val="24"/>
              </w:rPr>
              <w:t>0.16%</w:t>
            </w:r>
          </w:p>
        </w:tc>
        <w:tc>
          <w:tcPr>
            <w:vAlign w:val="center"/>
          </w:tcPr>
          <w:p>
            <w:pPr>
              <w:jc w:val="center"/>
            </w:pPr>
            <w:r>
              <w:rPr>
                <w:color w:val="000000"/>
                <w:sz w:val="24"/>
              </w:rPr>
              <w:t>1.59%</w:t>
            </w:r>
          </w:p>
        </w:tc>
        <w:tc>
          <w:tcPr>
            <w:vAlign w:val="center"/>
          </w:tcPr>
          <w:p>
            <w:pPr>
              <w:jc w:val="center"/>
            </w:pPr>
            <w:r>
              <w:rPr>
                <w:color w:val="000000"/>
                <w:sz w:val="24"/>
              </w:rPr>
              <w:t>0.74%</w:t>
            </w:r>
          </w:p>
        </w:tc>
        <w:tc>
          <w:tcPr>
            <w:vAlign w:val="center"/>
          </w:tcPr>
          <w:p>
            <w:pPr>
              <w:jc w:val="center"/>
            </w:pPr>
            <w:r>
              <w:rPr>
                <w:color w:val="000000"/>
                <w:sz w:val="24"/>
              </w:rPr>
              <w:t>2.50%</w:t>
            </w:r>
          </w:p>
        </w:tc>
        <w:tc>
          <w:tcPr>
            <w:vAlign w:val="center"/>
          </w:tcPr>
          <w:p>
            <w:pPr>
              <w:jc w:val="center"/>
            </w:pPr>
            <w:r>
              <w:rPr>
                <w:color w:val="000000"/>
                <w:sz w:val="24"/>
              </w:rPr>
              <w:t>-0.58%</w:t>
            </w:r>
          </w:p>
        </w:tc>
      </w:tr>
      <w:tr>
        <w:tc>
          <w:tcPr>
            <w:vAlign w:val="center"/>
          </w:tcPr>
          <w:p>
            <w:pPr>
              <w:jc w:val="left"/>
            </w:pPr>
            <w:r>
              <w:rPr>
                <w:color w:val="000000"/>
                <w:sz w:val="24"/>
              </w:rPr>
              <w:t>过去一年</w:t>
            </w:r>
          </w:p>
        </w:tc>
        <w:tc>
          <w:tcPr>
            <w:vAlign w:val="center"/>
          </w:tcPr>
          <w:p>
            <w:pPr>
              <w:jc w:val="center"/>
            </w:pPr>
            <w:r>
              <w:rPr>
                <w:color w:val="000000"/>
                <w:sz w:val="24"/>
              </w:rPr>
              <w:t>10.02%</w:t>
            </w:r>
          </w:p>
        </w:tc>
        <w:tc>
          <w:tcPr>
            <w:vAlign w:val="center"/>
          </w:tcPr>
          <w:p>
            <w:pPr>
              <w:jc w:val="center"/>
            </w:pPr>
            <w:r>
              <w:rPr>
                <w:color w:val="000000"/>
                <w:sz w:val="24"/>
              </w:rPr>
              <w:t>0.16%</w:t>
            </w:r>
          </w:p>
        </w:tc>
        <w:tc>
          <w:tcPr>
            <w:vAlign w:val="center"/>
          </w:tcPr>
          <w:p>
            <w:pPr>
              <w:jc w:val="center"/>
            </w:pPr>
            <w:r>
              <w:rPr>
                <w:color w:val="000000"/>
                <w:sz w:val="24"/>
              </w:rPr>
              <w:t>5.81%</w:t>
            </w:r>
          </w:p>
        </w:tc>
        <w:tc>
          <w:tcPr>
            <w:vAlign w:val="center"/>
          </w:tcPr>
          <w:p>
            <w:pPr>
              <w:jc w:val="center"/>
            </w:pPr>
            <w:r>
              <w:rPr>
                <w:color w:val="000000"/>
                <w:sz w:val="24"/>
              </w:rPr>
              <w:t>0.60%</w:t>
            </w:r>
          </w:p>
        </w:tc>
        <w:tc>
          <w:tcPr>
            <w:vAlign w:val="center"/>
          </w:tcPr>
          <w:p>
            <w:pPr>
              <w:jc w:val="center"/>
            </w:pPr>
            <w:r>
              <w:rPr>
                <w:color w:val="000000"/>
                <w:sz w:val="24"/>
              </w:rPr>
              <w:t>4.21%</w:t>
            </w:r>
          </w:p>
        </w:tc>
        <w:tc>
          <w:tcPr>
            <w:vAlign w:val="center"/>
          </w:tcPr>
          <w:p>
            <w:pPr>
              <w:jc w:val="center"/>
            </w:pPr>
            <w:r>
              <w:rPr>
                <w:color w:val="000000"/>
                <w:sz w:val="24"/>
              </w:rPr>
              <w:t>-0.44%</w:t>
            </w:r>
          </w:p>
        </w:tc>
      </w:tr>
      <w:tr>
        <w:tc>
          <w:tcPr>
            <w:vAlign w:val="center"/>
          </w:tcPr>
          <w:p>
            <w:pPr>
              <w:jc w:val="left"/>
            </w:pPr>
            <w:r>
              <w:rPr>
                <w:color w:val="000000"/>
                <w:sz w:val="24"/>
              </w:rPr>
              <w:t>过去三年</w:t>
            </w:r>
          </w:p>
        </w:tc>
        <w:tc>
          <w:tcPr>
            <w:vAlign w:val="center"/>
          </w:tcPr>
          <w:p>
            <w:pPr>
              <w:jc w:val="center"/>
            </w:pPr>
            <w:r>
              <w:rPr>
                <w:color w:val="000000"/>
                <w:sz w:val="24"/>
              </w:rPr>
              <w:t>20.01%</w:t>
            </w:r>
          </w:p>
        </w:tc>
        <w:tc>
          <w:tcPr>
            <w:vAlign w:val="center"/>
          </w:tcPr>
          <w:p>
            <w:pPr>
              <w:jc w:val="center"/>
            </w:pPr>
            <w:r>
              <w:rPr>
                <w:color w:val="000000"/>
                <w:sz w:val="24"/>
              </w:rPr>
              <w:t>0.13%</w:t>
            </w:r>
          </w:p>
        </w:tc>
        <w:tc>
          <w:tcPr>
            <w:vAlign w:val="center"/>
          </w:tcPr>
          <w:p>
            <w:pPr>
              <w:jc w:val="center"/>
            </w:pPr>
            <w:r>
              <w:rPr>
                <w:color w:val="000000"/>
                <w:sz w:val="24"/>
              </w:rPr>
              <w:t>11.17%</w:t>
            </w:r>
          </w:p>
        </w:tc>
        <w:tc>
          <w:tcPr>
            <w:vAlign w:val="center"/>
          </w:tcPr>
          <w:p>
            <w:pPr>
              <w:jc w:val="center"/>
            </w:pPr>
            <w:r>
              <w:rPr>
                <w:color w:val="000000"/>
                <w:sz w:val="24"/>
              </w:rPr>
              <w:t>0.62%</w:t>
            </w:r>
          </w:p>
        </w:tc>
        <w:tc>
          <w:tcPr>
            <w:vAlign w:val="center"/>
          </w:tcPr>
          <w:p>
            <w:pPr>
              <w:jc w:val="center"/>
            </w:pPr>
            <w:r>
              <w:rPr>
                <w:color w:val="000000"/>
                <w:sz w:val="24"/>
              </w:rPr>
              <w:t>8.84%</w:t>
            </w:r>
          </w:p>
        </w:tc>
        <w:tc>
          <w:tcPr>
            <w:vAlign w:val="center"/>
          </w:tcPr>
          <w:p>
            <w:pPr>
              <w:jc w:val="center"/>
            </w:pPr>
            <w:r>
              <w:rPr>
                <w:color w:val="000000"/>
                <w:sz w:val="24"/>
              </w:rPr>
              <w:t>-0.49%</w:t>
            </w:r>
          </w:p>
        </w:tc>
      </w:tr>
      <w:tr>
        <w:tc>
          <w:tcPr>
            <w:vAlign w:val="center"/>
          </w:tcPr>
          <w:p>
            <w:pPr>
              <w:jc w:val="left"/>
            </w:pPr>
            <w:r>
              <w:rPr>
                <w:color w:val="000000"/>
                <w:sz w:val="24"/>
              </w:rPr>
              <w:t>自基金合同生效起至今</w:t>
            </w:r>
          </w:p>
        </w:tc>
        <w:tc>
          <w:tcPr>
            <w:vAlign w:val="center"/>
          </w:tcPr>
          <w:p>
            <w:pPr>
              <w:jc w:val="center"/>
            </w:pPr>
            <w:r>
              <w:rPr>
                <w:color w:val="000000"/>
                <w:sz w:val="24"/>
              </w:rPr>
              <w:t>26.61%</w:t>
            </w:r>
          </w:p>
        </w:tc>
        <w:tc>
          <w:tcPr>
            <w:vAlign w:val="center"/>
          </w:tcPr>
          <w:p>
            <w:pPr>
              <w:jc w:val="center"/>
            </w:pPr>
            <w:r>
              <w:rPr>
                <w:color w:val="000000"/>
                <w:sz w:val="24"/>
              </w:rPr>
              <w:t>0.12%</w:t>
            </w:r>
          </w:p>
        </w:tc>
        <w:tc>
          <w:tcPr>
            <w:vAlign w:val="center"/>
          </w:tcPr>
          <w:p>
            <w:pPr>
              <w:jc w:val="center"/>
            </w:pPr>
            <w:r>
              <w:rPr>
                <w:color w:val="000000"/>
                <w:sz w:val="24"/>
              </w:rPr>
              <w:t>17.99%</w:t>
            </w:r>
          </w:p>
        </w:tc>
        <w:tc>
          <w:tcPr>
            <w:vAlign w:val="center"/>
          </w:tcPr>
          <w:p>
            <w:pPr>
              <w:jc w:val="center"/>
            </w:pPr>
            <w:r>
              <w:rPr>
                <w:color w:val="000000"/>
                <w:sz w:val="24"/>
              </w:rPr>
              <w:t>0.56%</w:t>
            </w:r>
          </w:p>
        </w:tc>
        <w:tc>
          <w:tcPr>
            <w:vAlign w:val="center"/>
          </w:tcPr>
          <w:p>
            <w:pPr>
              <w:jc w:val="center"/>
            </w:pPr>
            <w:r>
              <w:rPr>
                <w:color w:val="000000"/>
                <w:sz w:val="24"/>
              </w:rPr>
              <w:t>8.62%</w:t>
            </w:r>
          </w:p>
        </w:tc>
        <w:tc>
          <w:tcPr>
            <w:vAlign w:val="center"/>
          </w:tcPr>
          <w:p>
            <w:pPr>
              <w:jc w:val="center"/>
            </w:pPr>
            <w:r>
              <w:rPr>
                <w:color w:val="000000"/>
                <w:sz w:val="24"/>
              </w:rPr>
              <w:t>-0.44%</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交银施罗德优选回报灵活配置混合型证券投资基金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2016年4月22日</w:t>
      </w:r>
      <w:r w:rsidR="009A045B" w:rsidRPr="007F52FA">
        <w:rPr>
          <w:rFonts w:ascii="Times New Roman" w:hAnsi="Times New Roman"/>
          <w:sz w:val="24"/>
          <w:szCs w:val="24"/>
        </w:rPr>
        <w:t>至</w:t>
      </w:r>
      <w:r w:rsidRPr="007F52FA">
        <w:rPr>
          <w:rFonts w:ascii="Times New Roman" w:hAnsi="Times New Roman"/>
          <w:sz w:val="24"/>
          <w:szCs w:val="24"/>
        </w:rPr>
        <w:t>2020年6月30日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交银优选回报灵活配置混合A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交银优选回报灵活配置混合C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李娜</w:t>
            </w:r>
          </w:p>
        </w:tc>
        <w:tc>
          <w:tcPr>
            <w:vAlign w:val="center"/>
          </w:tcPr>
          <w:p>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vAlign w:val="center"/>
          </w:tcPr>
          <w:p>
            <w:pPr>
              <w:jc w:val="center"/>
            </w:pPr>
            <w:r>
              <w:rPr>
                <w:color w:val="000000"/>
                <w:sz w:val="24"/>
              </w:rPr>
              <w:t>2016-04-22</w:t>
            </w:r>
          </w:p>
        </w:tc>
        <w:tc>
          <w:tcPr>
            <w:vAlign w:val="center"/>
          </w:tcPr>
          <w:p>
            <w:pPr>
              <w:jc w:val="center"/>
            </w:pPr>
            <w:r>
              <w:rPr>
                <w:color w:val="000000"/>
                <w:sz w:val="24"/>
              </w:rPr>
              <w:t>-</w:t>
            </w:r>
          </w:p>
        </w:tc>
        <w:tc>
          <w:tcPr>
            <w:vAlign w:val="center"/>
          </w:tcPr>
          <w:p>
            <w:pPr>
              <w:jc w:val="center"/>
            </w:pPr>
            <w:r>
              <w:rPr>
                <w:color w:val="000000"/>
                <w:sz w:val="24"/>
              </w:rPr>
              <w:t>10年</w:t>
            </w:r>
          </w:p>
        </w:tc>
        <w:tc>
          <w:tcPr>
            <w:vAlign w:val="center"/>
          </w:tcPr>
          <w:p>
            <w:pPr>
              <w:jc w:val="both"/>
            </w:pPr>
            <w:r>
              <w:rPr>
                <w:color w:val="000000"/>
                <w:sz w:val="24"/>
              </w:rPr>
              <w:t>李娜女士，美国宾夕法尼亚大学应用数学与计算科学硕士。历任国泰基金管理有限公司研究员。2012年加入交银施罗德基金管理有限公司，历任债券分析师、基金经理助理。2017年3月2日至2018年4月10日担任交银施罗德瑞安定期开放灵活配置混合型证券投资基金基金经理。2017年2月24日至2018年7月18日担任交银施罗德瑞利定期开放灵活配置混合型证券投资基金的基金经理。2017年3月31日至2018年8月23日担任交银施罗德启通灵活配置混合型证券投资基金的基金经理。2016年12月21日至2018年11月16日担任交银施罗德瑞景定期开放灵活配置混合型证券投资基金的基金经理。2016年2月17日至2018年12月7日担任交银施罗德卓越回报灵活配置混合型证券投资基金的基金经理。2016年9月13日至2019年1月21日担任交银施罗德领先回报灵活配置混合型证券投资基金的基金经理。</w:t>
            </w:r>
          </w:p>
        </w:tc>
      </w:tr>
      <w:tr>
        <w:tc>
          <w:tcPr>
            <w:vAlign w:val="center"/>
          </w:tcPr>
          <w:p>
            <w:pPr>
              <w:jc w:val="center"/>
            </w:pPr>
            <w:r>
              <w:rPr>
                <w:color w:val="000000"/>
                <w:sz w:val="24"/>
              </w:rPr>
              <w:t>凌超</w:t>
            </w:r>
          </w:p>
        </w:tc>
        <w:tc>
          <w:tcPr>
            <w:vAlign w:val="center"/>
          </w:tcPr>
          <w:p>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rPr>
              <w:t>2019-07-20</w:t>
            </w:r>
          </w:p>
        </w:tc>
        <w:tc>
          <w:tcPr>
            <w:vAlign w:val="center"/>
          </w:tcPr>
          <w:p>
            <w:pPr>
              <w:jc w:val="center"/>
            </w:pPr>
            <w:r>
              <w:rPr>
                <w:color w:val="000000"/>
                <w:sz w:val="24"/>
              </w:rPr>
              <w:t>-</w:t>
            </w:r>
          </w:p>
        </w:tc>
        <w:tc>
          <w:tcPr>
            <w:vAlign w:val="center"/>
          </w:tcPr>
          <w:p>
            <w:pPr>
              <w:jc w:val="center"/>
            </w:pPr>
            <w:r>
              <w:rPr>
                <w:color w:val="000000"/>
                <w:sz w:val="24"/>
              </w:rPr>
              <w:t>14年</w:t>
            </w:r>
          </w:p>
        </w:tc>
        <w:tc>
          <w:tcPr>
            <w:vAlign w:val="center"/>
          </w:tcPr>
          <w:p>
            <w:pPr>
              <w:jc w:val="both"/>
            </w:pPr>
            <w:r>
              <w:rPr>
                <w:color w:val="000000"/>
                <w:sz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市场初期走势仍然较为火热，但随着后期资金面利率水平上行、央行货币政策防空转及经济逐步复苏的影响，收益率呈现先下后上的V型走势。四月，因市场资金面仍然相对宽裕，国外新冠病情持续发酵，受悲观预期影响，债市仍在持续火热。但步入五月伊始，国内疫情逐步控制，经济逐步恢复企稳，央行开始关注资金空转的影响，引导资金利率水平上行，政策开始趋向精准投放以提高信用派生的针对性和有效性，债券收益率开始触底回升；进入六月，经济持续恢复，资金利率水平维持在高位，信用派生政策持续发力，债券利率持续上行后，逐步进入高位震荡状态。</w:t>
      </w:r>
    </w:p>
    <w:p>
      <w:pPr>
        <w:spacing w:before="29" w:line="288" w:lineRule="auto"/>
        <w:ind w:firstLine="480" w:firstLineChars="200"/>
        <w:rPr>
          <w:color w:val="000000"/>
          <w:sz w:val="24"/>
        </w:rPr>
      </w:pPr>
      <w:r>
        <w:rPr>
          <w:color w:val="000000"/>
          <w:sz w:val="24"/>
        </w:rPr>
        <w:t>二季度，权益市场走势较为良好，在经济逐步企稳恢复、全球流动性同时宽裕的背景下，主要指数表现趋势上涨的势头，特别是创业板指数更是持续上行并创出年内新高。在四月，市场逐步企稳恢复，消费医药和业绩较好的科技类个股表现突出，五月国内经济逐步恢复，经济托底相关政策也不断出台，市场出现进一步回暖，医药消费、消费电子龙头品种、新能源汽车产业链等品种均表现亮眼。步入六月之后，虽然国外疫情仍然持续，但各国主要股指均进一步回升，部分指数甚至接近大跌之前的位置。A股主要指数也大幅恢复，创业板指数更是创下年内新高。</w:t>
      </w:r>
    </w:p>
    <w:p>
      <w:pPr>
        <w:spacing w:before="29" w:line="288" w:lineRule="auto"/>
        <w:ind w:firstLine="480" w:firstLineChars="200"/>
        <w:rPr>
          <w:color w:val="000000"/>
          <w:sz w:val="24"/>
        </w:rPr>
      </w:pPr>
      <w:r>
        <w:rPr>
          <w:color w:val="000000"/>
          <w:sz w:val="24"/>
        </w:rPr>
        <w:t>在基金操作中，债券部分我们维持中短久期高等级信用债的底仓配置，以获取稳定的票息收益。权益方面，随着市场逐步回暖，在总体稳健的基础上，将持仓结构调整得更加平衡。此外，组合积极参与权益及转债的一级申购，以增厚组合收益。</w:t>
      </w:r>
    </w:p>
    <w:p w:rsidP="007C14DF" w:rsidR="00952A72" w:rsidRDefault="00323F25" w:rsidRPr="007F52FA">
      <w:pPr>
        <w:spacing w:before="29" w:line="288" w:lineRule="auto"/>
        <w:ind w:firstLine="480" w:firstLineChars="200"/>
        <w:rPr>
          <w:color w:val="000000"/>
          <w:sz w:val="24"/>
        </w:rPr>
      </w:pPr>
      <w:r w:rsidRPr="007F52FA">
        <w:rPr>
          <w:color w:val="000000"/>
          <w:sz w:val="24"/>
        </w:rPr>
        <w:t>展望2020年三季度，随着经济的逐步复苏，新冠疫情影响的逐步趋弱，债券预期将维持震荡的格局。目前来看，政策带来的经济复苏更多是出于对冲经济下滑幅度和就业维持稳定的良好状态，在不出现政策大幅度向投资转向的背景下，经济向上弹性较弱，债券收益率暂时看不到太大的上行空间。由于经济目前仍在复苏过程之中，货币政策短期进一步宽松的可能性下降，债市在目前收益率水平下趋于震荡的概率偏大。未来基金将维持底仓配置中短久期高等级信用债品种，以获取票息收益，并根据市场变化动态调整组合久期。权益方面，我们将继续维持稳健品种配置，保持对景气度较高行业投资机会的关注。同时我们将继续积极参加权益及转债的一级申购，以期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144,074,075.00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14.17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144,074,075.00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14.17</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798,556,744.00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78.55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798,556,744.00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78.55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61,352,682.51</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6.03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12,690,930.37</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1.25</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1,016,674,431.88</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1A5E45" w:rsidR="005F69E7" w:rsidRDefault="001A5E45" w:rsidRPr="005F69E7">
      <w:pPr>
        <w:jc w:val="right"/>
        <w:rPr>
          <w:sz w:val="24"/>
        </w:rPr>
      </w:pPr>
      <w:r w:rsidRPr="001A5E45">
        <w:rPr>
          <w:rFonts w:hint="eastAsia"/>
          <w:sz w:val="24"/>
        </w:rPr>
        <w:t/>
      </w:r>
      <w:r w:rsidRPr="001A5E45">
        <w:rPr>
          <w:rFonts w:hint="eastAsia"/>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113"/>
          <w:right w:type="dxa" w:w="113"/>
        </w:tblCellMar>
        <w:tblLook w:firstColumn="0" w:firstRow="0" w:lastColumn="0" w:lastRow="0" w:noHBand="0" w:noVBand="0" w:val="0000"/>
      </w:tblPr>
      <w:tblGrid>
        <w:gridCol w:w="772"/>
        <w:gridCol w:w="3525"/>
        <w:gridCol w:w="2897"/>
        <w:gridCol w:w="1674"/>
      </w:tblGrid>
      <w:tr w:rsidR="005F458B" w:rsidRPr="007F52FA" w:rsidTr="004D7E11">
        <w:trPr>
          <w:trHeight w:val="390"/>
          <w:jc w:val="center"/>
        </w:trPr>
        <w:tc>
          <w:tcPr>
            <w:tcW w:type="dxa" w:w="772"/>
            <w:tcBorders>
              <w:top w:color="000000" w:space="0" w:sz="4" w:val="single"/>
              <w:left w:color="000000" w:space="0" w:sz="4" w:val="single"/>
              <w:bottom w:color="000000" w:space="0" w:sz="4" w:val="single"/>
              <w:right w:color="000000" w:space="0" w:sz="4" w:val="single"/>
            </w:tcBorders>
            <w:vAlign w:val="center"/>
          </w:tcPr>
          <w:p w:rsidP="007C14DF" w:rsidR="005F458B" w:rsidRDefault="005F458B" w:rsidRPr="007F52FA">
            <w:pPr>
              <w:adjustRightInd w:val="0"/>
              <w:snapToGrid w:val="0"/>
              <w:spacing w:before="29" w:line="288" w:lineRule="auto"/>
              <w:jc w:val="center"/>
              <w:rPr>
                <w:sz w:val="24"/>
              </w:rPr>
            </w:pPr>
            <w:r w:rsidRPr="007F52FA">
              <w:rPr>
                <w:sz w:val="24"/>
              </w:rPr>
              <w:t>代码</w:t>
            </w:r>
            <w:r w:rsidR="00FA0527" w:rsidRPr="007F52FA">
              <w:rPr>
                <w:sz w:val="24"/>
              </w:rPr>
              <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行业类别</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1A5E45" w:rsidRPr="007F52FA">
            <w:pPr>
              <w:adjustRightInd w:val="0"/>
              <w:snapToGrid w:val="0"/>
              <w:spacing w:before="29" w:line="288" w:lineRule="auto"/>
              <w:jc w:val="center"/>
              <w:rPr>
                <w:sz w:val="24"/>
              </w:rPr>
            </w:pPr>
            <w:r>
              <w:rPr>
                <w:sz w:val="24"/>
              </w:rPr>
              <w:t>公允价值</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A</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农、林、牧、渔业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B</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采矿业</w:t>
            </w:r>
          </w:p>
        </w:tc>
        <w:tc>
          <w:tcPr>
            <w:tcW w:type="dxa" w:w="2897"/>
            <w:tcBorders>
              <w:top w:color="000000" w:space="0" w:sz="4" w:val="single"/>
              <w:left w:color="auto" w:space="0" w:sz="4" w:val="single"/>
              <w:bottom w:color="000000" w:space="0" w:sz="4" w:val="single"/>
              <w:right w:color="000000" w:space="0" w:sz="4" w:val="single"/>
            </w:tcBorders>
            <w:vAlign w:val="center"/>
          </w:tcPr>
          <w:p w:rsidP="00DF744A" w:rsidR="005F458B" w:rsidRDefault="005F458B" w:rsidRPr="007F52FA">
            <w:pPr>
              <w:spacing w:before="29" w:line="288" w:lineRule="auto"/>
              <w:jc w:val="right"/>
              <w:rPr>
                <w:sz w:val="24"/>
              </w:rPr>
            </w:pPr>
            <w:r w:rsidRPr="007F52FA">
              <w:rPr>
                <w:sz w:val="24"/>
              </w:rPr>
              <w:t>2,257,392.00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DF744A" w:rsidR="005F458B" w:rsidRDefault="005F458B" w:rsidRPr="007F52FA">
            <w:pPr>
              <w:spacing w:before="29" w:line="288" w:lineRule="auto"/>
              <w:jc w:val="right"/>
              <w:rPr>
                <w:sz w:val="24"/>
              </w:rPr>
            </w:pPr>
            <w:r w:rsidRPr="007F52FA">
              <w:rPr>
                <w:sz w:val="24"/>
              </w:rPr>
              <w:t>0.24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C</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制造业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56,139,631.80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5.94</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D</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电力、热力、燃气及水生产和供应业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12,766.32</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0.00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E</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建筑业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7,206,918.40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0.76</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F</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批发和零售业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6,484,114.00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
            </w:r>
            <w:r w:rsidRPr="007F52FA">
              <w:rPr>
                <w:sz w:val="24"/>
              </w:rPr>
              <w:lastRenderedPageBreak/>
              <w:t>0.69</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lastRenderedPageBreak/>
              <w:t>G</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交通运输、仓储和邮政业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9,092,955.44</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0.96</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H</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住宿和餐饮业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240CA0">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I</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240CA0" w:rsidR="005F458B" w:rsidRDefault="005F458B" w:rsidRPr="007F52FA">
            <w:pPr>
              <w:adjustRightInd w:val="0"/>
              <w:snapToGrid w:val="0"/>
              <w:spacing w:before="29" w:line="288" w:lineRule="auto"/>
              <w:rPr>
                <w:sz w:val="24"/>
              </w:rPr>
            </w:pPr>
            <w:r w:rsidRPr="007F52FA">
              <w:rPr>
                <w:sz w:val="24"/>
              </w:rPr>
              <w:t>信息传输、软件和信息技术服务业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8,711,616.38</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0.92</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J</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金融业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29,977,409.53</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3.17</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K</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房地产业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19,894,884.00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2.10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L</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租赁和商务服务业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M</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科学研究和技术服务业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lastRenderedPageBreak/>
              <w:t>N</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水利、环境和公共设施管理业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4,296,387.13</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0.45</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O</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居民服务、修理和其他服务业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P</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教育</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Q</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卫生和社会工作</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R</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文化、体育和娱乐业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S</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综合</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合计</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144,074,075.00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15.24</w:t>
            </w:r>
          </w:p>
        </w:tc>
      </w:tr>
    </w:tbl>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850"/>
        <w:gridCol w:w="1327"/>
        <w:gridCol w:w="1769"/>
        <w:gridCol w:w="1327"/>
        <w:gridCol w:w="1915"/>
        <w:gridCol w:w="1680"/>
      </w:tblGrid>
      <w:tr w:rsidR="000871DB" w:rsidRPr="007F52FA" w:rsidTr="00481DB2">
        <w:trPr>
          <w:jc w:val="center"/>
        </w:trPr>
        <w:tc>
          <w:tcPr>
            <w:tcW w:type="dxa" w:w="817"/>
            <w:vAlign w:val="center"/>
          </w:tcPr>
          <w:p w:rsidP="007C14DF" w:rsidR="000871DB" w:rsidRDefault="000871DB" w:rsidRPr="007F52FA">
            <w:pPr>
              <w:spacing w:before="29" w:line="288" w:lineRule="auto"/>
              <w:ind w:left="17"/>
              <w:jc w:val="center"/>
              <w:rPr>
                <w:color w:val="000000"/>
                <w:sz w:val="24"/>
              </w:rPr>
            </w:pPr>
            <w:r w:rsidRPr="007F52FA">
              <w:rPr>
                <w:color w:val="000000"/>
                <w:sz w:val="24"/>
              </w:rPr>
              <w:t>序号</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股票代码</w:t>
            </w:r>
          </w:p>
        </w:tc>
        <w:tc>
          <w:tcPr>
            <w:tcW w:type="dxa" w:w="1701"/>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股票名称</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type="dxa" w:w="1842"/>
            <w:vAlign w:val="center"/>
          </w:tcPr>
          <w:p w:rsidP="007C14DF" w:rsidR="000871DB" w:rsidRDefault="000871DB" w:rsidRPr="007F52FA">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type="dxa" w:w="1616"/>
            <w:vAlign w:val="center"/>
          </w:tcPr>
          <w:p w:rsidP="007C14DF" w:rsidR="000871DB" w:rsidRDefault="000871DB" w:rsidRPr="007F52FA">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tc>
          <w:tcPr>
            <w:vAlign w:val="center"/>
          </w:tcPr>
          <w:p>
            <w:pPr>
              <w:jc w:val="center"/>
            </w:pPr>
            <w:r>
              <w:rPr>
                <w:color w:val="000000"/>
                <w:sz w:val="24"/>
              </w:rPr>
              <w:t>1</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1,059,200</w:t>
            </w:r>
          </w:p>
        </w:tc>
        <w:tc>
          <w:tcPr>
            <w:vAlign w:val="center"/>
          </w:tcPr>
          <w:p>
            <w:pPr>
              <w:jc w:val="right"/>
            </w:pPr>
            <w:r>
              <w:rPr>
                <w:color w:val="000000"/>
                <w:sz w:val="24"/>
              </w:rPr>
              <w:t>15,654,976.00</w:t>
            </w:r>
          </w:p>
        </w:tc>
        <w:tc>
          <w:tcPr>
            <w:vAlign w:val="center"/>
          </w:tcPr>
          <w:p>
            <w:pPr>
              <w:jc w:val="right"/>
            </w:pPr>
            <w:r>
              <w:rPr>
                <w:color w:val="000000"/>
                <w:sz w:val="24"/>
              </w:rPr>
              <w:t>1.66</w:t>
            </w:r>
          </w:p>
        </w:tc>
      </w:tr>
      <w:tr>
        <w:tc>
          <w:tcPr>
            <w:vAlign w:val="center"/>
          </w:tcPr>
          <w:p>
            <w:pPr>
              <w:jc w:val="center"/>
            </w:pPr>
            <w:r>
              <w:rPr>
                <w:color w:val="000000"/>
                <w:sz w:val="24"/>
              </w:rPr>
              <w:t>2</w:t>
            </w:r>
          </w:p>
        </w:tc>
        <w:tc>
          <w:tcPr>
            <w:vAlign w:val="center"/>
          </w:tcPr>
          <w:p>
            <w:pPr>
              <w:jc w:val="center"/>
            </w:pPr>
            <w:r>
              <w:rPr>
                <w:color w:val="000000"/>
                <w:sz w:val="24"/>
              </w:rPr>
              <w:t>601288</w:t>
            </w:r>
          </w:p>
        </w:tc>
        <w:tc>
          <w:tcPr>
            <w:vAlign w:val="center"/>
          </w:tcPr>
          <w:p>
            <w:pPr>
              <w:jc w:val="center"/>
            </w:pPr>
            <w:r>
              <w:rPr>
                <w:color w:val="000000"/>
                <w:sz w:val="24"/>
              </w:rPr>
              <w:t>农业银行</w:t>
            </w:r>
          </w:p>
        </w:tc>
        <w:tc>
          <w:tcPr>
            <w:vAlign w:val="center"/>
          </w:tcPr>
          <w:p>
            <w:pPr>
              <w:jc w:val="right"/>
            </w:pPr>
            <w:r>
              <w:rPr>
                <w:color w:val="000000"/>
                <w:sz w:val="24"/>
              </w:rPr>
              <w:t>3,283,200</w:t>
            </w:r>
          </w:p>
        </w:tc>
        <w:tc>
          <w:tcPr>
            <w:vAlign w:val="center"/>
          </w:tcPr>
          <w:p>
            <w:pPr>
              <w:jc w:val="right"/>
            </w:pPr>
            <w:r>
              <w:rPr>
                <w:color w:val="000000"/>
                <w:sz w:val="24"/>
              </w:rPr>
              <w:t>11,097,216.00</w:t>
            </w:r>
          </w:p>
        </w:tc>
        <w:tc>
          <w:tcPr>
            <w:vAlign w:val="center"/>
          </w:tcPr>
          <w:p>
            <w:pPr>
              <w:jc w:val="right"/>
            </w:pPr>
            <w:r>
              <w:rPr>
                <w:color w:val="000000"/>
                <w:sz w:val="24"/>
              </w:rPr>
              <w:t>1.17</w:t>
            </w:r>
          </w:p>
        </w:tc>
      </w:tr>
      <w:tr>
        <w:tc>
          <w:tcPr>
            <w:vAlign w:val="center"/>
          </w:tcPr>
          <w:p>
            <w:pPr>
              <w:jc w:val="center"/>
            </w:pPr>
            <w:r>
              <w:rPr>
                <w:color w:val="000000"/>
                <w:sz w:val="24"/>
              </w:rPr>
              <w:t>3</w:t>
            </w:r>
          </w:p>
        </w:tc>
        <w:tc>
          <w:tcPr>
            <w:vAlign w:val="center"/>
          </w:tcPr>
          <w:p>
            <w:pPr>
              <w:jc w:val="center"/>
            </w:pPr>
            <w:r>
              <w:rPr>
                <w:color w:val="000000"/>
                <w:sz w:val="24"/>
              </w:rPr>
              <w:t>002271</w:t>
            </w:r>
          </w:p>
        </w:tc>
        <w:tc>
          <w:tcPr>
            <w:vAlign w:val="center"/>
          </w:tcPr>
          <w:p>
            <w:pPr>
              <w:jc w:val="center"/>
            </w:pPr>
            <w:r>
              <w:rPr>
                <w:color w:val="000000"/>
                <w:sz w:val="24"/>
              </w:rPr>
              <w:t>东方雨虹</w:t>
            </w:r>
          </w:p>
        </w:tc>
        <w:tc>
          <w:tcPr>
            <w:vAlign w:val="center"/>
          </w:tcPr>
          <w:p>
            <w:pPr>
              <w:jc w:val="right"/>
            </w:pPr>
            <w:r>
              <w:rPr>
                <w:color w:val="000000"/>
                <w:sz w:val="24"/>
              </w:rPr>
              <w:t>272,468</w:t>
            </w:r>
          </w:p>
        </w:tc>
        <w:tc>
          <w:tcPr>
            <w:vAlign w:val="center"/>
          </w:tcPr>
          <w:p>
            <w:pPr>
              <w:jc w:val="right"/>
            </w:pPr>
            <w:r>
              <w:rPr>
                <w:color w:val="000000"/>
                <w:sz w:val="24"/>
              </w:rPr>
              <w:t>11,070,374.84</w:t>
            </w:r>
          </w:p>
        </w:tc>
        <w:tc>
          <w:tcPr>
            <w:vAlign w:val="center"/>
          </w:tcPr>
          <w:p>
            <w:pPr>
              <w:jc w:val="right"/>
            </w:pPr>
            <w:r>
              <w:rPr>
                <w:color w:val="000000"/>
                <w:sz w:val="24"/>
              </w:rPr>
              <w:t>1.17</w:t>
            </w:r>
          </w:p>
        </w:tc>
      </w:tr>
      <w:tr>
        <w:tc>
          <w:tcPr>
            <w:vAlign w:val="center"/>
          </w:tcPr>
          <w:p>
            <w:pPr>
              <w:jc w:val="center"/>
            </w:pPr>
            <w:r>
              <w:rPr>
                <w:color w:val="000000"/>
                <w:sz w:val="24"/>
              </w:rPr>
              <w:t>4</w:t>
            </w:r>
          </w:p>
        </w:tc>
        <w:tc>
          <w:tcPr>
            <w:vAlign w:val="center"/>
          </w:tcPr>
          <w:p>
            <w:pPr>
              <w:jc w:val="center"/>
            </w:pPr>
            <w:r>
              <w:rPr>
                <w:color w:val="000000"/>
                <w:sz w:val="24"/>
              </w:rPr>
              <w:t>600519</w:t>
            </w:r>
          </w:p>
        </w:tc>
        <w:tc>
          <w:tcPr>
            <w:vAlign w:val="center"/>
          </w:tcPr>
          <w:p>
            <w:pPr>
              <w:jc w:val="center"/>
            </w:pPr>
            <w:r>
              <w:rPr>
                <w:color w:val="000000"/>
                <w:sz w:val="24"/>
              </w:rPr>
              <w:t>贵州茅台</w:t>
            </w:r>
          </w:p>
        </w:tc>
        <w:tc>
          <w:tcPr>
            <w:vAlign w:val="center"/>
          </w:tcPr>
          <w:p>
            <w:pPr>
              <w:jc w:val="right"/>
            </w:pPr>
            <w:r>
              <w:rPr>
                <w:color w:val="000000"/>
                <w:sz w:val="24"/>
              </w:rPr>
              <w:t>5,000</w:t>
            </w:r>
          </w:p>
        </w:tc>
        <w:tc>
          <w:tcPr>
            <w:vAlign w:val="center"/>
          </w:tcPr>
          <w:p>
            <w:pPr>
              <w:jc w:val="right"/>
            </w:pPr>
            <w:r>
              <w:rPr>
                <w:color w:val="000000"/>
                <w:sz w:val="24"/>
              </w:rPr>
              <w:t>7,314,400.00</w:t>
            </w:r>
          </w:p>
        </w:tc>
        <w:tc>
          <w:tcPr>
            <w:vAlign w:val="center"/>
          </w:tcPr>
          <w:p>
            <w:pPr>
              <w:jc w:val="right"/>
            </w:pPr>
            <w:r>
              <w:rPr>
                <w:color w:val="000000"/>
                <w:sz w:val="24"/>
              </w:rPr>
              <w:t>0.77</w:t>
            </w:r>
          </w:p>
        </w:tc>
      </w:tr>
      <w:tr>
        <w:tc>
          <w:tcPr>
            <w:vAlign w:val="center"/>
          </w:tcPr>
          <w:p>
            <w:pPr>
              <w:jc w:val="center"/>
            </w:pPr>
            <w:r>
              <w:rPr>
                <w:color w:val="000000"/>
                <w:sz w:val="24"/>
              </w:rPr>
              <w:t>5</w:t>
            </w:r>
          </w:p>
        </w:tc>
        <w:tc>
          <w:tcPr>
            <w:vAlign w:val="center"/>
          </w:tcPr>
          <w:p>
            <w:pPr>
              <w:jc w:val="center"/>
            </w:pPr>
            <w:r>
              <w:rPr>
                <w:color w:val="000000"/>
                <w:sz w:val="24"/>
              </w:rPr>
              <w:t>601628</w:t>
            </w:r>
          </w:p>
        </w:tc>
        <w:tc>
          <w:tcPr>
            <w:vAlign w:val="center"/>
          </w:tcPr>
          <w:p>
            <w:pPr>
              <w:jc w:val="center"/>
            </w:pPr>
            <w:r>
              <w:rPr>
                <w:color w:val="000000"/>
                <w:sz w:val="24"/>
              </w:rPr>
              <w:t>中国人寿</w:t>
            </w:r>
          </w:p>
        </w:tc>
        <w:tc>
          <w:tcPr>
            <w:vAlign w:val="center"/>
          </w:tcPr>
          <w:p>
            <w:pPr>
              <w:jc w:val="right"/>
            </w:pPr>
            <w:r>
              <w:rPr>
                <w:color w:val="000000"/>
                <w:sz w:val="24"/>
              </w:rPr>
              <w:t>253,700</w:t>
            </w:r>
          </w:p>
        </w:tc>
        <w:tc>
          <w:tcPr>
            <w:vAlign w:val="center"/>
          </w:tcPr>
          <w:p>
            <w:pPr>
              <w:jc w:val="right"/>
            </w:pPr>
            <w:r>
              <w:rPr>
                <w:color w:val="000000"/>
                <w:sz w:val="24"/>
              </w:rPr>
              <w:t>6,903,177.00</w:t>
            </w:r>
          </w:p>
        </w:tc>
        <w:tc>
          <w:tcPr>
            <w:vAlign w:val="center"/>
          </w:tcPr>
          <w:p>
            <w:pPr>
              <w:jc w:val="right"/>
            </w:pPr>
            <w:r>
              <w:rPr>
                <w:color w:val="000000"/>
                <w:sz w:val="24"/>
              </w:rPr>
              <w:t>0.73</w:t>
            </w:r>
          </w:p>
        </w:tc>
      </w:tr>
      <w:tr>
        <w:tc>
          <w:tcPr>
            <w:vAlign w:val="center"/>
          </w:tcPr>
          <w:p>
            <w:pPr>
              <w:jc w:val="center"/>
            </w:pPr>
            <w:r>
              <w:rPr>
                <w:color w:val="000000"/>
                <w:sz w:val="24"/>
              </w:rPr>
              <w:t>6</w:t>
            </w:r>
          </w:p>
        </w:tc>
        <w:tc>
          <w:tcPr>
            <w:vAlign w:val="center"/>
          </w:tcPr>
          <w:p>
            <w:pPr>
              <w:jc w:val="center"/>
            </w:pPr>
            <w:r>
              <w:rPr>
                <w:color w:val="000000"/>
                <w:sz w:val="24"/>
              </w:rPr>
              <w:t>001965</w:t>
            </w:r>
          </w:p>
        </w:tc>
        <w:tc>
          <w:tcPr>
            <w:vAlign w:val="center"/>
          </w:tcPr>
          <w:p>
            <w:pPr>
              <w:jc w:val="center"/>
            </w:pPr>
            <w:r>
              <w:rPr>
                <w:color w:val="000000"/>
                <w:sz w:val="24"/>
              </w:rPr>
              <w:t>招商公路</w:t>
            </w:r>
          </w:p>
        </w:tc>
        <w:tc>
          <w:tcPr>
            <w:vAlign w:val="center"/>
          </w:tcPr>
          <w:p>
            <w:pPr>
              <w:jc w:val="right"/>
            </w:pPr>
            <w:r>
              <w:rPr>
                <w:color w:val="000000"/>
                <w:sz w:val="24"/>
              </w:rPr>
              <w:t>935,556</w:t>
            </w:r>
          </w:p>
        </w:tc>
        <w:tc>
          <w:tcPr>
            <w:vAlign w:val="center"/>
          </w:tcPr>
          <w:p>
            <w:pPr>
              <w:jc w:val="right"/>
            </w:pPr>
            <w:r>
              <w:rPr>
                <w:color w:val="000000"/>
                <w:sz w:val="24"/>
              </w:rPr>
              <w:t>6,296,291.88</w:t>
            </w:r>
          </w:p>
        </w:tc>
        <w:tc>
          <w:tcPr>
            <w:vAlign w:val="center"/>
          </w:tcPr>
          <w:p>
            <w:pPr>
              <w:jc w:val="right"/>
            </w:pPr>
            <w:r>
              <w:rPr>
                <w:color w:val="000000"/>
                <w:sz w:val="24"/>
              </w:rPr>
              <w:t>0.67</w:t>
            </w:r>
          </w:p>
        </w:tc>
      </w:tr>
      <w:tr>
        <w:tc>
          <w:tcPr>
            <w:vAlign w:val="center"/>
          </w:tcPr>
          <w:p>
            <w:pPr>
              <w:jc w:val="center"/>
            </w:pPr>
            <w:r>
              <w:rPr>
                <w:color w:val="000000"/>
                <w:sz w:val="24"/>
              </w:rPr>
              <w:t>7</w:t>
            </w:r>
          </w:p>
        </w:tc>
        <w:tc>
          <w:tcPr>
            <w:vAlign w:val="center"/>
          </w:tcPr>
          <w:p>
            <w:pPr>
              <w:jc w:val="center"/>
            </w:pPr>
            <w:r>
              <w:rPr>
                <w:color w:val="000000"/>
                <w:sz w:val="24"/>
              </w:rPr>
              <w:t>002475</w:t>
            </w:r>
          </w:p>
        </w:tc>
        <w:tc>
          <w:tcPr>
            <w:vAlign w:val="center"/>
          </w:tcPr>
          <w:p>
            <w:pPr>
              <w:jc w:val="center"/>
            </w:pPr>
            <w:r>
              <w:rPr>
                <w:color w:val="000000"/>
                <w:sz w:val="24"/>
              </w:rPr>
              <w:t>立讯精密</w:t>
            </w:r>
          </w:p>
        </w:tc>
        <w:tc>
          <w:tcPr>
            <w:vAlign w:val="center"/>
          </w:tcPr>
          <w:p>
            <w:pPr>
              <w:jc w:val="right"/>
            </w:pPr>
            <w:r>
              <w:rPr>
                <w:color w:val="000000"/>
                <w:sz w:val="24"/>
              </w:rPr>
              <w:t>110,757</w:t>
            </w:r>
          </w:p>
        </w:tc>
        <w:tc>
          <w:tcPr>
            <w:vAlign w:val="center"/>
          </w:tcPr>
          <w:p>
            <w:pPr>
              <w:jc w:val="right"/>
            </w:pPr>
            <w:r>
              <w:rPr>
                <w:color w:val="000000"/>
                <w:sz w:val="24"/>
              </w:rPr>
              <w:t>5,687,371.95</w:t>
            </w:r>
          </w:p>
        </w:tc>
        <w:tc>
          <w:tcPr>
            <w:vAlign w:val="center"/>
          </w:tcPr>
          <w:p>
            <w:pPr>
              <w:jc w:val="right"/>
            </w:pPr>
            <w:r>
              <w:rPr>
                <w:color w:val="000000"/>
                <w:sz w:val="24"/>
              </w:rPr>
              <w:t>0.60</w:t>
            </w:r>
          </w:p>
        </w:tc>
      </w:tr>
      <w:tr>
        <w:tc>
          <w:tcPr>
            <w:vAlign w:val="center"/>
          </w:tcPr>
          <w:p>
            <w:pPr>
              <w:jc w:val="center"/>
            </w:pPr>
            <w:r>
              <w:rPr>
                <w:color w:val="000000"/>
                <w:sz w:val="24"/>
              </w:rPr>
              <w:t>8</w:t>
            </w:r>
          </w:p>
        </w:tc>
        <w:tc>
          <w:tcPr>
            <w:vAlign w:val="center"/>
          </w:tcPr>
          <w:p>
            <w:pPr>
              <w:jc w:val="center"/>
            </w:pPr>
            <w:r>
              <w:rPr>
                <w:color w:val="000000"/>
                <w:sz w:val="24"/>
              </w:rPr>
              <w:t>601933</w:t>
            </w:r>
          </w:p>
        </w:tc>
        <w:tc>
          <w:tcPr>
            <w:vAlign w:val="center"/>
          </w:tcPr>
          <w:p>
            <w:pPr>
              <w:jc w:val="center"/>
            </w:pPr>
            <w:r>
              <w:rPr>
                <w:color w:val="000000"/>
                <w:sz w:val="24"/>
              </w:rPr>
              <w:t>永辉超市</w:t>
            </w:r>
          </w:p>
        </w:tc>
        <w:tc>
          <w:tcPr>
            <w:vAlign w:val="center"/>
          </w:tcPr>
          <w:p>
            <w:pPr>
              <w:jc w:val="right"/>
            </w:pPr>
            <w:r>
              <w:rPr>
                <w:color w:val="000000"/>
                <w:sz w:val="24"/>
              </w:rPr>
              <w:t>595,300</w:t>
            </w:r>
          </w:p>
        </w:tc>
        <w:tc>
          <w:tcPr>
            <w:vAlign w:val="center"/>
          </w:tcPr>
          <w:p>
            <w:pPr>
              <w:jc w:val="right"/>
            </w:pPr>
            <w:r>
              <w:rPr>
                <w:color w:val="000000"/>
                <w:sz w:val="24"/>
              </w:rPr>
              <w:t>5,583,914.00</w:t>
            </w:r>
          </w:p>
        </w:tc>
        <w:tc>
          <w:tcPr>
            <w:vAlign w:val="center"/>
          </w:tcPr>
          <w:p>
            <w:pPr>
              <w:jc w:val="right"/>
            </w:pPr>
            <w:r>
              <w:rPr>
                <w:color w:val="000000"/>
                <w:sz w:val="24"/>
              </w:rPr>
              <w:t>0.59</w:t>
            </w:r>
          </w:p>
        </w:tc>
      </w:tr>
      <w:tr>
        <w:tc>
          <w:tcPr>
            <w:vAlign w:val="center"/>
          </w:tcPr>
          <w:p>
            <w:pPr>
              <w:jc w:val="center"/>
            </w:pPr>
            <w:r>
              <w:rPr>
                <w:color w:val="000000"/>
                <w:sz w:val="24"/>
              </w:rPr>
              <w:t>9</w:t>
            </w:r>
          </w:p>
        </w:tc>
        <w:tc>
          <w:tcPr>
            <w:vAlign w:val="center"/>
          </w:tcPr>
          <w:p>
            <w:pPr>
              <w:jc w:val="center"/>
            </w:pPr>
            <w:r>
              <w:rPr>
                <w:color w:val="000000"/>
                <w:sz w:val="24"/>
              </w:rPr>
              <w:t>300059</w:t>
            </w:r>
          </w:p>
        </w:tc>
        <w:tc>
          <w:tcPr>
            <w:vAlign w:val="center"/>
          </w:tcPr>
          <w:p>
            <w:pPr>
              <w:jc w:val="center"/>
            </w:pPr>
            <w:r>
              <w:rPr>
                <w:color w:val="000000"/>
                <w:sz w:val="24"/>
              </w:rPr>
              <w:t>东方财富</w:t>
            </w:r>
          </w:p>
        </w:tc>
        <w:tc>
          <w:tcPr>
            <w:vAlign w:val="center"/>
          </w:tcPr>
          <w:p>
            <w:pPr>
              <w:jc w:val="right"/>
            </w:pPr>
            <w:r>
              <w:rPr>
                <w:color w:val="000000"/>
                <w:sz w:val="24"/>
              </w:rPr>
              <w:t>256,279</w:t>
            </w:r>
          </w:p>
        </w:tc>
        <w:tc>
          <w:tcPr>
            <w:vAlign w:val="center"/>
          </w:tcPr>
          <w:p>
            <w:pPr>
              <w:jc w:val="right"/>
            </w:pPr>
            <w:r>
              <w:rPr>
                <w:color w:val="000000"/>
                <w:sz w:val="24"/>
              </w:rPr>
              <w:t>5,176,835.80</w:t>
            </w:r>
          </w:p>
        </w:tc>
        <w:tc>
          <w:tcPr>
            <w:vAlign w:val="center"/>
          </w:tcPr>
          <w:p>
            <w:pPr>
              <w:jc w:val="right"/>
            </w:pPr>
            <w:r>
              <w:rPr>
                <w:color w:val="000000"/>
                <w:sz w:val="24"/>
              </w:rPr>
              <w:t>0.55</w:t>
            </w:r>
          </w:p>
        </w:tc>
      </w:tr>
      <w:tr>
        <w:tc>
          <w:tcPr>
            <w:vAlign w:val="center"/>
          </w:tcPr>
          <w:p>
            <w:pPr>
              <w:jc w:val="center"/>
            </w:pPr>
            <w:r>
              <w:rPr>
                <w:color w:val="000000"/>
                <w:sz w:val="24"/>
              </w:rPr>
              <w:t>10</w:t>
            </w:r>
          </w:p>
        </w:tc>
        <w:tc>
          <w:tcPr>
            <w:vAlign w:val="center"/>
          </w:tcPr>
          <w:p>
            <w:pPr>
              <w:jc w:val="center"/>
            </w:pPr>
            <w:r>
              <w:rPr>
                <w:color w:val="000000"/>
                <w:sz w:val="24"/>
              </w:rPr>
              <w:t>601398</w:t>
            </w:r>
          </w:p>
        </w:tc>
        <w:tc>
          <w:tcPr>
            <w:vAlign w:val="center"/>
          </w:tcPr>
          <w:p>
            <w:pPr>
              <w:jc w:val="center"/>
            </w:pPr>
            <w:r>
              <w:rPr>
                <w:color w:val="000000"/>
                <w:sz w:val="24"/>
              </w:rPr>
              <w:t>工商银行</w:t>
            </w:r>
          </w:p>
        </w:tc>
        <w:tc>
          <w:tcPr>
            <w:vAlign w:val="center"/>
          </w:tcPr>
          <w:p>
            <w:pPr>
              <w:jc w:val="right"/>
            </w:pPr>
            <w:r>
              <w:rPr>
                <w:color w:val="000000"/>
                <w:sz w:val="24"/>
              </w:rPr>
              <w:t>1,000,000</w:t>
            </w:r>
          </w:p>
        </w:tc>
        <w:tc>
          <w:tcPr>
            <w:vAlign w:val="center"/>
          </w:tcPr>
          <w:p>
            <w:pPr>
              <w:jc w:val="right"/>
            </w:pPr>
            <w:r>
              <w:rPr>
                <w:color w:val="000000"/>
                <w:sz w:val="24"/>
              </w:rPr>
              <w:t>4,980,000.00</w:t>
            </w:r>
          </w:p>
        </w:tc>
        <w:tc>
          <w:tcPr>
            <w:vAlign w:val="center"/>
          </w:tcPr>
          <w:p>
            <w:pPr>
              <w:jc w:val="right"/>
            </w:pPr>
            <w:r>
              <w:rPr>
                <w:color w:val="000000"/>
                <w:sz w:val="24"/>
              </w:rPr>
              <w:t>0.53</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33,504,744.00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3.54</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20,178,000.00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2.13</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20,178,000.00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2.13</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369,462,000.00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39.07</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30,015,000.00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3.17</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345,397,000.00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36.53</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798,556,744.00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84.45</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143725</w:t>
            </w:r>
          </w:p>
        </w:tc>
        <w:tc>
          <w:tcPr>
            <w:vAlign w:val="center"/>
          </w:tcPr>
          <w:p>
            <w:pPr>
              <w:jc w:val="center"/>
            </w:pPr>
            <w:r>
              <w:rPr>
                <w:color w:val="000000"/>
                <w:sz w:val="24"/>
              </w:rPr>
              <w:t>18光明01</w:t>
            </w:r>
          </w:p>
        </w:tc>
        <w:tc>
          <w:tcPr>
            <w:vAlign w:val="center"/>
          </w:tcPr>
          <w:p>
            <w:pPr>
              <w:jc w:val="right"/>
            </w:pPr>
            <w:r>
              <w:rPr>
                <w:color w:val="000000"/>
                <w:sz w:val="24"/>
              </w:rPr>
              <w:t>500,000</w:t>
            </w:r>
          </w:p>
        </w:tc>
        <w:tc>
          <w:tcPr>
            <w:vAlign w:val="center"/>
          </w:tcPr>
          <w:p>
            <w:pPr>
              <w:jc w:val="right"/>
            </w:pPr>
            <w:r>
              <w:rPr>
                <w:color w:val="000000"/>
                <w:sz w:val="24"/>
              </w:rPr>
              <w:t>50,920,000.00</w:t>
            </w:r>
          </w:p>
        </w:tc>
        <w:tc>
          <w:tcPr>
            <w:vAlign w:val="center"/>
          </w:tcPr>
          <w:p>
            <w:pPr>
              <w:jc w:val="right"/>
            </w:pPr>
            <w:r>
              <w:rPr>
                <w:color w:val="000000"/>
                <w:sz w:val="24"/>
              </w:rPr>
              <w:t>5.38</w:t>
            </w:r>
          </w:p>
        </w:tc>
      </w:tr>
      <w:tr>
        <w:tc>
          <w:tcPr>
            <w:vAlign w:val="center"/>
          </w:tcPr>
          <w:p>
            <w:pPr>
              <w:jc w:val="center"/>
            </w:pPr>
            <w:r>
              <w:rPr>
                <w:color w:val="000000"/>
                <w:sz w:val="24"/>
              </w:rPr>
              <w:t>2</w:t>
            </w:r>
          </w:p>
        </w:tc>
        <w:tc>
          <w:tcPr>
            <w:vAlign w:val="center"/>
          </w:tcPr>
          <w:p>
            <w:pPr>
              <w:jc w:val="center"/>
            </w:pPr>
            <w:r>
              <w:rPr>
                <w:color w:val="000000"/>
                <w:sz w:val="24"/>
              </w:rPr>
              <w:t>101800543</w:t>
            </w:r>
          </w:p>
        </w:tc>
        <w:tc>
          <w:tcPr>
            <w:vAlign w:val="center"/>
          </w:tcPr>
          <w:p>
            <w:pPr>
              <w:jc w:val="center"/>
            </w:pPr>
            <w:r>
              <w:rPr>
                <w:color w:val="000000"/>
                <w:sz w:val="24"/>
              </w:rPr>
              <w:t>18苏交通MTN003</w:t>
            </w:r>
          </w:p>
        </w:tc>
        <w:tc>
          <w:tcPr>
            <w:vAlign w:val="center"/>
          </w:tcPr>
          <w:p>
            <w:pPr>
              <w:jc w:val="right"/>
            </w:pPr>
            <w:r>
              <w:rPr>
                <w:color w:val="000000"/>
                <w:sz w:val="24"/>
              </w:rPr>
              <w:t>500,000</w:t>
            </w:r>
          </w:p>
        </w:tc>
        <w:tc>
          <w:tcPr>
            <w:vAlign w:val="center"/>
          </w:tcPr>
          <w:p>
            <w:pPr>
              <w:jc w:val="right"/>
            </w:pPr>
            <w:r>
              <w:rPr>
                <w:color w:val="000000"/>
                <w:sz w:val="24"/>
              </w:rPr>
              <w:t>50,870,000.00</w:t>
            </w:r>
          </w:p>
        </w:tc>
        <w:tc>
          <w:tcPr>
            <w:vAlign w:val="center"/>
          </w:tcPr>
          <w:p>
            <w:pPr>
              <w:jc w:val="right"/>
            </w:pPr>
            <w:r>
              <w:rPr>
                <w:color w:val="000000"/>
                <w:sz w:val="24"/>
              </w:rPr>
              <w:t>5.38</w:t>
            </w:r>
          </w:p>
        </w:tc>
      </w:tr>
      <w:tr>
        <w:tc>
          <w:tcPr>
            <w:vAlign w:val="center"/>
          </w:tcPr>
          <w:p>
            <w:pPr>
              <w:jc w:val="center"/>
            </w:pPr>
            <w:r>
              <w:rPr>
                <w:color w:val="000000"/>
                <w:sz w:val="24"/>
              </w:rPr>
              <w:t>3</w:t>
            </w:r>
          </w:p>
        </w:tc>
        <w:tc>
          <w:tcPr>
            <w:vAlign w:val="center"/>
          </w:tcPr>
          <w:p>
            <w:pPr>
              <w:jc w:val="center"/>
            </w:pPr>
            <w:r>
              <w:rPr>
                <w:color w:val="000000"/>
                <w:sz w:val="24"/>
              </w:rPr>
              <w:t>101900121</w:t>
            </w:r>
          </w:p>
        </w:tc>
        <w:tc>
          <w:tcPr>
            <w:vAlign w:val="center"/>
          </w:tcPr>
          <w:p>
            <w:pPr>
              <w:jc w:val="center"/>
            </w:pPr>
            <w:r>
              <w:rPr>
                <w:color w:val="000000"/>
                <w:sz w:val="24"/>
              </w:rPr>
              <w:t>19中电信MTN001</w:t>
            </w:r>
          </w:p>
        </w:tc>
        <w:tc>
          <w:tcPr>
            <w:vAlign w:val="center"/>
          </w:tcPr>
          <w:p>
            <w:pPr>
              <w:jc w:val="right"/>
            </w:pPr>
            <w:r>
              <w:rPr>
                <w:color w:val="000000"/>
                <w:sz w:val="24"/>
              </w:rPr>
              <w:t>500,000</w:t>
            </w:r>
          </w:p>
        </w:tc>
        <w:tc>
          <w:tcPr>
            <w:vAlign w:val="center"/>
          </w:tcPr>
          <w:p>
            <w:pPr>
              <w:jc w:val="right"/>
            </w:pPr>
            <w:r>
              <w:rPr>
                <w:color w:val="000000"/>
                <w:sz w:val="24"/>
              </w:rPr>
              <w:t>50,635,000.00</w:t>
            </w:r>
          </w:p>
        </w:tc>
        <w:tc>
          <w:tcPr>
            <w:vAlign w:val="center"/>
          </w:tcPr>
          <w:p>
            <w:pPr>
              <w:jc w:val="right"/>
            </w:pPr>
            <w:r>
              <w:rPr>
                <w:color w:val="000000"/>
                <w:sz w:val="24"/>
              </w:rPr>
              <w:t>5.35</w:t>
            </w:r>
          </w:p>
        </w:tc>
      </w:tr>
      <w:tr>
        <w:tc>
          <w:tcPr>
            <w:vAlign w:val="center"/>
          </w:tcPr>
          <w:p>
            <w:pPr>
              <w:jc w:val="center"/>
            </w:pPr>
            <w:r>
              <w:rPr>
                <w:color w:val="000000"/>
                <w:sz w:val="24"/>
              </w:rPr>
              <w:t>4</w:t>
            </w:r>
          </w:p>
        </w:tc>
        <w:tc>
          <w:tcPr>
            <w:vAlign w:val="center"/>
          </w:tcPr>
          <w:p>
            <w:pPr>
              <w:jc w:val="center"/>
            </w:pPr>
            <w:r>
              <w:rPr>
                <w:color w:val="000000"/>
                <w:sz w:val="24"/>
              </w:rPr>
              <w:t>019627</w:t>
            </w:r>
          </w:p>
        </w:tc>
        <w:tc>
          <w:tcPr>
            <w:vAlign w:val="center"/>
          </w:tcPr>
          <w:p>
            <w:pPr>
              <w:jc w:val="center"/>
            </w:pPr>
            <w:r>
              <w:rPr>
                <w:color w:val="000000"/>
                <w:sz w:val="24"/>
              </w:rPr>
              <w:t>20国债01</w:t>
            </w:r>
          </w:p>
        </w:tc>
        <w:tc>
          <w:tcPr>
            <w:vAlign w:val="center"/>
          </w:tcPr>
          <w:p>
            <w:pPr>
              <w:jc w:val="right"/>
            </w:pPr>
            <w:r>
              <w:rPr>
                <w:color w:val="000000"/>
                <w:sz w:val="24"/>
              </w:rPr>
              <w:t>334,880</w:t>
            </w:r>
          </w:p>
        </w:tc>
        <w:tc>
          <w:tcPr>
            <w:vAlign w:val="center"/>
          </w:tcPr>
          <w:p>
            <w:pPr>
              <w:jc w:val="right"/>
            </w:pPr>
            <w:r>
              <w:rPr>
                <w:color w:val="000000"/>
                <w:sz w:val="24"/>
              </w:rPr>
              <w:t>33,504,744.00</w:t>
            </w:r>
          </w:p>
        </w:tc>
        <w:tc>
          <w:tcPr>
            <w:vAlign w:val="center"/>
          </w:tcPr>
          <w:p>
            <w:pPr>
              <w:jc w:val="right"/>
            </w:pPr>
            <w:r>
              <w:rPr>
                <w:color w:val="000000"/>
                <w:sz w:val="24"/>
              </w:rPr>
              <w:t>3.54</w:t>
            </w:r>
          </w:p>
        </w:tc>
      </w:tr>
      <w:tr>
        <w:tc>
          <w:tcPr>
            <w:vAlign w:val="center"/>
          </w:tcPr>
          <w:p>
            <w:pPr>
              <w:jc w:val="center"/>
            </w:pPr>
            <w:r>
              <w:rPr>
                <w:color w:val="000000"/>
                <w:sz w:val="24"/>
              </w:rPr>
              <w:t>5</w:t>
            </w:r>
          </w:p>
        </w:tc>
        <w:tc>
          <w:tcPr>
            <w:vAlign w:val="center"/>
          </w:tcPr>
          <w:p>
            <w:pPr>
              <w:jc w:val="center"/>
            </w:pPr>
            <w:r>
              <w:rPr>
                <w:color w:val="000000"/>
                <w:sz w:val="24"/>
              </w:rPr>
              <w:t>143807</w:t>
            </w:r>
          </w:p>
        </w:tc>
        <w:tc>
          <w:tcPr>
            <w:vAlign w:val="center"/>
          </w:tcPr>
          <w:p>
            <w:pPr>
              <w:jc w:val="center"/>
            </w:pPr>
            <w:r>
              <w:rPr>
                <w:color w:val="000000"/>
                <w:sz w:val="24"/>
              </w:rPr>
              <w:t>18电投07</w:t>
            </w:r>
          </w:p>
        </w:tc>
        <w:tc>
          <w:tcPr>
            <w:vAlign w:val="center"/>
          </w:tcPr>
          <w:p>
            <w:pPr>
              <w:jc w:val="right"/>
            </w:pPr>
            <w:r>
              <w:rPr>
                <w:color w:val="000000"/>
                <w:sz w:val="24"/>
              </w:rPr>
              <w:t>300,000</w:t>
            </w:r>
          </w:p>
        </w:tc>
        <w:tc>
          <w:tcPr>
            <w:vAlign w:val="center"/>
          </w:tcPr>
          <w:p>
            <w:pPr>
              <w:jc w:val="right"/>
            </w:pPr>
            <w:r>
              <w:rPr>
                <w:color w:val="000000"/>
                <w:sz w:val="24"/>
              </w:rPr>
              <w:t>30,558,000.00</w:t>
            </w:r>
          </w:p>
        </w:tc>
        <w:tc>
          <w:tcPr>
            <w:vAlign w:val="center"/>
          </w:tcPr>
          <w:p>
            <w:pPr>
              <w:jc w:val="right"/>
            </w:pPr>
            <w:r>
              <w:rPr>
                <w:color w:val="000000"/>
                <w:sz w:val="24"/>
              </w:rPr>
              <w:t>3.23</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30,474.19</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12,442,815.73</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217,640.45</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12,690,930.37</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本基金本报告期末前十名股票中不存在流通受限情况。</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交银优选回报灵活配置混合A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交银优选回报灵活配置混合C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695,227,670.23</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1,874,036.65</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251,614,399.03</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31,780,173.40</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194,459,045.96</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1,803,458.03</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752,383,023.30</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31,850,752.02</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500,044,000.00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500,044,000.00</w:t>
            </w:r>
          </w:p>
        </w:tc>
        <w:tc>
          <w:tcPr>
            <w:vAlign w:val="center"/>
          </w:tcPr>
          <w:p>
            <w:pPr>
              <w:jc w:val="center"/>
            </w:pPr>
            <w:r>
              <w:rPr>
                <w:rFonts w:ascii="宋体" w:hAnsi="宋体" w:hint="eastAsia"/>
                <w:color w:val="000000"/>
                <w:kern w:val="0"/>
                <w:szCs w:val="21"/>
              </w:rPr>
              <w:t>63.76%</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2020/4/1-2020/6/30</w:t>
            </w:r>
          </w:p>
        </w:tc>
        <w:tc>
          <w:tcPr>
            <w:vAlign w:val="center"/>
          </w:tcPr>
          <w:p>
            <w:pPr>
              <w:jc w:val="center"/>
            </w:pPr>
            <w:r>
              <w:rPr>
                <w:rFonts w:ascii="宋体" w:hAnsi="宋体" w:hint="eastAsia"/>
                <w:color w:val="000000"/>
                <w:kern w:val="0"/>
                <w:szCs w:val="21"/>
              </w:rPr>
              <w:t>193,985,451.02</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193,985,451.02</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1、中国证监会准予交银施罗德优选回报灵活配置混合型证券投资基金募集注册的文件；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2、《交银施罗德优选回报灵活配置混合型证券投资基金基金合同》；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3、《交银施罗德优选回报灵活配置混合型证券投资基金招募说明书》；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4、《交银施罗德优选回报灵活配置混合型证券投资基金托管协议》；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5、关于申请募集注册交银施罗德优选回报灵活配置混合型证券投资基金的法律意见书；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8、报告期内交银施罗德优选回报灵活配置混合型证券投资基金在指定报刊上各项公告的原稿。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交银施罗德优选回报灵活配置混合型证券投资基金2020年第2季度报告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