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2014年5月22日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816,669,856.32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519738</w:t>
            </w:r>
            <w:r w:rsidRPr="007F52FA">
              <w:rPr>
                <w:color w:themeColor="text1" w:val="000000"/>
                <w:sz w:val="24"/>
              </w:rPr>
              <w:t>（前端）、</w:t>
            </w:r>
            <w:r w:rsidRPr="007F52FA">
              <w:rPr>
                <w:color w:themeColor="text1" w:val="000000"/>
                <w:sz w:val="24"/>
              </w:rPr>
              <w:t>519739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519759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728,192,459.66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88,477,396.66</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交银周期回报灵活配置混合A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交银周期回报灵活配置混合C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11,956,807.50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2,296,036.17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11,284,963.74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2,780,922.15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0.0203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864,780,651.03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104,452,241.91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1.188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1.181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交银周期回报灵活配置混合A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1.89%</w:t>
            </w:r>
          </w:p>
        </w:tc>
        <w:tc>
          <w:tcPr>
            <w:vAlign w:val="center"/>
          </w:tcPr>
          <w:p>
            <w:pPr>
              <w:jc w:val="center"/>
            </w:pPr>
            <w:r>
              <w:rPr>
                <w:color w:val="000000"/>
                <w:sz w:val="24"/>
              </w:rPr>
              <w:t>0.12%</w:t>
            </w:r>
          </w:p>
        </w:tc>
        <w:tc>
          <w:tcPr>
            <w:vAlign w:val="center"/>
          </w:tcPr>
          <w:p>
            <w:pPr>
              <w:jc w:val="center"/>
            </w:pPr>
            <w:r>
              <w:rPr>
                <w:color w:val="000000"/>
                <w:sz w:val="24"/>
              </w:rPr>
              <w:t>5.80%</w:t>
            </w:r>
          </w:p>
        </w:tc>
        <w:tc>
          <w:tcPr>
            <w:vAlign w:val="center"/>
          </w:tcPr>
          <w:p>
            <w:pPr>
              <w:jc w:val="center"/>
            </w:pPr>
            <w:r>
              <w:rPr>
                <w:color w:val="000000"/>
                <w:sz w:val="24"/>
              </w:rPr>
              <w:t>0.45%</w:t>
            </w:r>
          </w:p>
        </w:tc>
        <w:tc>
          <w:tcPr>
            <w:vAlign w:val="center"/>
          </w:tcPr>
          <w:p>
            <w:pPr>
              <w:jc w:val="center"/>
            </w:pPr>
            <w:r>
              <w:rPr>
                <w:color w:val="000000"/>
                <w:sz w:val="24"/>
              </w:rPr>
              <w:t>-3.91%</w:t>
            </w:r>
          </w:p>
        </w:tc>
        <w:tc>
          <w:tcPr>
            <w:vAlign w:val="center"/>
          </w:tcPr>
          <w:p>
            <w:pPr>
              <w:jc w:val="center"/>
            </w:pPr>
            <w:r>
              <w:rPr>
                <w:color w:val="000000"/>
                <w:sz w:val="24"/>
              </w:rPr>
              <w:t>-0.33%</w:t>
            </w:r>
          </w:p>
        </w:tc>
      </w:tr>
      <w:tr>
        <w:tc>
          <w:tcPr>
            <w:vAlign w:val="center"/>
          </w:tcPr>
          <w:p>
            <w:pPr>
              <w:jc w:val="left"/>
            </w:pPr>
            <w:r>
              <w:rPr>
                <w:color w:val="000000"/>
                <w:sz w:val="24"/>
              </w:rPr>
              <w:t>过去六个月</w:t>
            </w:r>
          </w:p>
        </w:tc>
        <w:tc>
          <w:tcPr>
            <w:vAlign w:val="center"/>
          </w:tcPr>
          <w:p>
            <w:pPr>
              <w:jc w:val="center"/>
            </w:pPr>
            <w:r>
              <w:rPr>
                <w:color w:val="000000"/>
                <w:sz w:val="24"/>
              </w:rPr>
              <w:t>2.77%</w:t>
            </w:r>
          </w:p>
        </w:tc>
        <w:tc>
          <w:tcPr>
            <w:vAlign w:val="center"/>
          </w:tcPr>
          <w:p>
            <w:pPr>
              <w:jc w:val="center"/>
            </w:pPr>
            <w:r>
              <w:rPr>
                <w:color w:val="000000"/>
                <w:sz w:val="24"/>
              </w:rPr>
              <w:t>0.23%</w:t>
            </w:r>
          </w:p>
        </w:tc>
        <w:tc>
          <w:tcPr>
            <w:vAlign w:val="center"/>
          </w:tcPr>
          <w:p>
            <w:pPr>
              <w:jc w:val="center"/>
            </w:pPr>
            <w:r>
              <w:rPr>
                <w:color w:val="000000"/>
                <w:sz w:val="24"/>
              </w:rPr>
              <w:t>1.59%</w:t>
            </w:r>
          </w:p>
        </w:tc>
        <w:tc>
          <w:tcPr>
            <w:vAlign w:val="center"/>
          </w:tcPr>
          <w:p>
            <w:pPr>
              <w:jc w:val="center"/>
            </w:pPr>
            <w:r>
              <w:rPr>
                <w:color w:val="000000"/>
                <w:sz w:val="24"/>
              </w:rPr>
              <w:t>0.74%</w:t>
            </w:r>
          </w:p>
        </w:tc>
        <w:tc>
          <w:tcPr>
            <w:vAlign w:val="center"/>
          </w:tcPr>
          <w:p>
            <w:pPr>
              <w:jc w:val="center"/>
            </w:pPr>
            <w:r>
              <w:rPr>
                <w:color w:val="000000"/>
                <w:sz w:val="24"/>
              </w:rPr>
              <w:t>1.18%</w:t>
            </w:r>
          </w:p>
        </w:tc>
        <w:tc>
          <w:tcPr>
            <w:vAlign w:val="center"/>
          </w:tcPr>
          <w:p>
            <w:pPr>
              <w:jc w:val="center"/>
            </w:pPr>
            <w:r>
              <w:rPr>
                <w:color w:val="000000"/>
                <w:sz w:val="24"/>
              </w:rPr>
              <w:t>-0.51%</w:t>
            </w:r>
          </w:p>
        </w:tc>
      </w:tr>
      <w:tr>
        <w:tc>
          <w:tcPr>
            <w:vAlign w:val="center"/>
          </w:tcPr>
          <w:p>
            <w:pPr>
              <w:jc w:val="left"/>
            </w:pPr>
            <w:r>
              <w:rPr>
                <w:color w:val="000000"/>
                <w:sz w:val="24"/>
              </w:rPr>
              <w:t>过去一年</w:t>
            </w:r>
          </w:p>
        </w:tc>
        <w:tc>
          <w:tcPr>
            <w:vAlign w:val="center"/>
          </w:tcPr>
          <w:p>
            <w:pPr>
              <w:jc w:val="center"/>
            </w:pPr>
            <w:r>
              <w:rPr>
                <w:color w:val="000000"/>
                <w:sz w:val="24"/>
              </w:rPr>
              <w:t>9.70%</w:t>
            </w:r>
          </w:p>
        </w:tc>
        <w:tc>
          <w:tcPr>
            <w:vAlign w:val="center"/>
          </w:tcPr>
          <w:p>
            <w:pPr>
              <w:jc w:val="center"/>
            </w:pPr>
            <w:r>
              <w:rPr>
                <w:color w:val="000000"/>
                <w:sz w:val="24"/>
              </w:rPr>
              <w:t>0.26%</w:t>
            </w:r>
          </w:p>
        </w:tc>
        <w:tc>
          <w:tcPr>
            <w:vAlign w:val="center"/>
          </w:tcPr>
          <w:p>
            <w:pPr>
              <w:jc w:val="center"/>
            </w:pPr>
            <w:r>
              <w:rPr>
                <w:color w:val="000000"/>
                <w:sz w:val="24"/>
              </w:rPr>
              <w:t>5.81%</w:t>
            </w:r>
          </w:p>
        </w:tc>
        <w:tc>
          <w:tcPr>
            <w:vAlign w:val="center"/>
          </w:tcPr>
          <w:p>
            <w:pPr>
              <w:jc w:val="center"/>
            </w:pPr>
            <w:r>
              <w:rPr>
                <w:color w:val="000000"/>
                <w:sz w:val="24"/>
              </w:rPr>
              <w:t>0.60%</w:t>
            </w:r>
          </w:p>
        </w:tc>
        <w:tc>
          <w:tcPr>
            <w:vAlign w:val="center"/>
          </w:tcPr>
          <w:p>
            <w:pPr>
              <w:jc w:val="center"/>
            </w:pPr>
            <w:r>
              <w:rPr>
                <w:color w:val="000000"/>
                <w:sz w:val="24"/>
              </w:rPr>
              <w:t>3.89%</w:t>
            </w:r>
          </w:p>
        </w:tc>
        <w:tc>
          <w:tcPr>
            <w:vAlign w:val="center"/>
          </w:tcPr>
          <w:p>
            <w:pPr>
              <w:jc w:val="center"/>
            </w:pPr>
            <w:r>
              <w:rPr>
                <w:color w:val="000000"/>
                <w:sz w:val="24"/>
              </w:rPr>
              <w:t>-0.34%</w:t>
            </w:r>
          </w:p>
        </w:tc>
      </w:tr>
      <w:tr>
        <w:tc>
          <w:tcPr>
            <w:vAlign w:val="center"/>
          </w:tcPr>
          <w:p>
            <w:pPr>
              <w:jc w:val="left"/>
            </w:pPr>
            <w:r>
              <w:rPr>
                <w:color w:val="000000"/>
                <w:sz w:val="24"/>
              </w:rPr>
              <w:t>过去三年</w:t>
            </w:r>
          </w:p>
        </w:tc>
        <w:tc>
          <w:tcPr>
            <w:vAlign w:val="center"/>
          </w:tcPr>
          <w:p>
            <w:pPr>
              <w:jc w:val="center"/>
            </w:pPr>
            <w:r>
              <w:rPr>
                <w:color w:val="000000"/>
                <w:sz w:val="24"/>
              </w:rPr>
              <w:t>21.17%</w:t>
            </w:r>
          </w:p>
        </w:tc>
        <w:tc>
          <w:tcPr>
            <w:vAlign w:val="center"/>
          </w:tcPr>
          <w:p>
            <w:pPr>
              <w:jc w:val="center"/>
            </w:pPr>
            <w:r>
              <w:rPr>
                <w:color w:val="000000"/>
                <w:sz w:val="24"/>
              </w:rPr>
              <w:t>0.23%</w:t>
            </w:r>
          </w:p>
        </w:tc>
        <w:tc>
          <w:tcPr>
            <w:vAlign w:val="center"/>
          </w:tcPr>
          <w:p>
            <w:pPr>
              <w:jc w:val="center"/>
            </w:pPr>
            <w:r>
              <w:rPr>
                <w:color w:val="000000"/>
                <w:sz w:val="24"/>
              </w:rPr>
              <w:t>11.17%</w:t>
            </w:r>
          </w:p>
        </w:tc>
        <w:tc>
          <w:tcPr>
            <w:vAlign w:val="center"/>
          </w:tcPr>
          <w:p>
            <w:pPr>
              <w:jc w:val="center"/>
            </w:pPr>
            <w:r>
              <w:rPr>
                <w:color w:val="000000"/>
                <w:sz w:val="24"/>
              </w:rPr>
              <w:t>0.62%</w:t>
            </w:r>
          </w:p>
        </w:tc>
        <w:tc>
          <w:tcPr>
            <w:vAlign w:val="center"/>
          </w:tcPr>
          <w:p>
            <w:pPr>
              <w:jc w:val="center"/>
            </w:pPr>
            <w:r>
              <w:rPr>
                <w:color w:val="000000"/>
                <w:sz w:val="24"/>
              </w:rPr>
              <w:t>10.00%</w:t>
            </w:r>
          </w:p>
        </w:tc>
        <w:tc>
          <w:tcPr>
            <w:vAlign w:val="center"/>
          </w:tcPr>
          <w:p>
            <w:pPr>
              <w:jc w:val="center"/>
            </w:pPr>
            <w:r>
              <w:rPr>
                <w:color w:val="000000"/>
                <w:sz w:val="24"/>
              </w:rPr>
              <w:t>-0.39%</w:t>
            </w:r>
          </w:p>
        </w:tc>
      </w:tr>
      <w:tr>
        <w:tc>
          <w:tcPr>
            <w:vAlign w:val="center"/>
          </w:tcPr>
          <w:p>
            <w:pPr>
              <w:jc w:val="left"/>
            </w:pPr>
            <w:r>
              <w:rPr>
                <w:color w:val="000000"/>
                <w:sz w:val="24"/>
              </w:rPr>
              <w:t>过去五年</w:t>
            </w:r>
          </w:p>
        </w:tc>
        <w:tc>
          <w:tcPr>
            <w:vAlign w:val="center"/>
          </w:tcPr>
          <w:p>
            <w:pPr>
              <w:jc w:val="center"/>
            </w:pPr>
            <w:r>
              <w:rPr>
                <w:color w:val="000000"/>
                <w:sz w:val="24"/>
              </w:rPr>
              <w:t>35.21%</w:t>
            </w:r>
          </w:p>
        </w:tc>
        <w:tc>
          <w:tcPr>
            <w:vAlign w:val="center"/>
          </w:tcPr>
          <w:p>
            <w:pPr>
              <w:jc w:val="center"/>
            </w:pPr>
            <w:r>
              <w:rPr>
                <w:color w:val="000000"/>
                <w:sz w:val="24"/>
              </w:rPr>
              <w:t>0.19%</w:t>
            </w:r>
          </w:p>
        </w:tc>
        <w:tc>
          <w:tcPr>
            <w:vAlign w:val="center"/>
          </w:tcPr>
          <w:p>
            <w:pPr>
              <w:jc w:val="center"/>
            </w:pPr>
            <w:r>
              <w:rPr>
                <w:color w:val="000000"/>
                <w:sz w:val="24"/>
              </w:rPr>
              <w:t>2.03%</w:t>
            </w:r>
          </w:p>
        </w:tc>
        <w:tc>
          <w:tcPr>
            <w:vAlign w:val="center"/>
          </w:tcPr>
          <w:p>
            <w:pPr>
              <w:jc w:val="center"/>
            </w:pPr>
            <w:r>
              <w:rPr>
                <w:color w:val="000000"/>
                <w:sz w:val="24"/>
              </w:rPr>
              <w:t>0.72%</w:t>
            </w:r>
          </w:p>
        </w:tc>
        <w:tc>
          <w:tcPr>
            <w:vAlign w:val="center"/>
          </w:tcPr>
          <w:p>
            <w:pPr>
              <w:jc w:val="center"/>
            </w:pPr>
            <w:r>
              <w:rPr>
                <w:color w:val="000000"/>
                <w:sz w:val="24"/>
              </w:rPr>
              <w:t>33.18%</w:t>
            </w:r>
          </w:p>
        </w:tc>
        <w:tc>
          <w:tcPr>
            <w:vAlign w:val="center"/>
          </w:tcPr>
          <w:p>
            <w:pPr>
              <w:jc w:val="center"/>
            </w:pPr>
            <w:r>
              <w:rPr>
                <w:color w:val="000000"/>
                <w:sz w:val="24"/>
              </w:rPr>
              <w:t>-0.53%</w:t>
            </w:r>
          </w:p>
        </w:tc>
      </w:tr>
      <w:tr>
        <w:tc>
          <w:tcPr>
            <w:vAlign w:val="center"/>
          </w:tcPr>
          <w:p>
            <w:pPr>
              <w:jc w:val="left"/>
            </w:pPr>
            <w:r>
              <w:rPr>
                <w:color w:val="000000"/>
                <w:sz w:val="24"/>
              </w:rPr>
              <w:t>自基金合同生效起至今</w:t>
            </w:r>
          </w:p>
        </w:tc>
        <w:tc>
          <w:tcPr>
            <w:vAlign w:val="center"/>
          </w:tcPr>
          <w:p>
            <w:pPr>
              <w:jc w:val="center"/>
            </w:pPr>
            <w:r>
              <w:rPr>
                <w:color w:val="000000"/>
                <w:sz w:val="24"/>
              </w:rPr>
              <w:t>78.08%</w:t>
            </w:r>
          </w:p>
        </w:tc>
        <w:tc>
          <w:tcPr>
            <w:vAlign w:val="center"/>
          </w:tcPr>
          <w:p>
            <w:pPr>
              <w:jc w:val="center"/>
            </w:pPr>
            <w:r>
              <w:rPr>
                <w:color w:val="000000"/>
                <w:sz w:val="24"/>
              </w:rPr>
              <w:t>0.26%</w:t>
            </w:r>
          </w:p>
        </w:tc>
        <w:tc>
          <w:tcPr>
            <w:vAlign w:val="center"/>
          </w:tcPr>
          <w:p>
            <w:pPr>
              <w:jc w:val="center"/>
            </w:pPr>
            <w:r>
              <w:rPr>
                <w:color w:val="000000"/>
                <w:sz w:val="24"/>
              </w:rPr>
              <w:t>52.58%</w:t>
            </w:r>
          </w:p>
        </w:tc>
        <w:tc>
          <w:tcPr>
            <w:vAlign w:val="center"/>
          </w:tcPr>
          <w:p>
            <w:pPr>
              <w:jc w:val="center"/>
            </w:pPr>
            <w:r>
              <w:rPr>
                <w:color w:val="000000"/>
                <w:sz w:val="24"/>
              </w:rPr>
              <w:t>0.75%</w:t>
            </w:r>
          </w:p>
        </w:tc>
        <w:tc>
          <w:tcPr>
            <w:vAlign w:val="center"/>
          </w:tcPr>
          <w:p>
            <w:pPr>
              <w:jc w:val="center"/>
            </w:pPr>
            <w:r>
              <w:rPr>
                <w:color w:val="000000"/>
                <w:sz w:val="24"/>
              </w:rPr>
              <w:t>25.50%</w:t>
            </w:r>
          </w:p>
        </w:tc>
        <w:tc>
          <w:tcPr>
            <w:vAlign w:val="center"/>
          </w:tcPr>
          <w:p>
            <w:pPr>
              <w:jc w:val="center"/>
            </w:pPr>
            <w:r>
              <w:rPr>
                <w:color w:val="000000"/>
                <w:sz w:val="24"/>
              </w:rPr>
              <w:t>-0.49%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交银周期回报灵活配置混合C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1.90%</w:t>
            </w:r>
          </w:p>
        </w:tc>
        <w:tc>
          <w:tcPr>
            <w:vAlign w:val="center"/>
          </w:tcPr>
          <w:p>
            <w:pPr>
              <w:jc w:val="center"/>
            </w:pPr>
            <w:r>
              <w:rPr>
                <w:color w:val="000000"/>
                <w:sz w:val="24"/>
              </w:rPr>
              <w:t>0.13%</w:t>
            </w:r>
          </w:p>
        </w:tc>
        <w:tc>
          <w:tcPr>
            <w:vAlign w:val="center"/>
          </w:tcPr>
          <w:p>
            <w:pPr>
              <w:jc w:val="center"/>
            </w:pPr>
            <w:r>
              <w:rPr>
                <w:color w:val="000000"/>
                <w:sz w:val="24"/>
              </w:rPr>
              <w:t>5.80%</w:t>
            </w:r>
          </w:p>
        </w:tc>
        <w:tc>
          <w:tcPr>
            <w:vAlign w:val="center"/>
          </w:tcPr>
          <w:p>
            <w:pPr>
              <w:jc w:val="center"/>
            </w:pPr>
            <w:r>
              <w:rPr>
                <w:color w:val="000000"/>
                <w:sz w:val="24"/>
              </w:rPr>
              <w:t>0.45%</w:t>
            </w:r>
          </w:p>
        </w:tc>
        <w:tc>
          <w:tcPr>
            <w:vAlign w:val="center"/>
          </w:tcPr>
          <w:p>
            <w:pPr>
              <w:jc w:val="center"/>
            </w:pPr>
            <w:r>
              <w:rPr>
                <w:color w:val="000000"/>
                <w:sz w:val="24"/>
              </w:rPr>
              <w:t>-3.90%</w:t>
            </w:r>
          </w:p>
        </w:tc>
        <w:tc>
          <w:tcPr>
            <w:vAlign w:val="center"/>
          </w:tcPr>
          <w:p>
            <w:pPr>
              <w:jc w:val="center"/>
            </w:pPr>
            <w:r>
              <w:rPr>
                <w:color w:val="000000"/>
                <w:sz w:val="24"/>
              </w:rPr>
              <w:t>-0.32%</w:t>
            </w:r>
          </w:p>
        </w:tc>
      </w:tr>
      <w:tr>
        <w:tc>
          <w:tcPr>
            <w:vAlign w:val="center"/>
          </w:tcPr>
          <w:p>
            <w:pPr>
              <w:jc w:val="left"/>
            </w:pPr>
            <w:r>
              <w:rPr>
                <w:color w:val="000000"/>
                <w:sz w:val="24"/>
              </w:rPr>
              <w:t>过去六个月</w:t>
            </w:r>
          </w:p>
        </w:tc>
        <w:tc>
          <w:tcPr>
            <w:vAlign w:val="center"/>
          </w:tcPr>
          <w:p>
            <w:pPr>
              <w:jc w:val="center"/>
            </w:pPr>
            <w:r>
              <w:rPr>
                <w:color w:val="000000"/>
                <w:sz w:val="24"/>
              </w:rPr>
              <w:t>2.70%</w:t>
            </w:r>
          </w:p>
        </w:tc>
        <w:tc>
          <w:tcPr>
            <w:vAlign w:val="center"/>
          </w:tcPr>
          <w:p>
            <w:pPr>
              <w:jc w:val="center"/>
            </w:pPr>
            <w:r>
              <w:rPr>
                <w:color w:val="000000"/>
                <w:sz w:val="24"/>
              </w:rPr>
              <w:t>0.23%</w:t>
            </w:r>
          </w:p>
        </w:tc>
        <w:tc>
          <w:tcPr>
            <w:vAlign w:val="center"/>
          </w:tcPr>
          <w:p>
            <w:pPr>
              <w:jc w:val="center"/>
            </w:pPr>
            <w:r>
              <w:rPr>
                <w:color w:val="000000"/>
                <w:sz w:val="24"/>
              </w:rPr>
              <w:t>1.59%</w:t>
            </w:r>
          </w:p>
        </w:tc>
        <w:tc>
          <w:tcPr>
            <w:vAlign w:val="center"/>
          </w:tcPr>
          <w:p>
            <w:pPr>
              <w:jc w:val="center"/>
            </w:pPr>
            <w:r>
              <w:rPr>
                <w:color w:val="000000"/>
                <w:sz w:val="24"/>
              </w:rPr>
              <w:t>0.74%</w:t>
            </w:r>
          </w:p>
        </w:tc>
        <w:tc>
          <w:tcPr>
            <w:vAlign w:val="center"/>
          </w:tcPr>
          <w:p>
            <w:pPr>
              <w:jc w:val="center"/>
            </w:pPr>
            <w:r>
              <w:rPr>
                <w:color w:val="000000"/>
                <w:sz w:val="24"/>
              </w:rPr>
              <w:t>1.11%</w:t>
            </w:r>
          </w:p>
        </w:tc>
        <w:tc>
          <w:tcPr>
            <w:vAlign w:val="center"/>
          </w:tcPr>
          <w:p>
            <w:pPr>
              <w:jc w:val="center"/>
            </w:pPr>
            <w:r>
              <w:rPr>
                <w:color w:val="000000"/>
                <w:sz w:val="24"/>
              </w:rPr>
              <w:t>-0.51%</w:t>
            </w:r>
          </w:p>
        </w:tc>
      </w:tr>
      <w:tr>
        <w:tc>
          <w:tcPr>
            <w:vAlign w:val="center"/>
          </w:tcPr>
          <w:p>
            <w:pPr>
              <w:jc w:val="left"/>
            </w:pPr>
            <w:r>
              <w:rPr>
                <w:color w:val="000000"/>
                <w:sz w:val="24"/>
              </w:rPr>
              <w:t>过去一年</w:t>
            </w:r>
          </w:p>
        </w:tc>
        <w:tc>
          <w:tcPr>
            <w:vAlign w:val="center"/>
          </w:tcPr>
          <w:p>
            <w:pPr>
              <w:jc w:val="center"/>
            </w:pPr>
            <w:r>
              <w:rPr>
                <w:color w:val="000000"/>
                <w:sz w:val="24"/>
              </w:rPr>
              <w:t>9.48%</w:t>
            </w:r>
          </w:p>
        </w:tc>
        <w:tc>
          <w:tcPr>
            <w:vAlign w:val="center"/>
          </w:tcPr>
          <w:p>
            <w:pPr>
              <w:jc w:val="center"/>
            </w:pPr>
            <w:r>
              <w:rPr>
                <w:color w:val="000000"/>
                <w:sz w:val="24"/>
              </w:rPr>
              <w:t>0.26%</w:t>
            </w:r>
          </w:p>
        </w:tc>
        <w:tc>
          <w:tcPr>
            <w:vAlign w:val="center"/>
          </w:tcPr>
          <w:p>
            <w:pPr>
              <w:jc w:val="center"/>
            </w:pPr>
            <w:r>
              <w:rPr>
                <w:color w:val="000000"/>
                <w:sz w:val="24"/>
              </w:rPr>
              <w:t>5.81%</w:t>
            </w:r>
          </w:p>
        </w:tc>
        <w:tc>
          <w:tcPr>
            <w:vAlign w:val="center"/>
          </w:tcPr>
          <w:p>
            <w:pPr>
              <w:jc w:val="center"/>
            </w:pPr>
            <w:r>
              <w:rPr>
                <w:color w:val="000000"/>
                <w:sz w:val="24"/>
              </w:rPr>
              <w:t>0.60%</w:t>
            </w:r>
          </w:p>
        </w:tc>
        <w:tc>
          <w:tcPr>
            <w:vAlign w:val="center"/>
          </w:tcPr>
          <w:p>
            <w:pPr>
              <w:jc w:val="center"/>
            </w:pPr>
            <w:r>
              <w:rPr>
                <w:color w:val="000000"/>
                <w:sz w:val="24"/>
              </w:rPr>
              <w:t>3.67%</w:t>
            </w:r>
          </w:p>
        </w:tc>
        <w:tc>
          <w:tcPr>
            <w:vAlign w:val="center"/>
          </w:tcPr>
          <w:p>
            <w:pPr>
              <w:jc w:val="center"/>
            </w:pPr>
            <w:r>
              <w:rPr>
                <w:color w:val="000000"/>
                <w:sz w:val="24"/>
              </w:rPr>
              <w:t>-0.34%</w:t>
            </w:r>
          </w:p>
        </w:tc>
      </w:tr>
      <w:tr>
        <w:tc>
          <w:tcPr>
            <w:vAlign w:val="center"/>
          </w:tcPr>
          <w:p>
            <w:pPr>
              <w:jc w:val="left"/>
            </w:pPr>
            <w:r>
              <w:rPr>
                <w:color w:val="000000"/>
                <w:sz w:val="24"/>
              </w:rPr>
              <w:t>过去三年</w:t>
            </w:r>
          </w:p>
        </w:tc>
        <w:tc>
          <w:tcPr>
            <w:vAlign w:val="center"/>
          </w:tcPr>
          <w:p>
            <w:pPr>
              <w:jc w:val="center"/>
            </w:pPr>
            <w:r>
              <w:rPr>
                <w:color w:val="000000"/>
                <w:sz w:val="24"/>
              </w:rPr>
              <w:t>21.00%</w:t>
            </w:r>
          </w:p>
        </w:tc>
        <w:tc>
          <w:tcPr>
            <w:vAlign w:val="center"/>
          </w:tcPr>
          <w:p>
            <w:pPr>
              <w:jc w:val="center"/>
            </w:pPr>
            <w:r>
              <w:rPr>
                <w:color w:val="000000"/>
                <w:sz w:val="24"/>
              </w:rPr>
              <w:t>0.22%</w:t>
            </w:r>
          </w:p>
        </w:tc>
        <w:tc>
          <w:tcPr>
            <w:vAlign w:val="center"/>
          </w:tcPr>
          <w:p>
            <w:pPr>
              <w:jc w:val="center"/>
            </w:pPr>
            <w:r>
              <w:rPr>
                <w:color w:val="000000"/>
                <w:sz w:val="24"/>
              </w:rPr>
              <w:t>11.17%</w:t>
            </w:r>
          </w:p>
        </w:tc>
        <w:tc>
          <w:tcPr>
            <w:vAlign w:val="center"/>
          </w:tcPr>
          <w:p>
            <w:pPr>
              <w:jc w:val="center"/>
            </w:pPr>
            <w:r>
              <w:rPr>
                <w:color w:val="000000"/>
                <w:sz w:val="24"/>
              </w:rPr>
              <w:t>0.62%</w:t>
            </w:r>
          </w:p>
        </w:tc>
        <w:tc>
          <w:tcPr>
            <w:vAlign w:val="center"/>
          </w:tcPr>
          <w:p>
            <w:pPr>
              <w:jc w:val="center"/>
            </w:pPr>
            <w:r>
              <w:rPr>
                <w:color w:val="000000"/>
                <w:sz w:val="24"/>
              </w:rPr>
              <w:t>9.83%</w:t>
            </w:r>
          </w:p>
        </w:tc>
        <w:tc>
          <w:tcPr>
            <w:vAlign w:val="center"/>
          </w:tcPr>
          <w:p>
            <w:pPr>
              <w:jc w:val="center"/>
            </w:pPr>
            <w:r>
              <w:rPr>
                <w:color w:val="000000"/>
                <w:sz w:val="24"/>
              </w:rPr>
              <w:t>-0.40%</w:t>
            </w:r>
          </w:p>
        </w:tc>
      </w:tr>
      <w:tr>
        <w:tc>
          <w:tcPr>
            <w:vAlign w:val="center"/>
          </w:tcPr>
          <w:p>
            <w:pPr>
              <w:jc w:val="left"/>
            </w:pPr>
            <w:r>
              <w:rPr>
                <w:color w:val="000000"/>
                <w:sz w:val="24"/>
              </w:rPr>
              <w:t>自基金合同生效起至今</w:t>
            </w:r>
          </w:p>
        </w:tc>
        <w:tc>
          <w:tcPr>
            <w:vAlign w:val="center"/>
          </w:tcPr>
          <w:p>
            <w:pPr>
              <w:jc w:val="center"/>
            </w:pPr>
            <w:r>
              <w:rPr>
                <w:color w:val="000000"/>
                <w:sz w:val="24"/>
              </w:rPr>
              <w:t>46.21%</w:t>
            </w:r>
          </w:p>
        </w:tc>
        <w:tc>
          <w:tcPr>
            <w:vAlign w:val="center"/>
          </w:tcPr>
          <w:p>
            <w:pPr>
              <w:jc w:val="center"/>
            </w:pPr>
            <w:r>
              <w:rPr>
                <w:color w:val="000000"/>
                <w:sz w:val="24"/>
              </w:rPr>
              <w:t>0.40%</w:t>
            </w:r>
          </w:p>
        </w:tc>
        <w:tc>
          <w:tcPr>
            <w:vAlign w:val="center"/>
          </w:tcPr>
          <w:p>
            <w:pPr>
              <w:jc w:val="center"/>
            </w:pPr>
            <w:r>
              <w:rPr>
                <w:color w:val="000000"/>
                <w:sz w:val="24"/>
              </w:rPr>
              <w:t>9.14%</w:t>
            </w:r>
          </w:p>
        </w:tc>
        <w:tc>
          <w:tcPr>
            <w:vAlign w:val="center"/>
          </w:tcPr>
          <w:p>
            <w:pPr>
              <w:jc w:val="center"/>
            </w:pPr>
            <w:r>
              <w:rPr>
                <w:color w:val="000000"/>
                <w:sz w:val="24"/>
              </w:rPr>
              <w:t>0.62%</w:t>
            </w:r>
          </w:p>
        </w:tc>
        <w:tc>
          <w:tcPr>
            <w:vAlign w:val="center"/>
          </w:tcPr>
          <w:p>
            <w:pPr>
              <w:jc w:val="center"/>
            </w:pPr>
            <w:r>
              <w:rPr>
                <w:color w:val="000000"/>
                <w:sz w:val="24"/>
              </w:rPr>
              <w:t>37.07%</w:t>
            </w:r>
          </w:p>
        </w:tc>
        <w:tc>
          <w:tcPr>
            <w:vAlign w:val="center"/>
          </w:tcPr>
          <w:p>
            <w:pPr>
              <w:jc w:val="center"/>
            </w:pPr>
            <w:r>
              <w:rPr>
                <w:color w:val="000000"/>
                <w:sz w:val="24"/>
              </w:rPr>
              <w:t>-0.22%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交银施罗德周期回报灵活配置混合型证券投资基金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2014年5月22日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注：图示日期为2014年5月22日至2020年6月30日。本基金建仓期为自基金合同生效日起的6个月。截至建仓期结束，本基金各项资产配置比例符合基金合同及招募说明书有关投资比例的约定。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交银周期回报灵活配置混合C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注：本基金自2015年11月19日起，开始销售C类份额，投资者提交的申购申请于2015年11月20日被确认并将有效份额登记在册。图示日期为2015年11月20日至2020年6月30日。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初期走势仍然较为火热，但随着后期资金面利率水平上行、央行货币政策防空转及经济逐步复苏的影响，收益率呈现先下后上的V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pPr>
        <w:spacing w:before="29" w:line="288" w:lineRule="auto"/>
        <w:ind w:firstLine="480" w:firstLineChars="200"/>
        <w:rPr>
          <w:color w:val="000000"/>
          <w:sz w:val="24"/>
        </w:rPr>
      </w:pPr>
      <w:r>
        <w:rPr>
          <w:color w:val="000000"/>
          <w:sz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A股主要指数也大幅恢复，创业板指数更是创下年内新高。</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随着市场逐步回暖，在总体稳健的基础上，将持仓结构调整得更加平衡。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的上行空间。由于经济目前仍在复苏过程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152,006,133.01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13.53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152,006,133.01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13.53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937,777,772.00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83.46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937,777,772.00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83.46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12,473,100.22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21,379,349.54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1,123,636,354.77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2,692,500.00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0.28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57,653,251.49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5.95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12,766.32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15,894,058.40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1.64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3,836,140.00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0.40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6,304,339.56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6,324,519.47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39,425,193.77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4.07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14,876,872.00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4,986,492.00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152,006,133.01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15.68</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3,255,000</w:t>
            </w:r>
          </w:p>
        </w:tc>
        <w:tc>
          <w:tcPr>
            <w:vAlign w:val="center"/>
          </w:tcPr>
          <w:p>
            <w:pPr>
              <w:jc w:val="right"/>
            </w:pPr>
            <w:r>
              <w:rPr>
                <w:color w:val="000000"/>
                <w:sz w:val="24"/>
              </w:rPr>
              <w:t>16,209,900.00</w:t>
            </w:r>
          </w:p>
        </w:tc>
        <w:tc>
          <w:tcPr>
            <w:vAlign w:val="center"/>
          </w:tcPr>
          <w:p>
            <w:pPr>
              <w:jc w:val="right"/>
            </w:pPr>
            <w:r>
              <w:rPr>
                <w:color w:val="000000"/>
                <w:sz w:val="24"/>
              </w:rPr>
              <w:t>1.67</w:t>
            </w:r>
          </w:p>
        </w:tc>
      </w:tr>
      <w:tr>
        <w:tc>
          <w:tcPr>
            <w:vAlign w:val="center"/>
          </w:tcPr>
          <w:p>
            <w:pPr>
              <w:jc w:val="center"/>
            </w:pPr>
            <w:r>
              <w:rPr>
                <w:color w:val="000000"/>
                <w:sz w:val="24"/>
              </w:rPr>
              <w:t>2</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323,004</w:t>
            </w:r>
          </w:p>
        </w:tc>
        <w:tc>
          <w:tcPr>
            <w:vAlign w:val="center"/>
          </w:tcPr>
          <w:p>
            <w:pPr>
              <w:jc w:val="right"/>
            </w:pPr>
            <w:r>
              <w:rPr>
                <w:color w:val="000000"/>
                <w:sz w:val="24"/>
              </w:rPr>
              <w:t>13,123,652.52</w:t>
            </w:r>
          </w:p>
        </w:tc>
        <w:tc>
          <w:tcPr>
            <w:vAlign w:val="center"/>
          </w:tcPr>
          <w:p>
            <w:pPr>
              <w:jc w:val="right"/>
            </w:pPr>
            <w:r>
              <w:rPr>
                <w:color w:val="000000"/>
                <w:sz w:val="24"/>
              </w:rPr>
              <w:t>1.35</w:t>
            </w:r>
          </w:p>
        </w:tc>
      </w:tr>
      <w:tr>
        <w:tc>
          <w:tcPr>
            <w:vAlign w:val="center"/>
          </w:tcPr>
          <w:p>
            <w:pPr>
              <w:jc w:val="center"/>
            </w:pPr>
            <w:r>
              <w:rPr>
                <w:color w:val="000000"/>
                <w:sz w:val="24"/>
              </w:rPr>
              <w:t>3</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659,200</w:t>
            </w:r>
          </w:p>
        </w:tc>
        <w:tc>
          <w:tcPr>
            <w:vAlign w:val="center"/>
          </w:tcPr>
          <w:p>
            <w:pPr>
              <w:jc w:val="right"/>
            </w:pPr>
            <w:r>
              <w:rPr>
                <w:color w:val="000000"/>
                <w:sz w:val="24"/>
              </w:rPr>
              <w:t>9,742,976.00</w:t>
            </w:r>
          </w:p>
        </w:tc>
        <w:tc>
          <w:tcPr>
            <w:vAlign w:val="center"/>
          </w:tcPr>
          <w:p>
            <w:pPr>
              <w:jc w:val="right"/>
            </w:pPr>
            <w:r>
              <w:rPr>
                <w:color w:val="000000"/>
                <w:sz w:val="24"/>
              </w:rPr>
              <w:t>1.01</w:t>
            </w:r>
          </w:p>
        </w:tc>
      </w:tr>
      <w:tr>
        <w:tc>
          <w:tcPr>
            <w:vAlign w:val="center"/>
          </w:tcPr>
          <w:p>
            <w:pPr>
              <w:jc w:val="center"/>
            </w:pPr>
            <w:r>
              <w:rPr>
                <w:color w:val="000000"/>
                <w:sz w:val="24"/>
              </w:rPr>
              <w:t>4</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132,077</w:t>
            </w:r>
          </w:p>
        </w:tc>
        <w:tc>
          <w:tcPr>
            <w:vAlign w:val="center"/>
          </w:tcPr>
          <w:p>
            <w:pPr>
              <w:jc w:val="right"/>
            </w:pPr>
            <w:r>
              <w:rPr>
                <w:color w:val="000000"/>
                <w:sz w:val="24"/>
              </w:rPr>
              <w:t>6,782,153.95</w:t>
            </w:r>
          </w:p>
        </w:tc>
        <w:tc>
          <w:tcPr>
            <w:vAlign w:val="center"/>
          </w:tcPr>
          <w:p>
            <w:pPr>
              <w:jc w:val="right"/>
            </w:pPr>
            <w:r>
              <w:rPr>
                <w:color w:val="000000"/>
                <w:sz w:val="24"/>
              </w:rPr>
              <w:t>0.70</w:t>
            </w:r>
          </w:p>
        </w:tc>
      </w:tr>
      <w:tr>
        <w:tc>
          <w:tcPr>
            <w:vAlign w:val="center"/>
          </w:tcPr>
          <w:p>
            <w:pPr>
              <w:jc w:val="center"/>
            </w:pPr>
            <w:r>
              <w:rPr>
                <w:color w:val="000000"/>
                <w:sz w:val="24"/>
              </w:rPr>
              <w:t>5</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310,392</w:t>
            </w:r>
          </w:p>
        </w:tc>
        <w:tc>
          <w:tcPr>
            <w:vAlign w:val="center"/>
          </w:tcPr>
          <w:p>
            <w:pPr>
              <w:jc w:val="right"/>
            </w:pPr>
            <w:r>
              <w:rPr>
                <w:color w:val="000000"/>
                <w:sz w:val="24"/>
              </w:rPr>
              <w:t>6,269,918.40</w:t>
            </w:r>
          </w:p>
        </w:tc>
        <w:tc>
          <w:tcPr>
            <w:vAlign w:val="center"/>
          </w:tcPr>
          <w:p>
            <w:pPr>
              <w:jc w:val="right"/>
            </w:pPr>
            <w:r>
              <w:rPr>
                <w:color w:val="000000"/>
                <w:sz w:val="24"/>
              </w:rPr>
              <w:t>0.65</w:t>
            </w:r>
          </w:p>
        </w:tc>
      </w:tr>
      <w:tr>
        <w:tc>
          <w:tcPr>
            <w:vAlign w:val="center"/>
          </w:tcPr>
          <w:p>
            <w:pPr>
              <w:jc w:val="center"/>
            </w:pPr>
            <w:r>
              <w:rPr>
                <w:color w:val="000000"/>
                <w:sz w:val="24"/>
              </w:rPr>
              <w:t>6</w:t>
            </w:r>
          </w:p>
        </w:tc>
        <w:tc>
          <w:tcPr>
            <w:vAlign w:val="center"/>
          </w:tcPr>
          <w:p>
            <w:pPr>
              <w:jc w:val="center"/>
            </w:pPr>
            <w:r>
              <w:rPr>
                <w:color w:val="000000"/>
                <w:sz w:val="24"/>
              </w:rPr>
              <w:t>002179</w:t>
            </w:r>
          </w:p>
        </w:tc>
        <w:tc>
          <w:tcPr>
            <w:vAlign w:val="center"/>
          </w:tcPr>
          <w:p>
            <w:pPr>
              <w:jc w:val="center"/>
            </w:pPr>
            <w:r>
              <w:rPr>
                <w:color w:val="000000"/>
                <w:sz w:val="24"/>
              </w:rPr>
              <w:t>中航光电</w:t>
            </w:r>
          </w:p>
        </w:tc>
        <w:tc>
          <w:tcPr>
            <w:vAlign w:val="center"/>
          </w:tcPr>
          <w:p>
            <w:pPr>
              <w:jc w:val="right"/>
            </w:pPr>
            <w:r>
              <w:rPr>
                <w:color w:val="000000"/>
                <w:sz w:val="24"/>
              </w:rPr>
              <w:t>142,200</w:t>
            </w:r>
          </w:p>
        </w:tc>
        <w:tc>
          <w:tcPr>
            <w:vAlign w:val="center"/>
          </w:tcPr>
          <w:p>
            <w:pPr>
              <w:jc w:val="right"/>
            </w:pPr>
            <w:r>
              <w:rPr>
                <w:color w:val="000000"/>
                <w:sz w:val="24"/>
              </w:rPr>
              <w:t>5,831,622.00</w:t>
            </w:r>
          </w:p>
        </w:tc>
        <w:tc>
          <w:tcPr>
            <w:vAlign w:val="center"/>
          </w:tcPr>
          <w:p>
            <w:pPr>
              <w:jc w:val="right"/>
            </w:pPr>
            <w:r>
              <w:rPr>
                <w:color w:val="000000"/>
                <w:sz w:val="24"/>
              </w:rPr>
              <w:t>0.60</w:t>
            </w:r>
          </w:p>
        </w:tc>
      </w:tr>
      <w:tr>
        <w:tc>
          <w:tcPr>
            <w:vAlign w:val="center"/>
          </w:tcPr>
          <w:p>
            <w:pPr>
              <w:jc w:val="center"/>
            </w:pPr>
            <w:r>
              <w:rPr>
                <w:color w:val="000000"/>
                <w:sz w:val="24"/>
              </w:rPr>
              <w:t>7</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1,143,800</w:t>
            </w:r>
          </w:p>
        </w:tc>
        <w:tc>
          <w:tcPr>
            <w:vAlign w:val="center"/>
          </w:tcPr>
          <w:p>
            <w:pPr>
              <w:jc w:val="right"/>
            </w:pPr>
            <w:r>
              <w:rPr>
                <w:color w:val="000000"/>
                <w:sz w:val="24"/>
              </w:rPr>
              <w:t>5,455,926.00</w:t>
            </w:r>
          </w:p>
        </w:tc>
        <w:tc>
          <w:tcPr>
            <w:vAlign w:val="center"/>
          </w:tcPr>
          <w:p>
            <w:pPr>
              <w:jc w:val="right"/>
            </w:pPr>
            <w:r>
              <w:rPr>
                <w:color w:val="000000"/>
                <w:sz w:val="24"/>
              </w:rPr>
              <w:t>0.56</w:t>
            </w:r>
          </w:p>
        </w:tc>
      </w:tr>
      <w:tr>
        <w:tc>
          <w:tcPr>
            <w:vAlign w:val="center"/>
          </w:tcPr>
          <w:p>
            <w:pPr>
              <w:jc w:val="center"/>
            </w:pPr>
            <w:r>
              <w:rPr>
                <w:color w:val="000000"/>
                <w:sz w:val="24"/>
              </w:rPr>
              <w:t>8</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143,900</w:t>
            </w:r>
          </w:p>
        </w:tc>
        <w:tc>
          <w:tcPr>
            <w:vAlign w:val="center"/>
          </w:tcPr>
          <w:p>
            <w:pPr>
              <w:jc w:val="right"/>
            </w:pPr>
            <w:r>
              <w:rPr>
                <w:color w:val="000000"/>
                <w:sz w:val="24"/>
              </w:rPr>
              <w:t>5,386,177.00</w:t>
            </w:r>
          </w:p>
        </w:tc>
        <w:tc>
          <w:tcPr>
            <w:vAlign w:val="center"/>
          </w:tcPr>
          <w:p>
            <w:pPr>
              <w:jc w:val="right"/>
            </w:pPr>
            <w:r>
              <w:rPr>
                <w:color w:val="000000"/>
                <w:sz w:val="24"/>
              </w:rPr>
              <w:t>0.56</w:t>
            </w:r>
          </w:p>
        </w:tc>
      </w:tr>
      <w:tr>
        <w:tc>
          <w:tcPr>
            <w:vAlign w:val="center"/>
          </w:tcPr>
          <w:p>
            <w:pPr>
              <w:jc w:val="center"/>
            </w:pPr>
            <w:r>
              <w:rPr>
                <w:color w:val="000000"/>
                <w:sz w:val="24"/>
              </w:rPr>
              <w:t>9</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637,900</w:t>
            </w:r>
          </w:p>
        </w:tc>
        <w:tc>
          <w:tcPr>
            <w:vAlign w:val="center"/>
          </w:tcPr>
          <w:p>
            <w:pPr>
              <w:jc w:val="right"/>
            </w:pPr>
            <w:r>
              <w:rPr>
                <w:color w:val="000000"/>
                <w:sz w:val="24"/>
              </w:rPr>
              <w:t>5,345,602.00</w:t>
            </w:r>
          </w:p>
        </w:tc>
        <w:tc>
          <w:tcPr>
            <w:vAlign w:val="center"/>
          </w:tcPr>
          <w:p>
            <w:pPr>
              <w:jc w:val="right"/>
            </w:pPr>
            <w:r>
              <w:rPr>
                <w:color w:val="000000"/>
                <w:sz w:val="24"/>
              </w:rPr>
              <w:t>0.55</w:t>
            </w:r>
          </w:p>
        </w:tc>
      </w:tr>
      <w:tr>
        <w:tc>
          <w:tcPr>
            <w:vAlign w:val="center"/>
          </w:tcPr>
          <w:p>
            <w:pPr>
              <w:jc w:val="center"/>
            </w:pPr>
            <w:r>
              <w:rPr>
                <w:color w:val="000000"/>
                <w:sz w:val="24"/>
              </w:rPr>
              <w:t>10</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194,375</w:t>
            </w:r>
          </w:p>
        </w:tc>
        <w:tc>
          <w:tcPr>
            <w:vAlign w:val="center"/>
          </w:tcPr>
          <w:p>
            <w:pPr>
              <w:jc w:val="right"/>
            </w:pPr>
            <w:r>
              <w:rPr>
                <w:color w:val="000000"/>
                <w:sz w:val="24"/>
              </w:rPr>
              <w:t>5,288,943.75</w:t>
            </w:r>
          </w:p>
        </w:tc>
        <w:tc>
          <w:tcPr>
            <w:vAlign w:val="center"/>
          </w:tcPr>
          <w:p>
            <w:pPr>
              <w:jc w:val="right"/>
            </w:pPr>
            <w:r>
              <w:rPr>
                <w:color w:val="000000"/>
                <w:sz w:val="24"/>
              </w:rPr>
              <w:t>0.55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18,007,014.00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1.86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36,271,758.00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3.74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36,271,758.00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3.74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192,718,000.00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19.88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30,015,000.00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3.10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660,766,000.00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68.17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937,777,772.00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96.75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101901410</w:t>
            </w:r>
          </w:p>
        </w:tc>
        <w:tc>
          <w:tcPr>
            <w:vAlign w:val="center"/>
          </w:tcPr>
          <w:p>
            <w:pPr>
              <w:jc w:val="center"/>
            </w:pPr>
            <w:r>
              <w:rPr>
                <w:color w:val="000000"/>
                <w:sz w:val="24"/>
              </w:rPr>
              <w:t>19光明MTN001</w:t>
            </w:r>
          </w:p>
        </w:tc>
        <w:tc>
          <w:tcPr>
            <w:vAlign w:val="center"/>
          </w:tcPr>
          <w:p>
            <w:pPr>
              <w:jc w:val="right"/>
            </w:pPr>
            <w:r>
              <w:rPr>
                <w:color w:val="000000"/>
                <w:sz w:val="24"/>
              </w:rPr>
              <w:t>500,000</w:t>
            </w:r>
          </w:p>
        </w:tc>
        <w:tc>
          <w:tcPr>
            <w:vAlign w:val="center"/>
          </w:tcPr>
          <w:p>
            <w:pPr>
              <w:jc w:val="right"/>
            </w:pPr>
            <w:r>
              <w:rPr>
                <w:color w:val="000000"/>
                <w:sz w:val="24"/>
              </w:rPr>
              <w:t>50,535,000.00</w:t>
            </w:r>
          </w:p>
        </w:tc>
        <w:tc>
          <w:tcPr>
            <w:vAlign w:val="center"/>
          </w:tcPr>
          <w:p>
            <w:pPr>
              <w:jc w:val="right"/>
            </w:pPr>
            <w:r>
              <w:rPr>
                <w:color w:val="000000"/>
                <w:sz w:val="24"/>
              </w:rPr>
              <w:t>5.21</w:t>
            </w:r>
          </w:p>
        </w:tc>
      </w:tr>
      <w:tr>
        <w:tc>
          <w:tcPr>
            <w:vAlign w:val="center"/>
          </w:tcPr>
          <w:p>
            <w:pPr>
              <w:jc w:val="center"/>
            </w:pPr>
            <w:r>
              <w:rPr>
                <w:color w:val="000000"/>
                <w:sz w:val="24"/>
              </w:rPr>
              <w:t>2</w:t>
            </w:r>
          </w:p>
        </w:tc>
        <w:tc>
          <w:tcPr>
            <w:vAlign w:val="center"/>
          </w:tcPr>
          <w:p>
            <w:pPr>
              <w:jc w:val="center"/>
            </w:pPr>
            <w:r>
              <w:rPr>
                <w:color w:val="000000"/>
                <w:sz w:val="24"/>
              </w:rPr>
              <w:t>101900456</w:t>
            </w:r>
          </w:p>
        </w:tc>
        <w:tc>
          <w:tcPr>
            <w:vAlign w:val="center"/>
          </w:tcPr>
          <w:p>
            <w:pPr>
              <w:jc w:val="center"/>
            </w:pPr>
            <w:r>
              <w:rPr>
                <w:color w:val="000000"/>
                <w:sz w:val="24"/>
              </w:rPr>
              <w:t>19首开MTN001</w:t>
            </w:r>
          </w:p>
        </w:tc>
        <w:tc>
          <w:tcPr>
            <w:vAlign w:val="center"/>
          </w:tcPr>
          <w:p>
            <w:pPr>
              <w:jc w:val="right"/>
            </w:pPr>
            <w:r>
              <w:rPr>
                <w:color w:val="000000"/>
                <w:sz w:val="24"/>
              </w:rPr>
              <w:t>400,000</w:t>
            </w:r>
          </w:p>
        </w:tc>
        <w:tc>
          <w:tcPr>
            <w:vAlign w:val="center"/>
          </w:tcPr>
          <w:p>
            <w:pPr>
              <w:jc w:val="right"/>
            </w:pPr>
            <w:r>
              <w:rPr>
                <w:color w:val="000000"/>
                <w:sz w:val="24"/>
              </w:rPr>
              <w:t>40,656,000.00</w:t>
            </w:r>
          </w:p>
        </w:tc>
        <w:tc>
          <w:tcPr>
            <w:vAlign w:val="center"/>
          </w:tcPr>
          <w:p>
            <w:pPr>
              <w:jc w:val="right"/>
            </w:pPr>
            <w:r>
              <w:rPr>
                <w:color w:val="000000"/>
                <w:sz w:val="24"/>
              </w:rPr>
              <w:t>4.19</w:t>
            </w:r>
          </w:p>
        </w:tc>
      </w:tr>
      <w:tr>
        <w:tc>
          <w:tcPr>
            <w:vAlign w:val="center"/>
          </w:tcPr>
          <w:p>
            <w:pPr>
              <w:jc w:val="center"/>
            </w:pPr>
            <w:r>
              <w:rPr>
                <w:color w:val="000000"/>
                <w:sz w:val="24"/>
              </w:rPr>
              <w:t>3</w:t>
            </w:r>
          </w:p>
        </w:tc>
        <w:tc>
          <w:tcPr>
            <w:vAlign w:val="center"/>
          </w:tcPr>
          <w:p>
            <w:pPr>
              <w:jc w:val="center"/>
            </w:pPr>
            <w:r>
              <w:rPr>
                <w:color w:val="000000"/>
                <w:sz w:val="24"/>
              </w:rPr>
              <w:t>101901016</w:t>
            </w:r>
          </w:p>
        </w:tc>
        <w:tc>
          <w:tcPr>
            <w:vAlign w:val="center"/>
          </w:tcPr>
          <w:p>
            <w:pPr>
              <w:jc w:val="center"/>
            </w:pPr>
            <w:r>
              <w:rPr>
                <w:color w:val="000000"/>
                <w:sz w:val="24"/>
              </w:rPr>
              <w:t>19王府井集MTN001</w:t>
            </w:r>
          </w:p>
        </w:tc>
        <w:tc>
          <w:tcPr>
            <w:vAlign w:val="center"/>
          </w:tcPr>
          <w:p>
            <w:pPr>
              <w:jc w:val="right"/>
            </w:pPr>
            <w:r>
              <w:rPr>
                <w:color w:val="000000"/>
                <w:sz w:val="24"/>
              </w:rPr>
              <w:t>400,000</w:t>
            </w:r>
          </w:p>
        </w:tc>
        <w:tc>
          <w:tcPr>
            <w:vAlign w:val="center"/>
          </w:tcPr>
          <w:p>
            <w:pPr>
              <w:jc w:val="right"/>
            </w:pPr>
            <w:r>
              <w:rPr>
                <w:color w:val="000000"/>
                <w:sz w:val="24"/>
              </w:rPr>
              <w:t>40,628,000.00</w:t>
            </w:r>
          </w:p>
        </w:tc>
        <w:tc>
          <w:tcPr>
            <w:vAlign w:val="center"/>
          </w:tcPr>
          <w:p>
            <w:pPr>
              <w:jc w:val="right"/>
            </w:pPr>
            <w:r>
              <w:rPr>
                <w:color w:val="000000"/>
                <w:sz w:val="24"/>
              </w:rPr>
              <w:t>4.19</w:t>
            </w:r>
          </w:p>
        </w:tc>
      </w:tr>
      <w:tr>
        <w:tc>
          <w:tcPr>
            <w:vAlign w:val="center"/>
          </w:tcPr>
          <w:p>
            <w:pPr>
              <w:jc w:val="center"/>
            </w:pPr>
            <w:r>
              <w:rPr>
                <w:color w:val="000000"/>
                <w:sz w:val="24"/>
              </w:rPr>
              <w:t>4</w:t>
            </w:r>
          </w:p>
        </w:tc>
        <w:tc>
          <w:tcPr>
            <w:vAlign w:val="center"/>
          </w:tcPr>
          <w:p>
            <w:pPr>
              <w:jc w:val="center"/>
            </w:pPr>
            <w:r>
              <w:rPr>
                <w:color w:val="000000"/>
                <w:sz w:val="24"/>
              </w:rPr>
              <w:t>101901321</w:t>
            </w:r>
          </w:p>
        </w:tc>
        <w:tc>
          <w:tcPr>
            <w:vAlign w:val="center"/>
          </w:tcPr>
          <w:p>
            <w:pPr>
              <w:jc w:val="center"/>
            </w:pPr>
            <w:r>
              <w:rPr>
                <w:color w:val="000000"/>
                <w:sz w:val="24"/>
              </w:rPr>
              <w:t>19汇金MTN015</w:t>
            </w:r>
          </w:p>
        </w:tc>
        <w:tc>
          <w:tcPr>
            <w:vAlign w:val="center"/>
          </w:tcPr>
          <w:p>
            <w:pPr>
              <w:jc w:val="right"/>
            </w:pPr>
            <w:r>
              <w:rPr>
                <w:color w:val="000000"/>
                <w:sz w:val="24"/>
              </w:rPr>
              <w:t>400,000</w:t>
            </w:r>
          </w:p>
        </w:tc>
        <w:tc>
          <w:tcPr>
            <w:vAlign w:val="center"/>
          </w:tcPr>
          <w:p>
            <w:pPr>
              <w:jc w:val="right"/>
            </w:pPr>
            <w:r>
              <w:rPr>
                <w:color w:val="000000"/>
                <w:sz w:val="24"/>
              </w:rPr>
              <w:t>40,360,000.00</w:t>
            </w:r>
          </w:p>
        </w:tc>
        <w:tc>
          <w:tcPr>
            <w:vAlign w:val="center"/>
          </w:tcPr>
          <w:p>
            <w:pPr>
              <w:jc w:val="right"/>
            </w:pPr>
            <w:r>
              <w:rPr>
                <w:color w:val="000000"/>
                <w:sz w:val="24"/>
              </w:rPr>
              <w:t>4.16</w:t>
            </w:r>
          </w:p>
        </w:tc>
      </w:tr>
      <w:tr>
        <w:tc>
          <w:tcPr>
            <w:vAlign w:val="center"/>
          </w:tcPr>
          <w:p>
            <w:pPr>
              <w:jc w:val="center"/>
            </w:pPr>
            <w:r>
              <w:rPr>
                <w:color w:val="000000"/>
                <w:sz w:val="24"/>
              </w:rPr>
              <w:t>5</w:t>
            </w:r>
          </w:p>
        </w:tc>
        <w:tc>
          <w:tcPr>
            <w:vAlign w:val="center"/>
          </w:tcPr>
          <w:p>
            <w:pPr>
              <w:jc w:val="center"/>
            </w:pPr>
            <w:r>
              <w:rPr>
                <w:color w:val="000000"/>
                <w:sz w:val="24"/>
              </w:rPr>
              <w:t>101901369</w:t>
            </w:r>
          </w:p>
        </w:tc>
        <w:tc>
          <w:tcPr>
            <w:vAlign w:val="center"/>
          </w:tcPr>
          <w:p>
            <w:pPr>
              <w:jc w:val="center"/>
            </w:pPr>
            <w:r>
              <w:rPr>
                <w:color w:val="000000"/>
                <w:sz w:val="24"/>
              </w:rPr>
              <w:t>19金融街投MTN001</w:t>
            </w:r>
          </w:p>
        </w:tc>
        <w:tc>
          <w:tcPr>
            <w:vAlign w:val="center"/>
          </w:tcPr>
          <w:p>
            <w:pPr>
              <w:jc w:val="right"/>
            </w:pPr>
            <w:r>
              <w:rPr>
                <w:color w:val="000000"/>
                <w:sz w:val="24"/>
              </w:rPr>
              <w:t>300,000</w:t>
            </w:r>
          </w:p>
        </w:tc>
        <w:tc>
          <w:tcPr>
            <w:vAlign w:val="center"/>
          </w:tcPr>
          <w:p>
            <w:pPr>
              <w:jc w:val="right"/>
            </w:pPr>
            <w:r>
              <w:rPr>
                <w:color w:val="000000"/>
                <w:sz w:val="24"/>
              </w:rPr>
              <w:t>30,585,000.00</w:t>
            </w:r>
          </w:p>
        </w:tc>
        <w:tc>
          <w:tcPr>
            <w:vAlign w:val="center"/>
          </w:tcPr>
          <w:p>
            <w:pPr>
              <w:jc w:val="right"/>
            </w:pPr>
            <w:r>
              <w:rPr>
                <w:color w:val="000000"/>
                <w:sz w:val="24"/>
              </w:rPr>
              <w:t>3.16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16,893.98</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16,675,975.59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4,686,479.97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21,379,349.54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交银周期回报灵活配置混合A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交银周期回报灵活配置混合C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452,642,432.97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141,278,451.97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387,286,784.76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836,913.40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111,736,758.07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53,637,968.71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728,192,459.66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88,477,396.66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1、中国证监会核准交银施罗德周期回报灵活配置混合型证券投资基金募集的文件；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2、《交银施罗德周期回报灵活配置混合型证券投资基金基金合同》；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3、《交银施罗德周期回报灵活配置混合型证券投资基金招募说明书》；</w:t>
      </w:r>
    </w:p>
    <w:p>
      <w:pPr>
        <w:spacing w:before="29" w:line="288" w:lineRule="auto"/>
        <w:ind w:firstLine="480" w:firstLineChars="200"/>
        <w:rPr>
          <w:rFonts w:eastAsiaTheme="minorEastAsia"/>
          <w:color w:val="000000"/>
          <w:sz w:val="24"/>
        </w:rPr>
      </w:pPr>
      <w:r>
        <w:rPr>
          <w:rFonts w:eastAsiaTheme="minorEastAsia"/>
          <w:color w:val="000000"/>
          <w:sz w:val="24"/>
        </w:rPr>
        <w:t>4、《交银施罗德周期回报灵活配置混合型证券投资基金托管协议》；</w:t>
      </w:r>
    </w:p>
    <w:p>
      <w:pPr>
        <w:spacing w:before="29" w:line="288" w:lineRule="auto"/>
        <w:ind w:firstLine="480" w:firstLineChars="200"/>
        <w:rPr>
          <w:rFonts w:eastAsiaTheme="minorEastAsia"/>
          <w:color w:val="000000"/>
          <w:sz w:val="24"/>
        </w:rPr>
      </w:pPr>
      <w:r>
        <w:rPr>
          <w:rFonts w:eastAsiaTheme="minorEastAsia"/>
          <w:color w:val="000000"/>
          <w:sz w:val="24"/>
        </w:rPr>
        <w:t>5、关于申请募集交银施罗德周期回报灵活配置混合型证券投资基金之法律意见书；</w:t>
      </w:r>
    </w:p>
    <w:p>
      <w:pPr>
        <w:spacing w:before="29" w:line="288" w:lineRule="auto"/>
        <w:ind w:firstLine="480" w:firstLineChars="200"/>
        <w:rPr>
          <w:rFonts w:eastAsiaTheme="minorEastAsia"/>
          <w:color w:val="000000"/>
          <w:sz w:val="24"/>
        </w:rPr>
      </w:pPr>
      <w:r>
        <w:rPr>
          <w:rFonts w:eastAsiaTheme="minorEastAsia"/>
          <w:color w:val="000000"/>
          <w:sz w:val="24"/>
        </w:rPr>
        <w:t>6、基金管理人业务资格批件、营业执照；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7、基金托管人业务资格批件、营业执照；</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8、报告期内交银施罗德周期回报灵活配置混合型证券投资基金在指定报刊上各项公告的原稿。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交银施罗德周期回报灵活配置混合型证券投资基金2020年第2季度报告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