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交银施罗德国企改革灵活配置混合型证券投资基金</w:t>
      </w:r>
    </w:p>
    <w:p w:rsidR="002279D3" w:rsidRPr="0081286B" w:rsidRDefault="002279D3" w:rsidP="00C15CAC">
      <w:pPr>
        <w:spacing w:before="29" w:line="288" w:lineRule="auto"/>
        <w:jc w:val="center"/>
        <w:rPr>
          <w:b/>
          <w:sz w:val="36"/>
          <w:szCs w:val="36"/>
        </w:rPr>
      </w:pPr>
      <w:r w:rsidRPr="0081286B">
        <w:rPr>
          <w:b/>
          <w:sz w:val="36"/>
          <w:szCs w:val="36"/>
        </w:rPr>
        <w:t>2020</w:t>
      </w:r>
      <w:r w:rsidRPr="0081286B">
        <w:rPr>
          <w:b/>
          <w:sz w:val="36"/>
          <w:szCs w:val="36"/>
        </w:rPr>
        <w:t>年第</w:t>
      </w:r>
      <w:r w:rsidRPr="0081286B">
        <w:rPr>
          <w:b/>
          <w:sz w:val="36"/>
          <w:szCs w:val="36"/>
        </w:rPr>
        <w:t>2</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2020</w:t>
      </w:r>
      <w:r w:rsidRPr="0081286B">
        <w:rPr>
          <w:b/>
          <w:sz w:val="36"/>
          <w:szCs w:val="36"/>
        </w:rPr>
        <w:t>年</w:t>
      </w:r>
      <w:r w:rsidRPr="0081286B">
        <w:rPr>
          <w:b/>
          <w:sz w:val="36"/>
          <w:szCs w:val="36"/>
        </w:rPr>
        <w:t>6</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基金托管人：中国农业银行股份有限公司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二〇二〇年七月二十一日</w:t>
      </w:r>
    </w:p>
    <w:p w:rsidR="004061AC" w:rsidRPr="00414345" w:rsidRDefault="004061AC" w:rsidP="0011537B">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442BAC" w:rsidRDefault="00E9024D">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442BAC" w:rsidRDefault="00E9024D">
      <w:pPr>
        <w:spacing w:before="29" w:line="288" w:lineRule="auto"/>
        <w:ind w:firstLineChars="200" w:firstLine="480"/>
        <w:rPr>
          <w:color w:val="000000"/>
          <w:sz w:val="24"/>
          <w:szCs w:val="24"/>
        </w:rPr>
      </w:pPr>
      <w:r>
        <w:rPr>
          <w:color w:val="000000"/>
          <w:sz w:val="24"/>
          <w:szCs w:val="24"/>
        </w:rPr>
        <w:t>基金托管人中国农业银行股份有限公司根据本基金合同规定，于</w:t>
      </w:r>
      <w:r>
        <w:rPr>
          <w:color w:val="000000"/>
          <w:sz w:val="24"/>
          <w:szCs w:val="24"/>
        </w:rPr>
        <w:t>2020</w:t>
      </w:r>
      <w:r>
        <w:rPr>
          <w:color w:val="000000"/>
          <w:sz w:val="24"/>
          <w:szCs w:val="24"/>
        </w:rPr>
        <w:t>年</w:t>
      </w:r>
      <w:r>
        <w:rPr>
          <w:color w:val="000000"/>
          <w:sz w:val="24"/>
          <w:szCs w:val="24"/>
        </w:rPr>
        <w:t>7</w:t>
      </w:r>
      <w:r>
        <w:rPr>
          <w:color w:val="000000"/>
          <w:sz w:val="24"/>
          <w:szCs w:val="24"/>
        </w:rPr>
        <w:t>月</w:t>
      </w:r>
      <w:r>
        <w:rPr>
          <w:color w:val="000000"/>
          <w:sz w:val="24"/>
          <w:szCs w:val="24"/>
        </w:rPr>
        <w:t>20</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442BAC" w:rsidRDefault="00E9024D">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442BAC" w:rsidRDefault="00E9024D">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442BAC" w:rsidRDefault="00E9024D">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2020</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交银国企改革灵活配置混合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519756</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519756</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2015</w:t>
            </w:r>
            <w:r w:rsidRPr="00414345">
              <w:rPr>
                <w:color w:val="000000"/>
                <w:kern w:val="0"/>
                <w:sz w:val="24"/>
                <w:szCs w:val="24"/>
              </w:rPr>
              <w:t>年</w:t>
            </w:r>
            <w:r w:rsidRPr="00414345">
              <w:rPr>
                <w:color w:val="000000"/>
                <w:kern w:val="0"/>
                <w:sz w:val="24"/>
                <w:szCs w:val="24"/>
              </w:rPr>
              <w:t>6</w:t>
            </w:r>
            <w:r w:rsidRPr="00414345">
              <w:rPr>
                <w:color w:val="000000"/>
                <w:kern w:val="0"/>
                <w:sz w:val="24"/>
                <w:szCs w:val="24"/>
              </w:rPr>
              <w:t>月</w:t>
            </w:r>
            <w:r w:rsidRPr="00414345">
              <w:rPr>
                <w:color w:val="000000"/>
                <w:kern w:val="0"/>
                <w:sz w:val="24"/>
                <w:szCs w:val="24"/>
              </w:rPr>
              <w:t>10</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282,003,812.22</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本基金主要投资受益于国企改革红利的上市公司股票，通过积极主动的投资管理，在合理控制投资风险的基础上，力争实现基金资产的长期稳定增值。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在分析和判断宏观经济周期和金融市场运行趋势的基础上，运用修正后的投资时钟分析框架，自上而下调整基金大类资产配置和股票行业配置策略，确定债券组合久期和债券类别配置；在严谨深入的股票和债券研究分析基础上，自下而上精选个券。其中，本基金股票投资重点关注直接受益于国企改革红利、或在国企改革推动下盈利水平长期显著提升的其他上市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60%×</w:t>
            </w:r>
            <w:r w:rsidRPr="00414345">
              <w:rPr>
                <w:color w:val="000000"/>
                <w:kern w:val="0"/>
                <w:sz w:val="24"/>
                <w:szCs w:val="24"/>
              </w:rPr>
              <w:t>沪深</w:t>
            </w:r>
            <w:r w:rsidRPr="00414345">
              <w:rPr>
                <w:color w:val="000000"/>
                <w:kern w:val="0"/>
                <w:sz w:val="24"/>
                <w:szCs w:val="24"/>
              </w:rPr>
              <w:t>300</w:t>
            </w:r>
            <w:r w:rsidRPr="00414345">
              <w:rPr>
                <w:color w:val="000000"/>
                <w:kern w:val="0"/>
                <w:sz w:val="24"/>
                <w:szCs w:val="24"/>
              </w:rPr>
              <w:t>指数</w:t>
            </w:r>
            <w:r w:rsidRPr="00414345">
              <w:rPr>
                <w:color w:val="000000"/>
                <w:kern w:val="0"/>
                <w:sz w:val="24"/>
                <w:szCs w:val="24"/>
              </w:rPr>
              <w:t>+40%×</w:t>
            </w:r>
            <w:r w:rsidRPr="00414345">
              <w:rPr>
                <w:color w:val="000000"/>
                <w:kern w:val="0"/>
                <w:sz w:val="24"/>
                <w:szCs w:val="24"/>
              </w:rPr>
              <w:t>中证综合债券指数</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风险收益特征</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本基金是一只混合型基金，其风险和预期收益高于债券型基金和货币市场基金，低于股票型基金。属于承担较高风险、预期收益较高的证券投资基金品种。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中国农业银行股份有限公司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E9024D" w:rsidRPr="00414345" w:rsidTr="00E9024D">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(2020</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-2020</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E9024D" w:rsidRPr="00414345" w:rsidTr="00E9024D">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16,044,050.00</w:t>
            </w:r>
          </w:p>
        </w:tc>
      </w:tr>
      <w:tr w:rsidR="00E9024D" w:rsidRPr="00414345" w:rsidTr="00E9024D">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39,785,864.10</w:t>
            </w:r>
          </w:p>
        </w:tc>
      </w:tr>
      <w:tr w:rsidR="00E9024D" w:rsidRPr="00414345" w:rsidTr="00E9024D">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0.1287</w:t>
            </w:r>
          </w:p>
        </w:tc>
      </w:tr>
      <w:tr w:rsidR="00E9024D" w:rsidRPr="00414345" w:rsidTr="00E9024D">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351,507,691.15</w:t>
            </w:r>
          </w:p>
        </w:tc>
      </w:tr>
      <w:tr w:rsidR="00E9024D" w:rsidRPr="00414345" w:rsidTr="00E9024D">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1.246</w:t>
            </w:r>
          </w:p>
        </w:tc>
      </w:tr>
    </w:tbl>
    <w:p w:rsidR="00442BAC" w:rsidRDefault="00E9024D">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43A7C">
        <w:trPr>
          <w:jc w:val="center"/>
        </w:trPr>
        <w:tc>
          <w:tcPr>
            <w:tcW w:w="1701"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1045"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34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9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9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98"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A43A7C">
        <w:trPr>
          <w:jc w:val="center"/>
        </w:trPr>
        <w:tc>
          <w:tcPr>
            <w:tcW w:w="1701" w:type="dxa"/>
            <w:vAlign w:val="center"/>
          </w:tcPr>
          <w:p w:rsidR="00A43A7C" w:rsidRDefault="00A43A7C" w:rsidP="00A43A7C">
            <w:pPr>
              <w:jc w:val="left"/>
            </w:pPr>
            <w:r>
              <w:rPr>
                <w:color w:val="000000"/>
                <w:sz w:val="24"/>
                <w:szCs w:val="24"/>
              </w:rPr>
              <w:t>过去三个月</w:t>
            </w:r>
          </w:p>
        </w:tc>
        <w:tc>
          <w:tcPr>
            <w:tcW w:w="1045" w:type="dxa"/>
            <w:vAlign w:val="center"/>
          </w:tcPr>
          <w:p w:rsidR="00A43A7C" w:rsidRPr="00A43A7C" w:rsidRDefault="00A43A7C" w:rsidP="00A43A7C">
            <w:pPr>
              <w:widowControl/>
              <w:jc w:val="center"/>
              <w:rPr>
                <w:color w:val="000000"/>
                <w:sz w:val="24"/>
                <w:szCs w:val="24"/>
              </w:rPr>
            </w:pPr>
            <w:r w:rsidRPr="00A43A7C">
              <w:rPr>
                <w:rFonts w:hint="eastAsia"/>
                <w:color w:val="000000"/>
                <w:sz w:val="24"/>
                <w:szCs w:val="24"/>
              </w:rPr>
              <w:t>11.55%</w:t>
            </w:r>
          </w:p>
        </w:tc>
        <w:tc>
          <w:tcPr>
            <w:tcW w:w="1344"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0.87%</w:t>
            </w:r>
          </w:p>
        </w:tc>
        <w:tc>
          <w:tcPr>
            <w:tcW w:w="1194"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7.54%</w:t>
            </w:r>
          </w:p>
        </w:tc>
        <w:tc>
          <w:tcPr>
            <w:tcW w:w="1492"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0.54%</w:t>
            </w:r>
          </w:p>
        </w:tc>
        <w:tc>
          <w:tcPr>
            <w:tcW w:w="1194"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4.01%</w:t>
            </w:r>
          </w:p>
        </w:tc>
        <w:tc>
          <w:tcPr>
            <w:tcW w:w="898"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0.33%</w:t>
            </w:r>
          </w:p>
        </w:tc>
      </w:tr>
      <w:tr w:rsidR="00A43A7C">
        <w:trPr>
          <w:jc w:val="center"/>
        </w:trPr>
        <w:tc>
          <w:tcPr>
            <w:tcW w:w="1701" w:type="dxa"/>
            <w:vAlign w:val="center"/>
          </w:tcPr>
          <w:p w:rsidR="00A43A7C" w:rsidRDefault="00A43A7C" w:rsidP="00A43A7C">
            <w:pPr>
              <w:jc w:val="left"/>
              <w:rPr>
                <w:color w:val="000000"/>
                <w:sz w:val="24"/>
                <w:szCs w:val="24"/>
              </w:rPr>
            </w:pPr>
            <w:r>
              <w:rPr>
                <w:color w:val="000000"/>
                <w:sz w:val="24"/>
                <w:szCs w:val="24"/>
              </w:rPr>
              <w:t>过去</w:t>
            </w:r>
            <w:r>
              <w:rPr>
                <w:rFonts w:hint="eastAsia"/>
                <w:color w:val="000000"/>
                <w:sz w:val="24"/>
                <w:szCs w:val="24"/>
              </w:rPr>
              <w:t>六个月</w:t>
            </w:r>
          </w:p>
        </w:tc>
        <w:tc>
          <w:tcPr>
            <w:tcW w:w="1045"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10.85%</w:t>
            </w:r>
          </w:p>
        </w:tc>
        <w:tc>
          <w:tcPr>
            <w:tcW w:w="1344"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1.45%</w:t>
            </w:r>
          </w:p>
        </w:tc>
        <w:tc>
          <w:tcPr>
            <w:tcW w:w="1194"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2.27%</w:t>
            </w:r>
          </w:p>
        </w:tc>
        <w:tc>
          <w:tcPr>
            <w:tcW w:w="1492"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0.90%</w:t>
            </w:r>
          </w:p>
        </w:tc>
        <w:tc>
          <w:tcPr>
            <w:tcW w:w="1194"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8.58%</w:t>
            </w:r>
          </w:p>
        </w:tc>
        <w:tc>
          <w:tcPr>
            <w:tcW w:w="898"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0.55%</w:t>
            </w:r>
          </w:p>
        </w:tc>
      </w:tr>
      <w:tr w:rsidR="00A43A7C">
        <w:trPr>
          <w:jc w:val="center"/>
        </w:trPr>
        <w:tc>
          <w:tcPr>
            <w:tcW w:w="1701" w:type="dxa"/>
            <w:vAlign w:val="center"/>
          </w:tcPr>
          <w:p w:rsidR="00A43A7C" w:rsidRDefault="00A43A7C" w:rsidP="00A43A7C">
            <w:pPr>
              <w:jc w:val="left"/>
              <w:rPr>
                <w:color w:val="000000"/>
                <w:sz w:val="24"/>
                <w:szCs w:val="24"/>
              </w:rPr>
            </w:pPr>
            <w:r>
              <w:rPr>
                <w:color w:val="000000"/>
                <w:sz w:val="24"/>
                <w:szCs w:val="24"/>
              </w:rPr>
              <w:t>过去</w:t>
            </w:r>
            <w:r>
              <w:rPr>
                <w:rFonts w:hint="eastAsia"/>
                <w:color w:val="000000"/>
                <w:sz w:val="24"/>
                <w:szCs w:val="24"/>
              </w:rPr>
              <w:t>一年</w:t>
            </w:r>
          </w:p>
        </w:tc>
        <w:tc>
          <w:tcPr>
            <w:tcW w:w="1045"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28.32%</w:t>
            </w:r>
          </w:p>
        </w:tc>
        <w:tc>
          <w:tcPr>
            <w:tcW w:w="1344"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1.17%</w:t>
            </w:r>
          </w:p>
        </w:tc>
        <w:tc>
          <w:tcPr>
            <w:tcW w:w="1194"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7.78%</w:t>
            </w:r>
          </w:p>
        </w:tc>
        <w:tc>
          <w:tcPr>
            <w:tcW w:w="1492"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0.72%</w:t>
            </w:r>
          </w:p>
        </w:tc>
        <w:tc>
          <w:tcPr>
            <w:tcW w:w="1194"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20.54%</w:t>
            </w:r>
          </w:p>
        </w:tc>
        <w:tc>
          <w:tcPr>
            <w:tcW w:w="898"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0.45%</w:t>
            </w:r>
          </w:p>
        </w:tc>
      </w:tr>
      <w:tr w:rsidR="00A43A7C">
        <w:trPr>
          <w:jc w:val="center"/>
        </w:trPr>
        <w:tc>
          <w:tcPr>
            <w:tcW w:w="1701" w:type="dxa"/>
            <w:vAlign w:val="center"/>
          </w:tcPr>
          <w:p w:rsidR="00A43A7C" w:rsidRDefault="00A43A7C" w:rsidP="00A43A7C">
            <w:pPr>
              <w:jc w:val="left"/>
              <w:rPr>
                <w:color w:val="000000"/>
                <w:sz w:val="24"/>
                <w:szCs w:val="24"/>
              </w:rPr>
            </w:pPr>
            <w:r>
              <w:rPr>
                <w:color w:val="000000"/>
                <w:sz w:val="24"/>
                <w:szCs w:val="24"/>
              </w:rPr>
              <w:t>过去</w:t>
            </w:r>
            <w:r>
              <w:rPr>
                <w:rFonts w:hint="eastAsia"/>
                <w:color w:val="000000"/>
                <w:sz w:val="24"/>
                <w:szCs w:val="24"/>
              </w:rPr>
              <w:t>三年</w:t>
            </w:r>
          </w:p>
        </w:tc>
        <w:tc>
          <w:tcPr>
            <w:tcW w:w="1045"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22.64%</w:t>
            </w:r>
          </w:p>
        </w:tc>
        <w:tc>
          <w:tcPr>
            <w:tcW w:w="1344"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1.17%</w:t>
            </w:r>
          </w:p>
        </w:tc>
        <w:tc>
          <w:tcPr>
            <w:tcW w:w="1194"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16.18%</w:t>
            </w:r>
          </w:p>
        </w:tc>
        <w:tc>
          <w:tcPr>
            <w:tcW w:w="1492"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0.75%</w:t>
            </w:r>
          </w:p>
        </w:tc>
        <w:tc>
          <w:tcPr>
            <w:tcW w:w="1194"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6.46%</w:t>
            </w:r>
          </w:p>
        </w:tc>
        <w:tc>
          <w:tcPr>
            <w:tcW w:w="898"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0.42%</w:t>
            </w:r>
          </w:p>
        </w:tc>
      </w:tr>
      <w:tr w:rsidR="0096331F">
        <w:trPr>
          <w:jc w:val="center"/>
        </w:trPr>
        <w:tc>
          <w:tcPr>
            <w:tcW w:w="1701" w:type="dxa"/>
            <w:vAlign w:val="center"/>
          </w:tcPr>
          <w:p w:rsidR="0096331F" w:rsidRDefault="0096331F" w:rsidP="0096331F">
            <w:pPr>
              <w:jc w:val="left"/>
              <w:rPr>
                <w:color w:val="000000"/>
                <w:sz w:val="24"/>
                <w:szCs w:val="24"/>
              </w:rPr>
            </w:pPr>
            <w:r>
              <w:rPr>
                <w:color w:val="000000"/>
                <w:sz w:val="24"/>
                <w:szCs w:val="24"/>
              </w:rPr>
              <w:t>过去</w:t>
            </w:r>
            <w:r>
              <w:rPr>
                <w:rFonts w:hint="eastAsia"/>
                <w:color w:val="000000"/>
                <w:sz w:val="24"/>
                <w:szCs w:val="24"/>
              </w:rPr>
              <w:t>五年</w:t>
            </w:r>
          </w:p>
        </w:tc>
        <w:tc>
          <w:tcPr>
            <w:tcW w:w="1045" w:type="dxa"/>
            <w:vAlign w:val="center"/>
          </w:tcPr>
          <w:p w:rsidR="0096331F" w:rsidRPr="0096331F" w:rsidRDefault="0096331F" w:rsidP="0096331F">
            <w:pPr>
              <w:widowControl/>
              <w:jc w:val="center"/>
              <w:rPr>
                <w:color w:val="000000"/>
                <w:sz w:val="24"/>
                <w:szCs w:val="24"/>
              </w:rPr>
            </w:pPr>
            <w:r w:rsidRPr="0096331F">
              <w:rPr>
                <w:rFonts w:hint="eastAsia"/>
                <w:color w:val="000000"/>
                <w:sz w:val="24"/>
                <w:szCs w:val="24"/>
              </w:rPr>
              <w:t>28.32%</w:t>
            </w:r>
            <w:bookmarkStart w:id="0" w:name="_GoBack"/>
            <w:bookmarkEnd w:id="0"/>
          </w:p>
        </w:tc>
        <w:tc>
          <w:tcPr>
            <w:tcW w:w="1344" w:type="dxa"/>
            <w:vAlign w:val="center"/>
          </w:tcPr>
          <w:p w:rsidR="0096331F" w:rsidRPr="0096331F" w:rsidRDefault="0096331F" w:rsidP="0096331F">
            <w:pPr>
              <w:jc w:val="center"/>
              <w:rPr>
                <w:rFonts w:hint="eastAsia"/>
                <w:color w:val="000000"/>
                <w:sz w:val="24"/>
                <w:szCs w:val="24"/>
              </w:rPr>
            </w:pPr>
            <w:r w:rsidRPr="0096331F">
              <w:rPr>
                <w:rFonts w:hint="eastAsia"/>
                <w:color w:val="000000"/>
                <w:sz w:val="24"/>
                <w:szCs w:val="24"/>
              </w:rPr>
              <w:t>1.31%</w:t>
            </w:r>
          </w:p>
        </w:tc>
        <w:tc>
          <w:tcPr>
            <w:tcW w:w="1194" w:type="dxa"/>
            <w:vAlign w:val="center"/>
          </w:tcPr>
          <w:p w:rsidR="0096331F" w:rsidRPr="0096331F" w:rsidRDefault="0096331F" w:rsidP="0096331F">
            <w:pPr>
              <w:jc w:val="center"/>
              <w:rPr>
                <w:rFonts w:hint="eastAsia"/>
                <w:color w:val="000000"/>
                <w:sz w:val="24"/>
                <w:szCs w:val="24"/>
              </w:rPr>
            </w:pPr>
            <w:r w:rsidRPr="0096331F">
              <w:rPr>
                <w:rFonts w:hint="eastAsia"/>
                <w:color w:val="000000"/>
                <w:sz w:val="24"/>
                <w:szCs w:val="24"/>
              </w:rPr>
              <w:t>7.63%</w:t>
            </w:r>
          </w:p>
        </w:tc>
        <w:tc>
          <w:tcPr>
            <w:tcW w:w="1492" w:type="dxa"/>
            <w:vAlign w:val="center"/>
          </w:tcPr>
          <w:p w:rsidR="0096331F" w:rsidRPr="0096331F" w:rsidRDefault="0096331F" w:rsidP="0096331F">
            <w:pPr>
              <w:jc w:val="center"/>
              <w:rPr>
                <w:rFonts w:hint="eastAsia"/>
                <w:color w:val="000000"/>
                <w:sz w:val="24"/>
                <w:szCs w:val="24"/>
              </w:rPr>
            </w:pPr>
            <w:r w:rsidRPr="0096331F">
              <w:rPr>
                <w:rFonts w:hint="eastAsia"/>
                <w:color w:val="000000"/>
                <w:sz w:val="24"/>
                <w:szCs w:val="24"/>
              </w:rPr>
              <w:t>0.87%</w:t>
            </w:r>
          </w:p>
        </w:tc>
        <w:tc>
          <w:tcPr>
            <w:tcW w:w="1194" w:type="dxa"/>
            <w:vAlign w:val="center"/>
          </w:tcPr>
          <w:p w:rsidR="0096331F" w:rsidRPr="0096331F" w:rsidRDefault="0096331F" w:rsidP="0096331F">
            <w:pPr>
              <w:jc w:val="center"/>
              <w:rPr>
                <w:rFonts w:hint="eastAsia"/>
                <w:color w:val="000000"/>
                <w:sz w:val="24"/>
                <w:szCs w:val="24"/>
              </w:rPr>
            </w:pPr>
            <w:r w:rsidRPr="0096331F">
              <w:rPr>
                <w:rFonts w:hint="eastAsia"/>
                <w:color w:val="000000"/>
                <w:sz w:val="24"/>
                <w:szCs w:val="24"/>
              </w:rPr>
              <w:t>20.69%</w:t>
            </w:r>
          </w:p>
        </w:tc>
        <w:tc>
          <w:tcPr>
            <w:tcW w:w="898" w:type="dxa"/>
            <w:vAlign w:val="center"/>
          </w:tcPr>
          <w:p w:rsidR="0096331F" w:rsidRPr="0096331F" w:rsidRDefault="0096331F" w:rsidP="0096331F">
            <w:pPr>
              <w:jc w:val="center"/>
              <w:rPr>
                <w:rFonts w:hint="eastAsia"/>
                <w:color w:val="000000"/>
                <w:sz w:val="24"/>
                <w:szCs w:val="24"/>
              </w:rPr>
            </w:pPr>
            <w:r w:rsidRPr="0096331F">
              <w:rPr>
                <w:rFonts w:hint="eastAsia"/>
                <w:color w:val="000000"/>
                <w:sz w:val="24"/>
                <w:szCs w:val="24"/>
              </w:rPr>
              <w:t>0.44%</w:t>
            </w:r>
          </w:p>
        </w:tc>
      </w:tr>
      <w:tr w:rsidR="00A43A7C">
        <w:trPr>
          <w:jc w:val="center"/>
        </w:trPr>
        <w:tc>
          <w:tcPr>
            <w:tcW w:w="1701" w:type="dxa"/>
            <w:vAlign w:val="center"/>
          </w:tcPr>
          <w:p w:rsidR="00A43A7C" w:rsidRDefault="00A43A7C" w:rsidP="00A43A7C">
            <w:pPr>
              <w:jc w:val="left"/>
              <w:rPr>
                <w:color w:val="000000"/>
                <w:sz w:val="24"/>
                <w:szCs w:val="24"/>
              </w:rPr>
            </w:pPr>
            <w:r>
              <w:rPr>
                <w:rFonts w:hint="eastAsia"/>
                <w:color w:val="000000"/>
                <w:sz w:val="24"/>
                <w:szCs w:val="24"/>
              </w:rPr>
              <w:t>自</w:t>
            </w:r>
            <w:r>
              <w:rPr>
                <w:color w:val="000000"/>
                <w:sz w:val="24"/>
                <w:szCs w:val="24"/>
              </w:rPr>
              <w:t>基金合同</w:t>
            </w:r>
            <w:r>
              <w:rPr>
                <w:rFonts w:hint="eastAsia"/>
                <w:color w:val="000000"/>
                <w:sz w:val="24"/>
                <w:szCs w:val="24"/>
              </w:rPr>
              <w:t>生效</w:t>
            </w:r>
            <w:r>
              <w:rPr>
                <w:color w:val="000000"/>
                <w:sz w:val="24"/>
                <w:szCs w:val="24"/>
              </w:rPr>
              <w:t>起至今</w:t>
            </w:r>
          </w:p>
        </w:tc>
        <w:tc>
          <w:tcPr>
            <w:tcW w:w="1045"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24.60%</w:t>
            </w:r>
          </w:p>
        </w:tc>
        <w:tc>
          <w:tcPr>
            <w:tcW w:w="1344"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1.31%</w:t>
            </w:r>
          </w:p>
        </w:tc>
        <w:tc>
          <w:tcPr>
            <w:tcW w:w="1194"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-2.71%</w:t>
            </w:r>
          </w:p>
        </w:tc>
        <w:tc>
          <w:tcPr>
            <w:tcW w:w="1492"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0.90%</w:t>
            </w:r>
          </w:p>
        </w:tc>
        <w:tc>
          <w:tcPr>
            <w:tcW w:w="1194"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27.31%</w:t>
            </w:r>
          </w:p>
        </w:tc>
        <w:tc>
          <w:tcPr>
            <w:tcW w:w="898" w:type="dxa"/>
            <w:vAlign w:val="center"/>
          </w:tcPr>
          <w:p w:rsidR="00A43A7C" w:rsidRPr="00A43A7C" w:rsidRDefault="00A43A7C" w:rsidP="00A43A7C">
            <w:pPr>
              <w:jc w:val="center"/>
              <w:rPr>
                <w:color w:val="000000"/>
                <w:sz w:val="24"/>
                <w:szCs w:val="24"/>
              </w:rPr>
            </w:pPr>
            <w:r w:rsidRPr="00A43A7C">
              <w:rPr>
                <w:rFonts w:hint="eastAsia"/>
                <w:color w:val="000000"/>
                <w:sz w:val="24"/>
                <w:szCs w:val="24"/>
              </w:rPr>
              <w:t>0.41%</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注：本基金业绩比较基准自</w:t>
      </w:r>
      <w:r w:rsidRPr="00414345">
        <w:rPr>
          <w:color w:val="000000"/>
          <w:sz w:val="24"/>
          <w:szCs w:val="24"/>
        </w:rPr>
        <w:t>2015</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日起，由</w:t>
      </w:r>
      <w:r w:rsidRPr="00414345">
        <w:rPr>
          <w:color w:val="000000"/>
          <w:sz w:val="24"/>
          <w:szCs w:val="24"/>
        </w:rPr>
        <w:t>“60%×</w:t>
      </w:r>
      <w:r w:rsidRPr="00414345">
        <w:rPr>
          <w:color w:val="000000"/>
          <w:sz w:val="24"/>
          <w:szCs w:val="24"/>
        </w:rPr>
        <w:t>沪深</w:t>
      </w:r>
      <w:r w:rsidRPr="00414345">
        <w:rPr>
          <w:color w:val="000000"/>
          <w:sz w:val="24"/>
          <w:szCs w:val="24"/>
        </w:rPr>
        <w:t>300</w:t>
      </w:r>
      <w:r w:rsidRPr="00414345">
        <w:rPr>
          <w:color w:val="000000"/>
          <w:sz w:val="24"/>
          <w:szCs w:val="24"/>
        </w:rPr>
        <w:t>指数</w:t>
      </w:r>
      <w:r w:rsidRPr="00414345">
        <w:rPr>
          <w:color w:val="000000"/>
          <w:sz w:val="24"/>
          <w:szCs w:val="24"/>
        </w:rPr>
        <w:t>+40%×</w:t>
      </w:r>
      <w:r w:rsidRPr="00414345">
        <w:rPr>
          <w:color w:val="000000"/>
          <w:sz w:val="24"/>
          <w:szCs w:val="24"/>
        </w:rPr>
        <w:t>中信标普全债指数</w:t>
      </w:r>
      <w:r w:rsidRPr="00414345">
        <w:rPr>
          <w:color w:val="000000"/>
          <w:sz w:val="24"/>
          <w:szCs w:val="24"/>
        </w:rPr>
        <w:t>”</w:t>
      </w:r>
      <w:r w:rsidRPr="00414345">
        <w:rPr>
          <w:color w:val="000000"/>
          <w:sz w:val="24"/>
          <w:szCs w:val="24"/>
        </w:rPr>
        <w:t>变更为</w:t>
      </w:r>
      <w:r w:rsidRPr="00414345">
        <w:rPr>
          <w:color w:val="000000"/>
          <w:sz w:val="24"/>
          <w:szCs w:val="24"/>
        </w:rPr>
        <w:t>“60%×</w:t>
      </w:r>
      <w:r w:rsidRPr="00414345">
        <w:rPr>
          <w:color w:val="000000"/>
          <w:sz w:val="24"/>
          <w:szCs w:val="24"/>
        </w:rPr>
        <w:t>沪深</w:t>
      </w:r>
      <w:r w:rsidRPr="00414345">
        <w:rPr>
          <w:color w:val="000000"/>
          <w:sz w:val="24"/>
          <w:szCs w:val="24"/>
        </w:rPr>
        <w:t>300</w:t>
      </w:r>
      <w:r w:rsidRPr="00414345">
        <w:rPr>
          <w:color w:val="000000"/>
          <w:sz w:val="24"/>
          <w:szCs w:val="24"/>
        </w:rPr>
        <w:t>指数</w:t>
      </w:r>
      <w:r w:rsidRPr="00414345">
        <w:rPr>
          <w:color w:val="000000"/>
          <w:sz w:val="24"/>
          <w:szCs w:val="24"/>
        </w:rPr>
        <w:t>+40%×</w:t>
      </w:r>
      <w:r w:rsidRPr="00414345">
        <w:rPr>
          <w:color w:val="000000"/>
          <w:sz w:val="24"/>
          <w:szCs w:val="24"/>
        </w:rPr>
        <w:t>中证综合债券指数</w:t>
      </w:r>
      <w:r w:rsidRPr="00414345">
        <w:rPr>
          <w:color w:val="000000"/>
          <w:sz w:val="24"/>
          <w:szCs w:val="24"/>
        </w:rPr>
        <w:t>”</w:t>
      </w:r>
      <w:r w:rsidRPr="00414345">
        <w:rPr>
          <w:color w:val="000000"/>
          <w:sz w:val="24"/>
          <w:szCs w:val="24"/>
        </w:rPr>
        <w:t>，</w:t>
      </w:r>
      <w:r w:rsidRPr="00414345">
        <w:rPr>
          <w:color w:val="000000"/>
          <w:sz w:val="24"/>
          <w:szCs w:val="24"/>
        </w:rPr>
        <w:t>3.2.2</w:t>
      </w:r>
      <w:r w:rsidRPr="00414345">
        <w:rPr>
          <w:color w:val="000000"/>
          <w:sz w:val="24"/>
          <w:szCs w:val="24"/>
        </w:rPr>
        <w:t>同。详情见本基金管理人于</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28</w:t>
      </w:r>
      <w:r w:rsidRPr="00414345">
        <w:rPr>
          <w:color w:val="000000"/>
          <w:sz w:val="24"/>
          <w:szCs w:val="24"/>
        </w:rPr>
        <w:t>日发布的《交银施罗德基金管理有限公司关于旗下部分基金业绩比较基准变更并修改基金合同相关内容的公告》。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交银施罗德国企改革灵活配置混合型证券投资基金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2015</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6</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10</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2020</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6</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442BAC">
        <w:trPr>
          <w:jc w:val="center"/>
        </w:trPr>
        <w:tc>
          <w:tcPr>
            <w:tcW w:w="846" w:type="dxa"/>
            <w:vAlign w:val="center"/>
          </w:tcPr>
          <w:p w:rsidR="00442BAC" w:rsidRDefault="00E9024D">
            <w:pPr>
              <w:jc w:val="center"/>
            </w:pPr>
            <w:r>
              <w:rPr>
                <w:color w:val="000000"/>
                <w:sz w:val="24"/>
                <w:szCs w:val="24"/>
              </w:rPr>
              <w:t>沈楠</w:t>
            </w:r>
          </w:p>
        </w:tc>
        <w:tc>
          <w:tcPr>
            <w:tcW w:w="845" w:type="dxa"/>
            <w:vAlign w:val="center"/>
          </w:tcPr>
          <w:p w:rsidR="00442BAC" w:rsidRDefault="00E9024D">
            <w:pPr>
              <w:jc w:val="center"/>
            </w:pPr>
            <w:r>
              <w:rPr>
                <w:color w:val="000000"/>
                <w:sz w:val="24"/>
                <w:szCs w:val="24"/>
              </w:rPr>
              <w:t>交银主题优选混合、交银国企改革灵活配置混合、交银瑞思混合的基金经理</w:t>
            </w:r>
          </w:p>
        </w:tc>
        <w:tc>
          <w:tcPr>
            <w:tcW w:w="1549" w:type="dxa"/>
            <w:vAlign w:val="center"/>
          </w:tcPr>
          <w:p w:rsidR="00442BAC" w:rsidRDefault="00E9024D">
            <w:pPr>
              <w:jc w:val="center"/>
            </w:pPr>
            <w:r>
              <w:rPr>
                <w:color w:val="000000"/>
                <w:sz w:val="24"/>
                <w:szCs w:val="24"/>
              </w:rPr>
              <w:t>2015-06-10</w:t>
            </w:r>
          </w:p>
        </w:tc>
        <w:tc>
          <w:tcPr>
            <w:tcW w:w="1548" w:type="dxa"/>
            <w:vAlign w:val="center"/>
          </w:tcPr>
          <w:p w:rsidR="00442BAC" w:rsidRDefault="00E9024D">
            <w:pPr>
              <w:jc w:val="center"/>
            </w:pPr>
            <w:r>
              <w:rPr>
                <w:color w:val="000000"/>
                <w:sz w:val="24"/>
                <w:szCs w:val="24"/>
              </w:rPr>
              <w:t>-</w:t>
            </w:r>
          </w:p>
        </w:tc>
        <w:tc>
          <w:tcPr>
            <w:tcW w:w="1407" w:type="dxa"/>
            <w:vAlign w:val="center"/>
          </w:tcPr>
          <w:p w:rsidR="00442BAC" w:rsidRDefault="00E9024D">
            <w:pPr>
              <w:jc w:val="center"/>
            </w:pPr>
            <w:r>
              <w:rPr>
                <w:color w:val="000000"/>
                <w:sz w:val="24"/>
                <w:szCs w:val="24"/>
              </w:rPr>
              <w:t>11</w:t>
            </w:r>
            <w:r>
              <w:rPr>
                <w:color w:val="000000"/>
                <w:sz w:val="24"/>
                <w:szCs w:val="24"/>
              </w:rPr>
              <w:t>年</w:t>
            </w:r>
          </w:p>
        </w:tc>
        <w:tc>
          <w:tcPr>
            <w:tcW w:w="2673" w:type="dxa"/>
            <w:vAlign w:val="center"/>
          </w:tcPr>
          <w:p w:rsidR="00442BAC" w:rsidRDefault="00E9024D">
            <w:r>
              <w:rPr>
                <w:color w:val="000000"/>
                <w:sz w:val="24"/>
                <w:szCs w:val="24"/>
              </w:rPr>
              <w:t>沈楠先生，复旦大学硕士。历任长江证券高级分析师，</w:t>
            </w:r>
            <w:r>
              <w:rPr>
                <w:color w:val="000000"/>
                <w:sz w:val="24"/>
                <w:szCs w:val="24"/>
              </w:rPr>
              <w:t>2011</w:t>
            </w:r>
            <w:r>
              <w:rPr>
                <w:color w:val="000000"/>
                <w:sz w:val="24"/>
                <w:szCs w:val="24"/>
              </w:rPr>
              <w:t>年加入交银施罗德基金管理有限公司，历任行业分析师、基金经理助理。</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442BAC" w:rsidRDefault="00E9024D">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442BAC" w:rsidRDefault="00E9024D">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442BAC" w:rsidRDefault="00E9024D">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442BAC" w:rsidRDefault="00E9024D">
      <w:pPr>
        <w:spacing w:before="29" w:line="288" w:lineRule="auto"/>
        <w:ind w:firstLineChars="200" w:firstLine="480"/>
        <w:rPr>
          <w:color w:val="000000"/>
          <w:sz w:val="24"/>
          <w:szCs w:val="24"/>
        </w:rPr>
      </w:pPr>
      <w:r>
        <w:rPr>
          <w:color w:val="000000"/>
          <w:sz w:val="24"/>
          <w:szCs w:val="24"/>
        </w:rPr>
        <w:t>2020</w:t>
      </w:r>
      <w:r>
        <w:rPr>
          <w:color w:val="000000"/>
          <w:sz w:val="24"/>
          <w:szCs w:val="24"/>
        </w:rPr>
        <w:t>年二季度，受全球新冠疫情扩散和反复的影响，经济在供给和需求层面均受到了一定冲击。全球大幅货币宽松和财政手段支持措施的出台缓解了经济下滑预期，我们认为政策在未来一段时间将维持偏宽松格局。在流动性偏松的大环境下，市场有望继续呈现较强的结构性行情。</w:t>
      </w:r>
    </w:p>
    <w:p w:rsidR="00442BAC" w:rsidRDefault="00E9024D">
      <w:pPr>
        <w:spacing w:before="29" w:line="288" w:lineRule="auto"/>
        <w:ind w:firstLineChars="200" w:firstLine="480"/>
        <w:rPr>
          <w:color w:val="000000"/>
          <w:sz w:val="24"/>
          <w:szCs w:val="24"/>
        </w:rPr>
      </w:pPr>
      <w:r>
        <w:rPr>
          <w:color w:val="000000"/>
          <w:sz w:val="24"/>
          <w:szCs w:val="24"/>
        </w:rPr>
        <w:t>国企改革的进程仍在进一步推进，今年以来上海等部分地区围绕国资国企的部分综合试点仍在推进，部分上市企业通过资产置入、地方国资入股的形式重获增长动力和发展潜力。我们预计在内外需受到大幅冲击的背景下，国内的结构性改革尤其是国资国企改革迫切需要进一步深化和推进，因此我们仍看好该领域的投资机会。</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报告期内本基金重点配置了地产金融、食品医药、传媒、汽车家电等消费领域，以及部分高端制造和</w:t>
      </w:r>
      <w:r w:rsidRPr="00414345">
        <w:rPr>
          <w:color w:val="000000"/>
          <w:sz w:val="24"/>
          <w:szCs w:val="24"/>
        </w:rPr>
        <w:t>TMT</w:t>
      </w:r>
      <w:r w:rsidRPr="00414345">
        <w:rPr>
          <w:color w:val="000000"/>
          <w:sz w:val="24"/>
          <w:szCs w:val="24"/>
        </w:rPr>
        <w:t>相关的技术领先类国企。我们认为如果新冠疫情在全球得到有效控制，同时通胀压力减缓，那么可以对市场继续保持乐观，基本面</w:t>
      </w:r>
      <w:r w:rsidRPr="00414345">
        <w:rPr>
          <w:color w:val="000000"/>
          <w:sz w:val="24"/>
          <w:szCs w:val="24"/>
        </w:rPr>
        <w:t>“</w:t>
      </w:r>
      <w:r w:rsidRPr="00414345">
        <w:rPr>
          <w:color w:val="000000"/>
          <w:sz w:val="24"/>
          <w:szCs w:val="24"/>
        </w:rPr>
        <w:t>深坑</w:t>
      </w:r>
      <w:r w:rsidRPr="00414345">
        <w:rPr>
          <w:color w:val="000000"/>
          <w:sz w:val="24"/>
          <w:szCs w:val="24"/>
        </w:rPr>
        <w:t>”</w:t>
      </w:r>
      <w:r w:rsidRPr="00414345">
        <w:rPr>
          <w:color w:val="000000"/>
          <w:sz w:val="24"/>
          <w:szCs w:val="24"/>
        </w:rPr>
        <w:t>后投资机会有望扩散。本产品通过加强学习中央及地方国资部门的文件精神，把握最新改革方向，努力在混合所有制改革、管理层及核心员工激励、产业整合等几大维度进一步布局，力求分享国资国企改革带来的市场化红利。</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本基金（各类）份额净值及业绩表现请见</w:t>
      </w:r>
      <w:r w:rsidRPr="00414345">
        <w:rPr>
          <w:color w:val="000000"/>
          <w:sz w:val="24"/>
          <w:szCs w:val="24"/>
        </w:rPr>
        <w:t>“3.1</w:t>
      </w:r>
      <w:r w:rsidRPr="00414345">
        <w:rPr>
          <w:color w:val="000000"/>
          <w:sz w:val="24"/>
          <w:szCs w:val="24"/>
        </w:rPr>
        <w:t>主要财务指标</w:t>
      </w:r>
      <w:r w:rsidRPr="00414345">
        <w:rPr>
          <w:color w:val="000000"/>
          <w:sz w:val="24"/>
          <w:szCs w:val="24"/>
        </w:rPr>
        <w:t xml:space="preserve">” </w:t>
      </w:r>
      <w:r w:rsidRPr="00414345">
        <w:rPr>
          <w:color w:val="000000"/>
          <w:sz w:val="24"/>
          <w:szCs w:val="24"/>
        </w:rPr>
        <w:t>及</w:t>
      </w:r>
      <w:r w:rsidRPr="00414345">
        <w:rPr>
          <w:color w:val="000000"/>
          <w:sz w:val="24"/>
          <w:szCs w:val="24"/>
        </w:rPr>
        <w:t xml:space="preserve">“3.2.1 </w:t>
      </w:r>
      <w:r w:rsidRPr="00414345">
        <w:rPr>
          <w:color w:val="000000"/>
          <w:sz w:val="24"/>
          <w:szCs w:val="24"/>
        </w:rPr>
        <w:t>本报告期基金份额净值增长率及其与同期业绩比较基准收益率的比较</w:t>
      </w:r>
      <w:r w:rsidRPr="00414345">
        <w:rPr>
          <w:color w:val="000000"/>
          <w:sz w:val="24"/>
          <w:szCs w:val="24"/>
        </w:rPr>
        <w:t>”</w:t>
      </w:r>
      <w:r w:rsidRPr="00414345">
        <w:rPr>
          <w:color w:val="000000"/>
          <w:sz w:val="24"/>
          <w:szCs w:val="24"/>
        </w:rPr>
        <w:t>部分披露。</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R="00BF0019"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p w:rsidR="006B5F69" w:rsidRPr="007B5F21" w:rsidRDefault="009C1009" w:rsidP="009C1009">
      <w:pPr>
        <w:autoSpaceDE w:val="0"/>
        <w:autoSpaceDN w:val="0"/>
        <w:adjustRightInd w:val="0"/>
        <w:spacing w:line="360" w:lineRule="auto"/>
        <w:jc w:val="right"/>
        <w:rPr>
          <w:rFonts w:eastAsiaTheme="minorEastAsia"/>
          <w:b/>
          <w:color w:val="000000" w:themeColor="text1"/>
          <w:kern w:val="0"/>
          <w:sz w:val="24"/>
          <w:szCs w:val="24"/>
        </w:rPr>
      </w:pPr>
      <w:r w:rsidRPr="009C1009">
        <w:rPr>
          <w:rFonts w:hint="eastAsia"/>
          <w:color w:val="000000"/>
          <w:kern w:val="0"/>
        </w:rPr>
        <w:t>金额单位：人民币元</w:t>
      </w:r>
    </w:p>
    <w:tbl>
      <w:tblPr>
        <w:tblStyle w:val="af7"/>
        <w:tblW w:w="8897" w:type="dxa"/>
        <w:tblInd w:w="108" w:type="dxa"/>
        <w:tblLayout w:type="fixed"/>
        <w:tblLook w:val="04A0" w:firstRow="1" w:lastRow="0" w:firstColumn="1" w:lastColumn="0" w:noHBand="0" w:noVBand="1"/>
      </w:tblPr>
      <w:tblGrid>
        <w:gridCol w:w="720"/>
        <w:gridCol w:w="2682"/>
        <w:gridCol w:w="2552"/>
        <w:gridCol w:w="2943"/>
      </w:tblGrid>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68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p>
        </w:tc>
        <w:tc>
          <w:tcPr>
            <w:tcW w:w="2943"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0018138B">
              <w:rPr>
                <w:rFonts w:eastAsiaTheme="minorEastAsia" w:hint="eastAsia"/>
                <w:color w:val="000000" w:themeColor="text1"/>
                <w:sz w:val="24"/>
                <w:szCs w:val="24"/>
              </w:rPr>
              <w:t>(</w:t>
            </w:r>
            <w:r w:rsidR="0018138B">
              <w:rPr>
                <w:rFonts w:eastAsiaTheme="minorEastAsia"/>
                <w:color w:val="000000" w:themeColor="text1"/>
                <w:sz w:val="24"/>
                <w:szCs w:val="24"/>
              </w:rPr>
              <w:t>%</w:t>
            </w:r>
            <w:r w:rsidR="0018138B">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1</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311,037,239.27</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87.40</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311,037,239.27</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87.40</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2</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4</w:t>
            </w:r>
          </w:p>
        </w:tc>
        <w:tc>
          <w:tcPr>
            <w:tcW w:w="2682"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金融衍生品投资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6</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7</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44,646,455.90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12.55</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190,516.39</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0.05</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355,874,211.56</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Default="00F51C4E" w:rsidP="00F51C4E">
      <w:pPr>
        <w:rPr>
          <w:rFonts w:eastAsiaTheme="minorEastAsia"/>
          <w:b/>
          <w:color w:val="000000" w:themeColor="text1"/>
          <w:kern w:val="0"/>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7B2639" w:rsidRPr="007B2639" w:rsidRDefault="009C1009" w:rsidP="009C1009">
      <w:pPr>
        <w:jc w:val="right"/>
        <w:rPr>
          <w:sz w:val="24"/>
        </w:rPr>
      </w:pPr>
      <w:r w:rsidRPr="009C1009">
        <w:rPr>
          <w:rFonts w:eastAsiaTheme="minorEastAsia" w:hint="eastAsia"/>
          <w:color w:val="000000" w:themeColor="text1"/>
          <w:kern w:val="0"/>
          <w:sz w:val="24"/>
        </w:rPr>
        <w:t>金额单位：人民币元</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B11F31" w:rsidP="00C15CAC">
            <w:pPr>
              <w:adjustRightInd w:val="0"/>
              <w:snapToGrid w:val="0"/>
              <w:spacing w:before="29" w:line="288" w:lineRule="auto"/>
              <w:jc w:val="center"/>
              <w:rPr>
                <w:sz w:val="24"/>
                <w:szCs w:val="24"/>
              </w:rPr>
            </w:pPr>
            <w:r>
              <w:rPr>
                <w:sz w:val="24"/>
                <w:szCs w:val="24"/>
              </w:rPr>
              <w:t>公允价值</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10,776,800.00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3.07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2,872,000.00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0.82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159,360,837.40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45.34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20,558,667.32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5.85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6,618,492.30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1.88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11,627,327.12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3.31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5,486,175.00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1.56</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14,806,295.71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4.21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42,362,710.60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12.05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24,138,824.52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6.87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402,083.70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0.11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3,074,870.00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0.87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8,952,155.60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2.55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311,037,239.27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88.49</w:t>
            </w:r>
          </w:p>
        </w:tc>
      </w:tr>
    </w:tbl>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442BAC">
        <w:trPr>
          <w:jc w:val="center"/>
        </w:trPr>
        <w:tc>
          <w:tcPr>
            <w:tcW w:w="855" w:type="dxa"/>
            <w:vAlign w:val="center"/>
          </w:tcPr>
          <w:p w:rsidR="00442BAC" w:rsidRDefault="00E9024D">
            <w:pPr>
              <w:jc w:val="center"/>
            </w:pPr>
            <w:r>
              <w:rPr>
                <w:color w:val="000000"/>
                <w:sz w:val="24"/>
                <w:szCs w:val="24"/>
              </w:rPr>
              <w:t>1</w:t>
            </w:r>
          </w:p>
        </w:tc>
        <w:tc>
          <w:tcPr>
            <w:tcW w:w="1334" w:type="dxa"/>
            <w:vAlign w:val="center"/>
          </w:tcPr>
          <w:p w:rsidR="00442BAC" w:rsidRDefault="00E9024D">
            <w:pPr>
              <w:jc w:val="center"/>
            </w:pPr>
            <w:r>
              <w:rPr>
                <w:color w:val="000000"/>
                <w:sz w:val="24"/>
                <w:szCs w:val="24"/>
              </w:rPr>
              <w:t>600030</w:t>
            </w:r>
          </w:p>
        </w:tc>
        <w:tc>
          <w:tcPr>
            <w:tcW w:w="1777" w:type="dxa"/>
            <w:vAlign w:val="center"/>
          </w:tcPr>
          <w:p w:rsidR="00442BAC" w:rsidRDefault="00E9024D">
            <w:pPr>
              <w:jc w:val="center"/>
            </w:pPr>
            <w:r>
              <w:rPr>
                <w:color w:val="000000"/>
                <w:sz w:val="24"/>
                <w:szCs w:val="24"/>
              </w:rPr>
              <w:t>中信证券</w:t>
            </w:r>
          </w:p>
        </w:tc>
        <w:tc>
          <w:tcPr>
            <w:tcW w:w="1334" w:type="dxa"/>
            <w:vAlign w:val="center"/>
          </w:tcPr>
          <w:p w:rsidR="00442BAC" w:rsidRDefault="00E9024D">
            <w:pPr>
              <w:jc w:val="right"/>
            </w:pPr>
            <w:r>
              <w:rPr>
                <w:color w:val="000000"/>
                <w:sz w:val="24"/>
                <w:szCs w:val="24"/>
              </w:rPr>
              <w:t>757,700</w:t>
            </w:r>
          </w:p>
        </w:tc>
        <w:tc>
          <w:tcPr>
            <w:tcW w:w="1924" w:type="dxa"/>
            <w:vAlign w:val="center"/>
          </w:tcPr>
          <w:p w:rsidR="00442BAC" w:rsidRDefault="00E9024D">
            <w:pPr>
              <w:jc w:val="right"/>
            </w:pPr>
            <w:r>
              <w:rPr>
                <w:color w:val="000000"/>
                <w:sz w:val="24"/>
                <w:szCs w:val="24"/>
              </w:rPr>
              <w:t>18,268,147.00</w:t>
            </w:r>
          </w:p>
        </w:tc>
        <w:tc>
          <w:tcPr>
            <w:tcW w:w="1644" w:type="dxa"/>
            <w:vAlign w:val="center"/>
          </w:tcPr>
          <w:p w:rsidR="00442BAC" w:rsidRDefault="00E9024D">
            <w:pPr>
              <w:jc w:val="right"/>
            </w:pPr>
            <w:r>
              <w:rPr>
                <w:color w:val="000000"/>
                <w:sz w:val="24"/>
                <w:szCs w:val="24"/>
              </w:rPr>
              <w:t>5.20</w:t>
            </w:r>
          </w:p>
        </w:tc>
      </w:tr>
      <w:tr w:rsidR="00442BAC">
        <w:trPr>
          <w:jc w:val="center"/>
        </w:trPr>
        <w:tc>
          <w:tcPr>
            <w:tcW w:w="855" w:type="dxa"/>
            <w:vAlign w:val="center"/>
          </w:tcPr>
          <w:p w:rsidR="00442BAC" w:rsidRDefault="00E9024D">
            <w:pPr>
              <w:jc w:val="center"/>
            </w:pPr>
            <w:r>
              <w:rPr>
                <w:color w:val="000000"/>
                <w:sz w:val="24"/>
                <w:szCs w:val="24"/>
              </w:rPr>
              <w:t>2</w:t>
            </w:r>
          </w:p>
        </w:tc>
        <w:tc>
          <w:tcPr>
            <w:tcW w:w="1334" w:type="dxa"/>
            <w:vAlign w:val="center"/>
          </w:tcPr>
          <w:p w:rsidR="00442BAC" w:rsidRDefault="00E9024D">
            <w:pPr>
              <w:jc w:val="center"/>
            </w:pPr>
            <w:r>
              <w:rPr>
                <w:color w:val="000000"/>
                <w:sz w:val="24"/>
                <w:szCs w:val="24"/>
              </w:rPr>
              <w:t>600048</w:t>
            </w:r>
          </w:p>
        </w:tc>
        <w:tc>
          <w:tcPr>
            <w:tcW w:w="1777" w:type="dxa"/>
            <w:vAlign w:val="center"/>
          </w:tcPr>
          <w:p w:rsidR="00442BAC" w:rsidRDefault="00E9024D">
            <w:pPr>
              <w:jc w:val="center"/>
            </w:pPr>
            <w:r>
              <w:rPr>
                <w:color w:val="000000"/>
                <w:sz w:val="24"/>
                <w:szCs w:val="24"/>
              </w:rPr>
              <w:t>保利地产</w:t>
            </w:r>
          </w:p>
        </w:tc>
        <w:tc>
          <w:tcPr>
            <w:tcW w:w="1334" w:type="dxa"/>
            <w:vAlign w:val="center"/>
          </w:tcPr>
          <w:p w:rsidR="00442BAC" w:rsidRDefault="00E9024D">
            <w:pPr>
              <w:jc w:val="right"/>
            </w:pPr>
            <w:r>
              <w:rPr>
                <w:color w:val="000000"/>
                <w:sz w:val="24"/>
                <w:szCs w:val="24"/>
              </w:rPr>
              <w:t>1,004,534</w:t>
            </w:r>
          </w:p>
        </w:tc>
        <w:tc>
          <w:tcPr>
            <w:tcW w:w="1924" w:type="dxa"/>
            <w:vAlign w:val="center"/>
          </w:tcPr>
          <w:p w:rsidR="00442BAC" w:rsidRDefault="00E9024D">
            <w:pPr>
              <w:jc w:val="right"/>
            </w:pPr>
            <w:r>
              <w:rPr>
                <w:color w:val="000000"/>
                <w:sz w:val="24"/>
                <w:szCs w:val="24"/>
              </w:rPr>
              <w:t>14,847,012.52</w:t>
            </w:r>
          </w:p>
        </w:tc>
        <w:tc>
          <w:tcPr>
            <w:tcW w:w="1644" w:type="dxa"/>
            <w:vAlign w:val="center"/>
          </w:tcPr>
          <w:p w:rsidR="00442BAC" w:rsidRDefault="00E9024D">
            <w:pPr>
              <w:jc w:val="right"/>
            </w:pPr>
            <w:r>
              <w:rPr>
                <w:color w:val="000000"/>
                <w:sz w:val="24"/>
                <w:szCs w:val="24"/>
              </w:rPr>
              <w:t>4.22</w:t>
            </w:r>
          </w:p>
        </w:tc>
      </w:tr>
      <w:tr w:rsidR="00442BAC">
        <w:trPr>
          <w:jc w:val="center"/>
        </w:trPr>
        <w:tc>
          <w:tcPr>
            <w:tcW w:w="855" w:type="dxa"/>
            <w:vAlign w:val="center"/>
          </w:tcPr>
          <w:p w:rsidR="00442BAC" w:rsidRDefault="00E9024D">
            <w:pPr>
              <w:jc w:val="center"/>
            </w:pPr>
            <w:r>
              <w:rPr>
                <w:color w:val="000000"/>
                <w:sz w:val="24"/>
                <w:szCs w:val="24"/>
              </w:rPr>
              <w:t>3</w:t>
            </w:r>
          </w:p>
        </w:tc>
        <w:tc>
          <w:tcPr>
            <w:tcW w:w="1334" w:type="dxa"/>
            <w:vAlign w:val="center"/>
          </w:tcPr>
          <w:p w:rsidR="00442BAC" w:rsidRDefault="00E9024D">
            <w:pPr>
              <w:jc w:val="center"/>
            </w:pPr>
            <w:r>
              <w:rPr>
                <w:color w:val="000000"/>
                <w:sz w:val="24"/>
                <w:szCs w:val="24"/>
              </w:rPr>
              <w:t>300034</w:t>
            </w:r>
          </w:p>
        </w:tc>
        <w:tc>
          <w:tcPr>
            <w:tcW w:w="1777" w:type="dxa"/>
            <w:vAlign w:val="center"/>
          </w:tcPr>
          <w:p w:rsidR="00442BAC" w:rsidRDefault="00E9024D">
            <w:pPr>
              <w:jc w:val="center"/>
            </w:pPr>
            <w:r>
              <w:rPr>
                <w:color w:val="000000"/>
                <w:sz w:val="24"/>
                <w:szCs w:val="24"/>
              </w:rPr>
              <w:t>钢研高纳</w:t>
            </w:r>
          </w:p>
        </w:tc>
        <w:tc>
          <w:tcPr>
            <w:tcW w:w="1334" w:type="dxa"/>
            <w:vAlign w:val="center"/>
          </w:tcPr>
          <w:p w:rsidR="00442BAC" w:rsidRDefault="00E9024D">
            <w:pPr>
              <w:jc w:val="right"/>
            </w:pPr>
            <w:r>
              <w:rPr>
                <w:color w:val="000000"/>
                <w:sz w:val="24"/>
                <w:szCs w:val="24"/>
              </w:rPr>
              <w:t>688,400</w:t>
            </w:r>
          </w:p>
        </w:tc>
        <w:tc>
          <w:tcPr>
            <w:tcW w:w="1924" w:type="dxa"/>
            <w:vAlign w:val="center"/>
          </w:tcPr>
          <w:p w:rsidR="00442BAC" w:rsidRDefault="00E9024D">
            <w:pPr>
              <w:jc w:val="right"/>
            </w:pPr>
            <w:r>
              <w:rPr>
                <w:color w:val="000000"/>
                <w:sz w:val="24"/>
                <w:szCs w:val="24"/>
              </w:rPr>
              <w:t>12,914,384.00</w:t>
            </w:r>
          </w:p>
        </w:tc>
        <w:tc>
          <w:tcPr>
            <w:tcW w:w="1644" w:type="dxa"/>
            <w:vAlign w:val="center"/>
          </w:tcPr>
          <w:p w:rsidR="00442BAC" w:rsidRDefault="00E9024D">
            <w:pPr>
              <w:jc w:val="right"/>
            </w:pPr>
            <w:r>
              <w:rPr>
                <w:color w:val="000000"/>
                <w:sz w:val="24"/>
                <w:szCs w:val="24"/>
              </w:rPr>
              <w:t>3.67</w:t>
            </w:r>
          </w:p>
        </w:tc>
      </w:tr>
      <w:tr w:rsidR="00442BAC">
        <w:trPr>
          <w:jc w:val="center"/>
        </w:trPr>
        <w:tc>
          <w:tcPr>
            <w:tcW w:w="855" w:type="dxa"/>
            <w:vAlign w:val="center"/>
          </w:tcPr>
          <w:p w:rsidR="00442BAC" w:rsidRDefault="00E9024D">
            <w:pPr>
              <w:jc w:val="center"/>
            </w:pPr>
            <w:r>
              <w:rPr>
                <w:color w:val="000000"/>
                <w:sz w:val="24"/>
                <w:szCs w:val="24"/>
              </w:rPr>
              <w:t>4</w:t>
            </w:r>
          </w:p>
        </w:tc>
        <w:tc>
          <w:tcPr>
            <w:tcW w:w="1334" w:type="dxa"/>
            <w:vAlign w:val="center"/>
          </w:tcPr>
          <w:p w:rsidR="00442BAC" w:rsidRDefault="00E9024D">
            <w:pPr>
              <w:jc w:val="center"/>
            </w:pPr>
            <w:r>
              <w:rPr>
                <w:color w:val="000000"/>
                <w:sz w:val="24"/>
                <w:szCs w:val="24"/>
              </w:rPr>
              <w:t>600967</w:t>
            </w:r>
          </w:p>
        </w:tc>
        <w:tc>
          <w:tcPr>
            <w:tcW w:w="1777" w:type="dxa"/>
            <w:vAlign w:val="center"/>
          </w:tcPr>
          <w:p w:rsidR="00442BAC" w:rsidRDefault="00E9024D">
            <w:pPr>
              <w:jc w:val="center"/>
            </w:pPr>
            <w:r>
              <w:rPr>
                <w:color w:val="000000"/>
                <w:sz w:val="24"/>
                <w:szCs w:val="24"/>
              </w:rPr>
              <w:t>内蒙一机</w:t>
            </w:r>
          </w:p>
        </w:tc>
        <w:tc>
          <w:tcPr>
            <w:tcW w:w="1334" w:type="dxa"/>
            <w:vAlign w:val="center"/>
          </w:tcPr>
          <w:p w:rsidR="00442BAC" w:rsidRDefault="00E9024D">
            <w:pPr>
              <w:jc w:val="right"/>
            </w:pPr>
            <w:r>
              <w:rPr>
                <w:color w:val="000000"/>
                <w:sz w:val="24"/>
                <w:szCs w:val="24"/>
              </w:rPr>
              <w:t>1,150,000</w:t>
            </w:r>
          </w:p>
        </w:tc>
        <w:tc>
          <w:tcPr>
            <w:tcW w:w="1924" w:type="dxa"/>
            <w:vAlign w:val="center"/>
          </w:tcPr>
          <w:p w:rsidR="00442BAC" w:rsidRDefault="00E9024D">
            <w:pPr>
              <w:jc w:val="right"/>
            </w:pPr>
            <w:r>
              <w:rPr>
                <w:color w:val="000000"/>
                <w:sz w:val="24"/>
                <w:szCs w:val="24"/>
              </w:rPr>
              <w:t>11,948,500.00</w:t>
            </w:r>
          </w:p>
        </w:tc>
        <w:tc>
          <w:tcPr>
            <w:tcW w:w="1644" w:type="dxa"/>
            <w:vAlign w:val="center"/>
          </w:tcPr>
          <w:p w:rsidR="00442BAC" w:rsidRDefault="00E9024D">
            <w:pPr>
              <w:jc w:val="right"/>
            </w:pPr>
            <w:r>
              <w:rPr>
                <w:color w:val="000000"/>
                <w:sz w:val="24"/>
                <w:szCs w:val="24"/>
              </w:rPr>
              <w:t>3.40</w:t>
            </w:r>
          </w:p>
        </w:tc>
      </w:tr>
      <w:tr w:rsidR="00442BAC">
        <w:trPr>
          <w:jc w:val="center"/>
        </w:trPr>
        <w:tc>
          <w:tcPr>
            <w:tcW w:w="855" w:type="dxa"/>
            <w:vAlign w:val="center"/>
          </w:tcPr>
          <w:p w:rsidR="00442BAC" w:rsidRDefault="00E9024D">
            <w:pPr>
              <w:jc w:val="center"/>
            </w:pPr>
            <w:r>
              <w:rPr>
                <w:color w:val="000000"/>
                <w:sz w:val="24"/>
                <w:szCs w:val="24"/>
              </w:rPr>
              <w:t>5</w:t>
            </w:r>
          </w:p>
        </w:tc>
        <w:tc>
          <w:tcPr>
            <w:tcW w:w="1334" w:type="dxa"/>
            <w:vAlign w:val="center"/>
          </w:tcPr>
          <w:p w:rsidR="00442BAC" w:rsidRDefault="00E9024D">
            <w:pPr>
              <w:jc w:val="center"/>
            </w:pPr>
            <w:r>
              <w:rPr>
                <w:color w:val="000000"/>
                <w:sz w:val="24"/>
                <w:szCs w:val="24"/>
              </w:rPr>
              <w:t>600529</w:t>
            </w:r>
          </w:p>
        </w:tc>
        <w:tc>
          <w:tcPr>
            <w:tcW w:w="1777" w:type="dxa"/>
            <w:vAlign w:val="center"/>
          </w:tcPr>
          <w:p w:rsidR="00442BAC" w:rsidRDefault="00E9024D">
            <w:pPr>
              <w:jc w:val="center"/>
            </w:pPr>
            <w:r>
              <w:rPr>
                <w:color w:val="000000"/>
                <w:sz w:val="24"/>
                <w:szCs w:val="24"/>
              </w:rPr>
              <w:t>山东药玻</w:t>
            </w:r>
          </w:p>
        </w:tc>
        <w:tc>
          <w:tcPr>
            <w:tcW w:w="1334" w:type="dxa"/>
            <w:vAlign w:val="center"/>
          </w:tcPr>
          <w:p w:rsidR="00442BAC" w:rsidRDefault="00E9024D">
            <w:pPr>
              <w:jc w:val="right"/>
            </w:pPr>
            <w:r>
              <w:rPr>
                <w:color w:val="000000"/>
                <w:sz w:val="24"/>
                <w:szCs w:val="24"/>
              </w:rPr>
              <w:t>200,000</w:t>
            </w:r>
          </w:p>
        </w:tc>
        <w:tc>
          <w:tcPr>
            <w:tcW w:w="1924" w:type="dxa"/>
            <w:vAlign w:val="center"/>
          </w:tcPr>
          <w:p w:rsidR="00442BAC" w:rsidRDefault="00E9024D">
            <w:pPr>
              <w:jc w:val="right"/>
            </w:pPr>
            <w:r>
              <w:rPr>
                <w:color w:val="000000"/>
                <w:sz w:val="24"/>
                <w:szCs w:val="24"/>
              </w:rPr>
              <w:t>11,600,000.00</w:t>
            </w:r>
          </w:p>
        </w:tc>
        <w:tc>
          <w:tcPr>
            <w:tcW w:w="1644" w:type="dxa"/>
            <w:vAlign w:val="center"/>
          </w:tcPr>
          <w:p w:rsidR="00442BAC" w:rsidRDefault="00E9024D">
            <w:pPr>
              <w:jc w:val="right"/>
            </w:pPr>
            <w:r>
              <w:rPr>
                <w:color w:val="000000"/>
                <w:sz w:val="24"/>
                <w:szCs w:val="24"/>
              </w:rPr>
              <w:t>3.30</w:t>
            </w:r>
          </w:p>
        </w:tc>
      </w:tr>
      <w:tr w:rsidR="00442BAC">
        <w:trPr>
          <w:jc w:val="center"/>
        </w:trPr>
        <w:tc>
          <w:tcPr>
            <w:tcW w:w="855" w:type="dxa"/>
            <w:vAlign w:val="center"/>
          </w:tcPr>
          <w:p w:rsidR="00442BAC" w:rsidRDefault="00E9024D">
            <w:pPr>
              <w:jc w:val="center"/>
            </w:pPr>
            <w:r>
              <w:rPr>
                <w:color w:val="000000"/>
                <w:sz w:val="24"/>
                <w:szCs w:val="24"/>
              </w:rPr>
              <w:t>6</w:t>
            </w:r>
          </w:p>
        </w:tc>
        <w:tc>
          <w:tcPr>
            <w:tcW w:w="1334" w:type="dxa"/>
            <w:vAlign w:val="center"/>
          </w:tcPr>
          <w:p w:rsidR="00442BAC" w:rsidRDefault="00E9024D">
            <w:pPr>
              <w:jc w:val="center"/>
            </w:pPr>
            <w:r>
              <w:rPr>
                <w:color w:val="000000"/>
                <w:sz w:val="24"/>
                <w:szCs w:val="24"/>
              </w:rPr>
              <w:t>601166</w:t>
            </w:r>
          </w:p>
        </w:tc>
        <w:tc>
          <w:tcPr>
            <w:tcW w:w="1777" w:type="dxa"/>
            <w:vAlign w:val="center"/>
          </w:tcPr>
          <w:p w:rsidR="00442BAC" w:rsidRDefault="00E9024D">
            <w:pPr>
              <w:jc w:val="center"/>
            </w:pPr>
            <w:r>
              <w:rPr>
                <w:color w:val="000000"/>
                <w:sz w:val="24"/>
                <w:szCs w:val="24"/>
              </w:rPr>
              <w:t>兴业银行</w:t>
            </w:r>
          </w:p>
        </w:tc>
        <w:tc>
          <w:tcPr>
            <w:tcW w:w="1334" w:type="dxa"/>
            <w:vAlign w:val="center"/>
          </w:tcPr>
          <w:p w:rsidR="00442BAC" w:rsidRDefault="00E9024D">
            <w:pPr>
              <w:jc w:val="right"/>
            </w:pPr>
            <w:r>
              <w:rPr>
                <w:color w:val="000000"/>
                <w:sz w:val="24"/>
                <w:szCs w:val="24"/>
              </w:rPr>
              <w:t>653,200</w:t>
            </w:r>
          </w:p>
        </w:tc>
        <w:tc>
          <w:tcPr>
            <w:tcW w:w="1924" w:type="dxa"/>
            <w:vAlign w:val="center"/>
          </w:tcPr>
          <w:p w:rsidR="00442BAC" w:rsidRDefault="00E9024D">
            <w:pPr>
              <w:jc w:val="right"/>
            </w:pPr>
            <w:r>
              <w:rPr>
                <w:color w:val="000000"/>
                <w:sz w:val="24"/>
                <w:szCs w:val="24"/>
              </w:rPr>
              <w:t>10,307,496.00</w:t>
            </w:r>
          </w:p>
        </w:tc>
        <w:tc>
          <w:tcPr>
            <w:tcW w:w="1644" w:type="dxa"/>
            <w:vAlign w:val="center"/>
          </w:tcPr>
          <w:p w:rsidR="00442BAC" w:rsidRDefault="00E9024D">
            <w:pPr>
              <w:jc w:val="right"/>
            </w:pPr>
            <w:r>
              <w:rPr>
                <w:color w:val="000000"/>
                <w:sz w:val="24"/>
                <w:szCs w:val="24"/>
              </w:rPr>
              <w:t>2.93</w:t>
            </w:r>
          </w:p>
        </w:tc>
      </w:tr>
      <w:tr w:rsidR="00442BAC">
        <w:trPr>
          <w:jc w:val="center"/>
        </w:trPr>
        <w:tc>
          <w:tcPr>
            <w:tcW w:w="855" w:type="dxa"/>
            <w:vAlign w:val="center"/>
          </w:tcPr>
          <w:p w:rsidR="00442BAC" w:rsidRDefault="00E9024D">
            <w:pPr>
              <w:jc w:val="center"/>
            </w:pPr>
            <w:r>
              <w:rPr>
                <w:color w:val="000000"/>
                <w:sz w:val="24"/>
                <w:szCs w:val="24"/>
              </w:rPr>
              <w:t>7</w:t>
            </w:r>
          </w:p>
        </w:tc>
        <w:tc>
          <w:tcPr>
            <w:tcW w:w="1334" w:type="dxa"/>
            <w:vAlign w:val="center"/>
          </w:tcPr>
          <w:p w:rsidR="00442BAC" w:rsidRDefault="00E9024D">
            <w:pPr>
              <w:jc w:val="center"/>
            </w:pPr>
            <w:r>
              <w:rPr>
                <w:color w:val="000000"/>
                <w:sz w:val="24"/>
                <w:szCs w:val="24"/>
              </w:rPr>
              <w:t>600131</w:t>
            </w:r>
          </w:p>
        </w:tc>
        <w:tc>
          <w:tcPr>
            <w:tcW w:w="1777" w:type="dxa"/>
            <w:vAlign w:val="center"/>
          </w:tcPr>
          <w:p w:rsidR="00442BAC" w:rsidRDefault="00E9024D">
            <w:pPr>
              <w:jc w:val="center"/>
            </w:pPr>
            <w:r>
              <w:rPr>
                <w:color w:val="000000"/>
                <w:sz w:val="24"/>
                <w:szCs w:val="24"/>
              </w:rPr>
              <w:t>国网信通</w:t>
            </w:r>
          </w:p>
        </w:tc>
        <w:tc>
          <w:tcPr>
            <w:tcW w:w="1334" w:type="dxa"/>
            <w:vAlign w:val="center"/>
          </w:tcPr>
          <w:p w:rsidR="00442BAC" w:rsidRDefault="00E9024D">
            <w:pPr>
              <w:jc w:val="right"/>
            </w:pPr>
            <w:r>
              <w:rPr>
                <w:color w:val="000000"/>
                <w:sz w:val="24"/>
                <w:szCs w:val="24"/>
              </w:rPr>
              <w:t>540,000</w:t>
            </w:r>
          </w:p>
        </w:tc>
        <w:tc>
          <w:tcPr>
            <w:tcW w:w="1924" w:type="dxa"/>
            <w:vAlign w:val="center"/>
          </w:tcPr>
          <w:p w:rsidR="00442BAC" w:rsidRDefault="00E9024D">
            <w:pPr>
              <w:jc w:val="right"/>
            </w:pPr>
            <w:r>
              <w:rPr>
                <w:color w:val="000000"/>
                <w:sz w:val="24"/>
                <w:szCs w:val="24"/>
              </w:rPr>
              <w:t>10,243,800.00</w:t>
            </w:r>
          </w:p>
        </w:tc>
        <w:tc>
          <w:tcPr>
            <w:tcW w:w="1644" w:type="dxa"/>
            <w:vAlign w:val="center"/>
          </w:tcPr>
          <w:p w:rsidR="00442BAC" w:rsidRDefault="00E9024D">
            <w:pPr>
              <w:jc w:val="right"/>
            </w:pPr>
            <w:r>
              <w:rPr>
                <w:color w:val="000000"/>
                <w:sz w:val="24"/>
                <w:szCs w:val="24"/>
              </w:rPr>
              <w:t>2.91</w:t>
            </w:r>
          </w:p>
        </w:tc>
      </w:tr>
      <w:tr w:rsidR="00442BAC">
        <w:trPr>
          <w:jc w:val="center"/>
        </w:trPr>
        <w:tc>
          <w:tcPr>
            <w:tcW w:w="855" w:type="dxa"/>
            <w:vAlign w:val="center"/>
          </w:tcPr>
          <w:p w:rsidR="00442BAC" w:rsidRDefault="00E9024D">
            <w:pPr>
              <w:jc w:val="center"/>
            </w:pPr>
            <w:r>
              <w:rPr>
                <w:color w:val="000000"/>
                <w:sz w:val="24"/>
                <w:szCs w:val="24"/>
              </w:rPr>
              <w:t>8</w:t>
            </w:r>
          </w:p>
        </w:tc>
        <w:tc>
          <w:tcPr>
            <w:tcW w:w="1334" w:type="dxa"/>
            <w:vAlign w:val="center"/>
          </w:tcPr>
          <w:p w:rsidR="00442BAC" w:rsidRDefault="00E9024D">
            <w:pPr>
              <w:jc w:val="center"/>
            </w:pPr>
            <w:r>
              <w:rPr>
                <w:color w:val="000000"/>
                <w:sz w:val="24"/>
                <w:szCs w:val="24"/>
              </w:rPr>
              <w:t>000768</w:t>
            </w:r>
          </w:p>
        </w:tc>
        <w:tc>
          <w:tcPr>
            <w:tcW w:w="1777" w:type="dxa"/>
            <w:vAlign w:val="center"/>
          </w:tcPr>
          <w:p w:rsidR="00442BAC" w:rsidRDefault="00E9024D">
            <w:pPr>
              <w:jc w:val="center"/>
            </w:pPr>
            <w:r>
              <w:rPr>
                <w:color w:val="000000"/>
                <w:sz w:val="24"/>
                <w:szCs w:val="24"/>
              </w:rPr>
              <w:t>中航飞机</w:t>
            </w:r>
          </w:p>
        </w:tc>
        <w:tc>
          <w:tcPr>
            <w:tcW w:w="1334" w:type="dxa"/>
            <w:vAlign w:val="center"/>
          </w:tcPr>
          <w:p w:rsidR="00442BAC" w:rsidRDefault="00E9024D">
            <w:pPr>
              <w:jc w:val="right"/>
            </w:pPr>
            <w:r>
              <w:rPr>
                <w:color w:val="000000"/>
                <w:sz w:val="24"/>
                <w:szCs w:val="24"/>
              </w:rPr>
              <w:t>528,500</w:t>
            </w:r>
          </w:p>
        </w:tc>
        <w:tc>
          <w:tcPr>
            <w:tcW w:w="1924" w:type="dxa"/>
            <w:vAlign w:val="center"/>
          </w:tcPr>
          <w:p w:rsidR="00442BAC" w:rsidRDefault="00E9024D">
            <w:pPr>
              <w:jc w:val="right"/>
            </w:pPr>
            <w:r>
              <w:rPr>
                <w:color w:val="000000"/>
                <w:sz w:val="24"/>
                <w:szCs w:val="24"/>
              </w:rPr>
              <w:t>9,375,590.00</w:t>
            </w:r>
          </w:p>
        </w:tc>
        <w:tc>
          <w:tcPr>
            <w:tcW w:w="1644" w:type="dxa"/>
            <w:vAlign w:val="center"/>
          </w:tcPr>
          <w:p w:rsidR="00442BAC" w:rsidRDefault="00E9024D">
            <w:pPr>
              <w:jc w:val="right"/>
            </w:pPr>
            <w:r>
              <w:rPr>
                <w:color w:val="000000"/>
                <w:sz w:val="24"/>
                <w:szCs w:val="24"/>
              </w:rPr>
              <w:t>2.67</w:t>
            </w:r>
          </w:p>
        </w:tc>
      </w:tr>
      <w:tr w:rsidR="00442BAC">
        <w:trPr>
          <w:jc w:val="center"/>
        </w:trPr>
        <w:tc>
          <w:tcPr>
            <w:tcW w:w="855" w:type="dxa"/>
            <w:vAlign w:val="center"/>
          </w:tcPr>
          <w:p w:rsidR="00442BAC" w:rsidRDefault="00E9024D">
            <w:pPr>
              <w:jc w:val="center"/>
            </w:pPr>
            <w:r>
              <w:rPr>
                <w:color w:val="000000"/>
                <w:sz w:val="24"/>
                <w:szCs w:val="24"/>
              </w:rPr>
              <w:t>9</w:t>
            </w:r>
          </w:p>
        </w:tc>
        <w:tc>
          <w:tcPr>
            <w:tcW w:w="1334" w:type="dxa"/>
            <w:vAlign w:val="center"/>
          </w:tcPr>
          <w:p w:rsidR="00442BAC" w:rsidRDefault="00E9024D">
            <w:pPr>
              <w:jc w:val="center"/>
            </w:pPr>
            <w:r>
              <w:rPr>
                <w:color w:val="000000"/>
                <w:sz w:val="24"/>
                <w:szCs w:val="24"/>
              </w:rPr>
              <w:t>300413</w:t>
            </w:r>
          </w:p>
        </w:tc>
        <w:tc>
          <w:tcPr>
            <w:tcW w:w="1777" w:type="dxa"/>
            <w:vAlign w:val="center"/>
          </w:tcPr>
          <w:p w:rsidR="00442BAC" w:rsidRDefault="00E9024D">
            <w:pPr>
              <w:jc w:val="center"/>
            </w:pPr>
            <w:r>
              <w:rPr>
                <w:color w:val="000000"/>
                <w:sz w:val="24"/>
                <w:szCs w:val="24"/>
              </w:rPr>
              <w:t>芒果超媒</w:t>
            </w:r>
          </w:p>
        </w:tc>
        <w:tc>
          <w:tcPr>
            <w:tcW w:w="1334" w:type="dxa"/>
            <w:vAlign w:val="center"/>
          </w:tcPr>
          <w:p w:rsidR="00442BAC" w:rsidRDefault="00E9024D">
            <w:pPr>
              <w:jc w:val="right"/>
            </w:pPr>
            <w:r>
              <w:rPr>
                <w:color w:val="000000"/>
                <w:sz w:val="24"/>
                <w:szCs w:val="24"/>
              </w:rPr>
              <w:t>137,303</w:t>
            </w:r>
          </w:p>
        </w:tc>
        <w:tc>
          <w:tcPr>
            <w:tcW w:w="1924" w:type="dxa"/>
            <w:vAlign w:val="center"/>
          </w:tcPr>
          <w:p w:rsidR="00442BAC" w:rsidRDefault="00E9024D">
            <w:pPr>
              <w:jc w:val="right"/>
            </w:pPr>
            <w:r>
              <w:rPr>
                <w:color w:val="000000"/>
                <w:sz w:val="24"/>
                <w:szCs w:val="24"/>
              </w:rPr>
              <w:t>8,952,155.60</w:t>
            </w:r>
          </w:p>
        </w:tc>
        <w:tc>
          <w:tcPr>
            <w:tcW w:w="1644" w:type="dxa"/>
            <w:vAlign w:val="center"/>
          </w:tcPr>
          <w:p w:rsidR="00442BAC" w:rsidRDefault="00E9024D">
            <w:pPr>
              <w:jc w:val="right"/>
            </w:pPr>
            <w:r>
              <w:rPr>
                <w:color w:val="000000"/>
                <w:sz w:val="24"/>
                <w:szCs w:val="24"/>
              </w:rPr>
              <w:t>2.55</w:t>
            </w:r>
          </w:p>
        </w:tc>
      </w:tr>
      <w:tr w:rsidR="00442BAC">
        <w:trPr>
          <w:jc w:val="center"/>
        </w:trPr>
        <w:tc>
          <w:tcPr>
            <w:tcW w:w="855" w:type="dxa"/>
            <w:vAlign w:val="center"/>
          </w:tcPr>
          <w:p w:rsidR="00442BAC" w:rsidRDefault="00E9024D">
            <w:pPr>
              <w:jc w:val="center"/>
            </w:pPr>
            <w:r>
              <w:rPr>
                <w:color w:val="000000"/>
                <w:sz w:val="24"/>
                <w:szCs w:val="24"/>
              </w:rPr>
              <w:t>10</w:t>
            </w:r>
          </w:p>
        </w:tc>
        <w:tc>
          <w:tcPr>
            <w:tcW w:w="1334" w:type="dxa"/>
            <w:vAlign w:val="center"/>
          </w:tcPr>
          <w:p w:rsidR="00442BAC" w:rsidRDefault="00E9024D">
            <w:pPr>
              <w:jc w:val="center"/>
            </w:pPr>
            <w:r>
              <w:rPr>
                <w:color w:val="000000"/>
                <w:sz w:val="24"/>
                <w:szCs w:val="24"/>
              </w:rPr>
              <w:t>600216</w:t>
            </w:r>
          </w:p>
        </w:tc>
        <w:tc>
          <w:tcPr>
            <w:tcW w:w="1777" w:type="dxa"/>
            <w:vAlign w:val="center"/>
          </w:tcPr>
          <w:p w:rsidR="00442BAC" w:rsidRDefault="00E9024D">
            <w:pPr>
              <w:jc w:val="center"/>
            </w:pPr>
            <w:r>
              <w:rPr>
                <w:color w:val="000000"/>
                <w:sz w:val="24"/>
                <w:szCs w:val="24"/>
              </w:rPr>
              <w:t>浙江医药</w:t>
            </w:r>
          </w:p>
        </w:tc>
        <w:tc>
          <w:tcPr>
            <w:tcW w:w="1334" w:type="dxa"/>
            <w:vAlign w:val="center"/>
          </w:tcPr>
          <w:p w:rsidR="00442BAC" w:rsidRDefault="00E9024D">
            <w:pPr>
              <w:jc w:val="right"/>
            </w:pPr>
            <w:r>
              <w:rPr>
                <w:color w:val="000000"/>
                <w:sz w:val="24"/>
                <w:szCs w:val="24"/>
              </w:rPr>
              <w:t>458,000</w:t>
            </w:r>
          </w:p>
        </w:tc>
        <w:tc>
          <w:tcPr>
            <w:tcW w:w="1924" w:type="dxa"/>
            <w:vAlign w:val="center"/>
          </w:tcPr>
          <w:p w:rsidR="00442BAC" w:rsidRDefault="00E9024D">
            <w:pPr>
              <w:jc w:val="right"/>
            </w:pPr>
            <w:r>
              <w:rPr>
                <w:color w:val="000000"/>
                <w:sz w:val="24"/>
                <w:szCs w:val="24"/>
              </w:rPr>
              <w:t>8,821,080.00</w:t>
            </w:r>
          </w:p>
        </w:tc>
        <w:tc>
          <w:tcPr>
            <w:tcW w:w="1644" w:type="dxa"/>
            <w:vAlign w:val="center"/>
          </w:tcPr>
          <w:p w:rsidR="00442BAC" w:rsidRDefault="00E9024D">
            <w:pPr>
              <w:jc w:val="right"/>
            </w:pPr>
            <w:r>
              <w:rPr>
                <w:color w:val="000000"/>
                <w:sz w:val="24"/>
                <w:szCs w:val="24"/>
              </w:rPr>
              <w:t>2.51</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本基金本报告期末未持有债券。</w:t>
      </w: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本基金本报告期末未持有债券。</w:t>
      </w: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 w:type="dxa"/>
          <w:bottom w:w="-1" w:type="dxa"/>
        </w:tblCellMar>
        <w:tblLook w:val="0000" w:firstRow="0" w:lastRow="0" w:firstColumn="0" w:lastColumn="0" w:noHBand="0" w:noVBand="0"/>
      </w:tblPr>
      <w:tblGrid>
        <w:gridCol w:w="1478"/>
        <w:gridCol w:w="1479"/>
        <w:gridCol w:w="1479"/>
        <w:gridCol w:w="1479"/>
        <w:gridCol w:w="1480"/>
        <w:gridCol w:w="1473"/>
      </w:tblGrid>
      <w:tr w:rsidR="00275745" w:rsidRPr="00414345" w:rsidTr="00AB4DB6">
        <w:trPr>
          <w:trHeight w:val="105"/>
          <w:jc w:val="center"/>
        </w:trPr>
        <w:tc>
          <w:tcPr>
            <w:tcW w:w="1422" w:type="dxa"/>
            <w:vAlign w:val="center"/>
          </w:tcPr>
          <w:p w:rsidR="00275745" w:rsidRPr="00414345" w:rsidRDefault="00275745" w:rsidP="00C15CAC">
            <w:pPr>
              <w:pStyle w:val="Default"/>
              <w:spacing w:before="29" w:line="288" w:lineRule="auto"/>
              <w:jc w:val="center"/>
              <w:rPr>
                <w:rFonts w:ascii="Times New Roman" w:hAnsi="Times New Roman" w:cs="Times New Roman"/>
              </w:rPr>
            </w:pPr>
            <w:r w:rsidRPr="00414345">
              <w:rPr>
                <w:rFonts w:ascii="Times New Roman" w:hAnsi="Times New Roman" w:cs="Times New Roman"/>
              </w:rPr>
              <w:t>代码</w:t>
            </w:r>
          </w:p>
        </w:tc>
        <w:tc>
          <w:tcPr>
            <w:tcW w:w="1422" w:type="dxa"/>
            <w:vAlign w:val="center"/>
          </w:tcPr>
          <w:p w:rsidR="00275745" w:rsidRPr="00414345" w:rsidRDefault="00275745" w:rsidP="00C15CAC">
            <w:pPr>
              <w:pStyle w:val="Default"/>
              <w:spacing w:before="29" w:line="288" w:lineRule="auto"/>
              <w:jc w:val="center"/>
              <w:rPr>
                <w:rFonts w:ascii="Times New Roman" w:hAnsi="Times New Roman" w:cs="Times New Roman"/>
              </w:rPr>
            </w:pPr>
            <w:r w:rsidRPr="00414345">
              <w:rPr>
                <w:rFonts w:ascii="Times New Roman" w:hAnsi="Times New Roman" w:cs="Times New Roman"/>
              </w:rPr>
              <w:t>名称</w:t>
            </w:r>
          </w:p>
        </w:tc>
        <w:tc>
          <w:tcPr>
            <w:tcW w:w="1422" w:type="dxa"/>
            <w:vAlign w:val="center"/>
          </w:tcPr>
          <w:p w:rsidR="00275745" w:rsidRPr="00414345" w:rsidRDefault="00275745" w:rsidP="00C15CAC">
            <w:pPr>
              <w:pStyle w:val="Default"/>
              <w:spacing w:before="29" w:line="288" w:lineRule="auto"/>
              <w:jc w:val="center"/>
              <w:rPr>
                <w:rFonts w:ascii="Times New Roman" w:hAnsi="Times New Roman" w:cs="Times New Roman"/>
              </w:rPr>
            </w:pPr>
            <w:r w:rsidRPr="00414345">
              <w:rPr>
                <w:rFonts w:ascii="Times New Roman" w:hAnsi="Times New Roman" w:cs="Times New Roman"/>
              </w:rPr>
              <w:t>持仓量</w:t>
            </w:r>
          </w:p>
        </w:tc>
        <w:tc>
          <w:tcPr>
            <w:tcW w:w="1422" w:type="dxa"/>
            <w:vAlign w:val="center"/>
          </w:tcPr>
          <w:p w:rsidR="00275745" w:rsidRPr="00414345" w:rsidRDefault="00275745" w:rsidP="00C15CAC">
            <w:pPr>
              <w:pStyle w:val="Default"/>
              <w:spacing w:before="29" w:line="288" w:lineRule="auto"/>
              <w:jc w:val="center"/>
              <w:rPr>
                <w:rFonts w:ascii="Times New Roman" w:hAnsi="Times New Roman" w:cs="Times New Roman"/>
              </w:rPr>
            </w:pPr>
            <w:r w:rsidRPr="00414345">
              <w:rPr>
                <w:rFonts w:ascii="Times New Roman" w:hAnsi="Times New Roman" w:cs="Times New Roman"/>
              </w:rPr>
              <w:t>合约市值</w:t>
            </w:r>
            <w:r w:rsidR="00C87129" w:rsidRPr="00414345">
              <w:rPr>
                <w:rFonts w:ascii="Times New Roman" w:hAnsi="Times New Roman" w:cs="Times New Roman"/>
              </w:rPr>
              <w:t>(</w:t>
            </w:r>
            <w:r w:rsidR="00C87129" w:rsidRPr="00414345">
              <w:rPr>
                <w:rFonts w:ascii="Times New Roman" w:hAnsi="Times New Roman" w:cs="Times New Roman"/>
              </w:rPr>
              <w:t>元</w:t>
            </w:r>
            <w:r w:rsidR="00C87129" w:rsidRPr="00414345">
              <w:rPr>
                <w:rFonts w:ascii="Times New Roman" w:hAnsi="Times New Roman" w:cs="Times New Roman"/>
              </w:rPr>
              <w:t>)</w:t>
            </w:r>
          </w:p>
        </w:tc>
        <w:tc>
          <w:tcPr>
            <w:tcW w:w="1423" w:type="dxa"/>
            <w:vAlign w:val="center"/>
          </w:tcPr>
          <w:p w:rsidR="00275745" w:rsidRPr="00414345" w:rsidRDefault="00275745" w:rsidP="00C15CAC">
            <w:pPr>
              <w:pStyle w:val="Default"/>
              <w:spacing w:before="29" w:line="288" w:lineRule="auto"/>
              <w:jc w:val="center"/>
              <w:rPr>
                <w:rFonts w:ascii="Times New Roman" w:hAnsi="Times New Roman" w:cs="Times New Roman"/>
              </w:rPr>
            </w:pPr>
            <w:r w:rsidRPr="00414345">
              <w:rPr>
                <w:rFonts w:ascii="Times New Roman" w:hAnsi="Times New Roman" w:cs="Times New Roman"/>
              </w:rPr>
              <w:t>公允价值变动</w:t>
            </w:r>
            <w:r w:rsidR="00C87129" w:rsidRPr="00414345">
              <w:rPr>
                <w:rFonts w:ascii="Times New Roman" w:hAnsi="Times New Roman" w:cs="Times New Roman"/>
              </w:rPr>
              <w:t>(</w:t>
            </w:r>
            <w:r w:rsidR="00C87129" w:rsidRPr="00414345">
              <w:rPr>
                <w:rFonts w:ascii="Times New Roman" w:hAnsi="Times New Roman" w:cs="Times New Roman"/>
              </w:rPr>
              <w:t>元</w:t>
            </w:r>
            <w:r w:rsidR="00C87129" w:rsidRPr="00414345">
              <w:rPr>
                <w:rFonts w:ascii="Times New Roman" w:hAnsi="Times New Roman" w:cs="Times New Roman"/>
              </w:rPr>
              <w:t>)</w:t>
            </w:r>
          </w:p>
        </w:tc>
        <w:tc>
          <w:tcPr>
            <w:tcW w:w="1416" w:type="dxa"/>
            <w:vAlign w:val="center"/>
          </w:tcPr>
          <w:p w:rsidR="00275745" w:rsidRPr="00414345" w:rsidRDefault="00275745" w:rsidP="00C15CAC">
            <w:pPr>
              <w:pStyle w:val="Default"/>
              <w:spacing w:before="29" w:line="288" w:lineRule="auto"/>
              <w:jc w:val="center"/>
              <w:rPr>
                <w:rFonts w:ascii="Times New Roman" w:hAnsi="Times New Roman" w:cs="Times New Roman"/>
                <w:color w:val="auto"/>
              </w:rPr>
            </w:pPr>
            <w:r w:rsidRPr="00414345">
              <w:rPr>
                <w:rFonts w:ascii="Times New Roman" w:hAnsi="Times New Roman" w:cs="Times New Roman"/>
                <w:color w:val="auto"/>
              </w:rPr>
              <w:t>风险说明</w:t>
            </w:r>
          </w:p>
        </w:tc>
      </w:tr>
      <w:tr w:rsidR="00E9024D" w:rsidRPr="00414345" w:rsidTr="00AB4DB6">
        <w:trPr>
          <w:trHeight w:val="105"/>
          <w:jc w:val="center"/>
        </w:trPr>
        <w:tc>
          <w:tcPr>
            <w:tcW w:w="1422" w:type="dxa"/>
            <w:vAlign w:val="center"/>
          </w:tcPr>
          <w:p w:rsidR="00E9024D" w:rsidRPr="00414345" w:rsidRDefault="00E9024D" w:rsidP="00C15CAC">
            <w:pPr>
              <w:pStyle w:val="Default"/>
              <w:spacing w:before="29" w:line="288" w:lineRule="auto"/>
              <w:jc w:val="center"/>
              <w:rPr>
                <w:rFonts w:ascii="Times New Roman" w:hAnsi="Times New Roman" w:cs="Times New Roman"/>
              </w:rPr>
            </w:pPr>
            <w:r>
              <w:rPr>
                <w:rFonts w:ascii="Times New Roman" w:hAnsi="Times New Roman" w:cs="Times New Roman" w:hint="eastAsia"/>
              </w:rPr>
              <w:t>-</w:t>
            </w:r>
          </w:p>
        </w:tc>
        <w:tc>
          <w:tcPr>
            <w:tcW w:w="1422" w:type="dxa"/>
            <w:vAlign w:val="center"/>
          </w:tcPr>
          <w:p w:rsidR="00E9024D" w:rsidRPr="00414345" w:rsidRDefault="00E9024D" w:rsidP="00C15CAC">
            <w:pPr>
              <w:pStyle w:val="Default"/>
              <w:spacing w:before="29" w:line="288" w:lineRule="auto"/>
              <w:jc w:val="center"/>
              <w:rPr>
                <w:rFonts w:ascii="Times New Roman" w:hAnsi="Times New Roman" w:cs="Times New Roman"/>
              </w:rPr>
            </w:pPr>
            <w:r>
              <w:rPr>
                <w:rFonts w:ascii="Times New Roman" w:hAnsi="Times New Roman" w:cs="Times New Roman" w:hint="eastAsia"/>
              </w:rPr>
              <w:t>-</w:t>
            </w:r>
          </w:p>
        </w:tc>
        <w:tc>
          <w:tcPr>
            <w:tcW w:w="1422" w:type="dxa"/>
            <w:vAlign w:val="center"/>
          </w:tcPr>
          <w:p w:rsidR="00E9024D" w:rsidRPr="00414345" w:rsidRDefault="00E9024D" w:rsidP="00C15CAC">
            <w:pPr>
              <w:pStyle w:val="Default"/>
              <w:spacing w:before="29" w:line="288" w:lineRule="auto"/>
              <w:jc w:val="center"/>
              <w:rPr>
                <w:rFonts w:ascii="Times New Roman" w:hAnsi="Times New Roman" w:cs="Times New Roman"/>
              </w:rPr>
            </w:pPr>
            <w:r>
              <w:rPr>
                <w:rFonts w:ascii="Times New Roman" w:hAnsi="Times New Roman" w:cs="Times New Roman" w:hint="eastAsia"/>
              </w:rPr>
              <w:t>-</w:t>
            </w:r>
          </w:p>
        </w:tc>
        <w:tc>
          <w:tcPr>
            <w:tcW w:w="1422" w:type="dxa"/>
            <w:vAlign w:val="center"/>
          </w:tcPr>
          <w:p w:rsidR="00E9024D" w:rsidRPr="00414345" w:rsidRDefault="00E9024D" w:rsidP="00C15CAC">
            <w:pPr>
              <w:pStyle w:val="Default"/>
              <w:spacing w:before="29" w:line="288" w:lineRule="auto"/>
              <w:jc w:val="center"/>
              <w:rPr>
                <w:rFonts w:ascii="Times New Roman" w:hAnsi="Times New Roman" w:cs="Times New Roman"/>
              </w:rPr>
            </w:pPr>
            <w:r>
              <w:rPr>
                <w:rFonts w:ascii="Times New Roman" w:hAnsi="Times New Roman" w:cs="Times New Roman" w:hint="eastAsia"/>
              </w:rPr>
              <w:t>-</w:t>
            </w:r>
          </w:p>
        </w:tc>
        <w:tc>
          <w:tcPr>
            <w:tcW w:w="1423" w:type="dxa"/>
            <w:vAlign w:val="center"/>
          </w:tcPr>
          <w:p w:rsidR="00E9024D" w:rsidRPr="00414345" w:rsidRDefault="00E9024D" w:rsidP="00C15CAC">
            <w:pPr>
              <w:pStyle w:val="Default"/>
              <w:spacing w:before="29" w:line="288" w:lineRule="auto"/>
              <w:jc w:val="center"/>
              <w:rPr>
                <w:rFonts w:ascii="Times New Roman" w:hAnsi="Times New Roman" w:cs="Times New Roman"/>
              </w:rPr>
            </w:pPr>
            <w:r>
              <w:rPr>
                <w:rFonts w:ascii="Times New Roman" w:hAnsi="Times New Roman" w:cs="Times New Roman" w:hint="eastAsia"/>
              </w:rPr>
              <w:t>-</w:t>
            </w:r>
          </w:p>
        </w:tc>
        <w:tc>
          <w:tcPr>
            <w:tcW w:w="1416" w:type="dxa"/>
            <w:vAlign w:val="center"/>
          </w:tcPr>
          <w:p w:rsidR="00E9024D" w:rsidRPr="00414345" w:rsidRDefault="00E9024D" w:rsidP="00C15CAC">
            <w:pPr>
              <w:pStyle w:val="Default"/>
              <w:spacing w:before="29" w:line="288" w:lineRule="auto"/>
              <w:jc w:val="center"/>
              <w:rPr>
                <w:rFonts w:ascii="Times New Roman" w:hAnsi="Times New Roman" w:cs="Times New Roman"/>
                <w:color w:val="auto"/>
              </w:rPr>
            </w:pPr>
            <w:r>
              <w:rPr>
                <w:rFonts w:ascii="Times New Roman" w:hAnsi="Times New Roman" w:cs="Times New Roman" w:hint="eastAsia"/>
                <w:color w:val="auto"/>
              </w:rPr>
              <w:t>-</w:t>
            </w:r>
          </w:p>
        </w:tc>
      </w:tr>
      <w:tr w:rsidR="00275745" w:rsidRPr="00414345" w:rsidTr="00AB4DB6">
        <w:trPr>
          <w:trHeight w:val="105"/>
          <w:jc w:val="center"/>
        </w:trPr>
        <w:tc>
          <w:tcPr>
            <w:tcW w:w="7111" w:type="dxa"/>
            <w:gridSpan w:val="5"/>
            <w:vAlign w:val="center"/>
          </w:tcPr>
          <w:p w:rsidR="00275745" w:rsidRPr="00414345" w:rsidRDefault="00275745" w:rsidP="00C15CAC">
            <w:pPr>
              <w:pStyle w:val="Default"/>
              <w:spacing w:before="29" w:line="288" w:lineRule="auto"/>
              <w:rPr>
                <w:rFonts w:ascii="Times New Roman" w:hAnsi="Times New Roman" w:cs="Times New Roman"/>
              </w:rPr>
            </w:pPr>
            <w:r w:rsidRPr="00414345">
              <w:rPr>
                <w:rFonts w:ascii="Times New Roman" w:hAnsi="Times New Roman" w:cs="Times New Roman"/>
              </w:rPr>
              <w:t>公允价值变动总额合计</w:t>
            </w:r>
            <w:r w:rsidR="00C87129" w:rsidRPr="00414345">
              <w:rPr>
                <w:rFonts w:ascii="Times New Roman" w:hAnsi="Times New Roman" w:cs="Times New Roman"/>
              </w:rPr>
              <w:t>(</w:t>
            </w:r>
            <w:r w:rsidR="00C87129" w:rsidRPr="00414345">
              <w:rPr>
                <w:rFonts w:ascii="Times New Roman" w:hAnsi="Times New Roman" w:cs="Times New Roman"/>
              </w:rPr>
              <w:t>元</w:t>
            </w:r>
            <w:r w:rsidR="00C87129" w:rsidRPr="00414345">
              <w:rPr>
                <w:rFonts w:ascii="Times New Roman" w:hAnsi="Times New Roman" w:cs="Times New Roman"/>
              </w:rPr>
              <w:t>)</w:t>
            </w:r>
          </w:p>
        </w:tc>
        <w:tc>
          <w:tcPr>
            <w:tcW w:w="1416" w:type="dxa"/>
            <w:vAlign w:val="center"/>
          </w:tcPr>
          <w:p w:rsidR="00275745" w:rsidRPr="00414345" w:rsidRDefault="00275745" w:rsidP="00C15CAC">
            <w:pPr>
              <w:pStyle w:val="Default"/>
              <w:spacing w:before="29" w:line="288" w:lineRule="auto"/>
              <w:jc w:val="right"/>
              <w:rPr>
                <w:rFonts w:ascii="Times New Roman" w:hAnsi="Times New Roman" w:cs="Times New Roman"/>
                <w:color w:val="auto"/>
              </w:rPr>
            </w:pPr>
            <w:r w:rsidRPr="00414345">
              <w:rPr>
                <w:rFonts w:ascii="Times New Roman" w:hAnsi="Times New Roman" w:cs="Times New Roman"/>
                <w:color w:val="auto"/>
              </w:rPr>
              <w:t>-</w:t>
            </w:r>
          </w:p>
        </w:tc>
      </w:tr>
      <w:tr w:rsidR="00275745" w:rsidRPr="00414345" w:rsidTr="00AB4DB6">
        <w:trPr>
          <w:trHeight w:val="105"/>
          <w:jc w:val="center"/>
        </w:trPr>
        <w:tc>
          <w:tcPr>
            <w:tcW w:w="7111" w:type="dxa"/>
            <w:gridSpan w:val="5"/>
            <w:vAlign w:val="center"/>
          </w:tcPr>
          <w:p w:rsidR="00275745" w:rsidRPr="00414345" w:rsidRDefault="00275745" w:rsidP="00C15CAC">
            <w:pPr>
              <w:pStyle w:val="Default"/>
              <w:spacing w:before="29" w:line="288" w:lineRule="auto"/>
              <w:rPr>
                <w:rFonts w:ascii="Times New Roman" w:hAnsi="Times New Roman" w:cs="Times New Roman"/>
                <w:color w:val="auto"/>
              </w:rPr>
            </w:pPr>
            <w:r w:rsidRPr="00414345">
              <w:rPr>
                <w:rFonts w:ascii="Times New Roman" w:hAnsi="Times New Roman" w:cs="Times New Roman"/>
                <w:color w:val="auto"/>
              </w:rPr>
              <w:t>股指期货投资本期收益</w:t>
            </w:r>
            <w:r w:rsidR="00C87129" w:rsidRPr="00414345">
              <w:rPr>
                <w:rFonts w:ascii="Times New Roman" w:hAnsi="Times New Roman" w:cs="Times New Roman"/>
              </w:rPr>
              <w:t>(</w:t>
            </w:r>
            <w:r w:rsidR="00C87129" w:rsidRPr="00414345">
              <w:rPr>
                <w:rFonts w:ascii="Times New Roman" w:hAnsi="Times New Roman" w:cs="Times New Roman"/>
              </w:rPr>
              <w:t>元</w:t>
            </w:r>
            <w:r w:rsidR="00C87129" w:rsidRPr="00414345">
              <w:rPr>
                <w:rFonts w:ascii="Times New Roman" w:hAnsi="Times New Roman" w:cs="Times New Roman"/>
              </w:rPr>
              <w:t>)</w:t>
            </w:r>
          </w:p>
        </w:tc>
        <w:tc>
          <w:tcPr>
            <w:tcW w:w="1416" w:type="dxa"/>
            <w:vAlign w:val="center"/>
          </w:tcPr>
          <w:p w:rsidR="00275745" w:rsidRPr="00414345" w:rsidRDefault="00275745" w:rsidP="00C15CAC">
            <w:pPr>
              <w:pStyle w:val="Default"/>
              <w:spacing w:before="29" w:line="288" w:lineRule="auto"/>
              <w:jc w:val="right"/>
              <w:rPr>
                <w:rFonts w:ascii="Times New Roman" w:hAnsi="Times New Roman" w:cs="Times New Roman"/>
                <w:color w:val="auto"/>
              </w:rPr>
            </w:pPr>
            <w:r w:rsidRPr="00414345">
              <w:rPr>
                <w:rFonts w:ascii="Times New Roman" w:hAnsi="Times New Roman" w:cs="Times New Roman"/>
                <w:color w:val="auto"/>
              </w:rPr>
              <w:t>-915,980.00</w:t>
            </w:r>
          </w:p>
        </w:tc>
      </w:tr>
      <w:tr w:rsidR="00275745" w:rsidRPr="00414345" w:rsidTr="00AB4DB6">
        <w:trPr>
          <w:trHeight w:val="105"/>
          <w:jc w:val="center"/>
        </w:trPr>
        <w:tc>
          <w:tcPr>
            <w:tcW w:w="7111" w:type="dxa"/>
            <w:gridSpan w:val="5"/>
            <w:vAlign w:val="center"/>
          </w:tcPr>
          <w:p w:rsidR="00275745" w:rsidRPr="00414345" w:rsidRDefault="00275745" w:rsidP="00C15CAC">
            <w:pPr>
              <w:pStyle w:val="Default"/>
              <w:spacing w:before="29" w:line="288" w:lineRule="auto"/>
              <w:rPr>
                <w:rFonts w:ascii="Times New Roman" w:hAnsi="Times New Roman" w:cs="Times New Roman"/>
                <w:color w:val="auto"/>
              </w:rPr>
            </w:pPr>
            <w:r w:rsidRPr="00414345">
              <w:rPr>
                <w:rFonts w:ascii="Times New Roman" w:hAnsi="Times New Roman" w:cs="Times New Roman"/>
                <w:color w:val="auto"/>
              </w:rPr>
              <w:t>股指期货投资本期公允价值变动</w:t>
            </w:r>
            <w:r w:rsidR="00C87129" w:rsidRPr="00414345">
              <w:rPr>
                <w:rFonts w:ascii="Times New Roman" w:hAnsi="Times New Roman" w:cs="Times New Roman"/>
              </w:rPr>
              <w:t>(</w:t>
            </w:r>
            <w:r w:rsidR="00C87129" w:rsidRPr="00414345">
              <w:rPr>
                <w:rFonts w:ascii="Times New Roman" w:hAnsi="Times New Roman" w:cs="Times New Roman"/>
              </w:rPr>
              <w:t>元</w:t>
            </w:r>
            <w:r w:rsidR="00C87129" w:rsidRPr="00414345">
              <w:rPr>
                <w:rFonts w:ascii="Times New Roman" w:hAnsi="Times New Roman" w:cs="Times New Roman"/>
              </w:rPr>
              <w:t>)</w:t>
            </w:r>
          </w:p>
        </w:tc>
        <w:tc>
          <w:tcPr>
            <w:tcW w:w="1416" w:type="dxa"/>
            <w:vAlign w:val="center"/>
          </w:tcPr>
          <w:p w:rsidR="00275745" w:rsidRPr="00414345" w:rsidRDefault="00275745" w:rsidP="00C15CAC">
            <w:pPr>
              <w:pStyle w:val="Default"/>
              <w:spacing w:before="29" w:line="288" w:lineRule="auto"/>
              <w:jc w:val="right"/>
              <w:rPr>
                <w:rFonts w:ascii="Times New Roman" w:hAnsi="Times New Roman" w:cs="Times New Roman"/>
                <w:color w:val="auto"/>
              </w:rPr>
            </w:pPr>
            <w:r w:rsidRPr="00414345">
              <w:rPr>
                <w:rFonts w:ascii="Times New Roman" w:hAnsi="Times New Roman" w:cs="Times New Roman"/>
                <w:color w:val="auto"/>
              </w:rPr>
              <w:t>-</w:t>
            </w:r>
          </w:p>
        </w:tc>
      </w:tr>
    </w:tbl>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注：本基金本报告期末未持有股指期货。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34FB5" w:rsidRDefault="00BE5388" w:rsidP="00E40D31">
      <w:pPr>
        <w:autoSpaceDE w:val="0"/>
        <w:autoSpaceDN w:val="0"/>
        <w:adjustRightInd w:val="0"/>
        <w:spacing w:before="29" w:line="288" w:lineRule="auto"/>
        <w:jc w:val="left"/>
        <w:rPr>
          <w:b/>
          <w:bCs/>
          <w:color w:val="000000"/>
          <w:kern w:val="0"/>
          <w:sz w:val="24"/>
          <w:szCs w:val="24"/>
        </w:rPr>
      </w:pPr>
      <w:r w:rsidRPr="00B34FB5">
        <w:rPr>
          <w:b/>
          <w:bCs/>
          <w:color w:val="000000"/>
          <w:kern w:val="0"/>
          <w:sz w:val="24"/>
          <w:szCs w:val="24"/>
        </w:rPr>
        <w:t>5.11.1</w:t>
      </w:r>
      <w:r w:rsidRPr="00AA3969">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AA3969" w:rsidRDefault="00BE5388" w:rsidP="00E40D31">
      <w:pPr>
        <w:autoSpaceDE w:val="0"/>
        <w:autoSpaceDN w:val="0"/>
        <w:adjustRightInd w:val="0"/>
        <w:spacing w:before="29" w:line="288" w:lineRule="auto"/>
        <w:jc w:val="left"/>
        <w:rPr>
          <w:bCs/>
          <w:color w:val="000000"/>
          <w:kern w:val="0"/>
          <w:sz w:val="24"/>
          <w:szCs w:val="24"/>
        </w:rPr>
      </w:pPr>
      <w:r w:rsidRPr="00B34FB5">
        <w:rPr>
          <w:b/>
          <w:bCs/>
          <w:color w:val="000000"/>
          <w:kern w:val="0"/>
          <w:sz w:val="24"/>
          <w:szCs w:val="24"/>
        </w:rPr>
        <w:t>5.11.2</w:t>
      </w:r>
      <w:r w:rsidRPr="00AA3969">
        <w:rPr>
          <w:bCs/>
          <w:color w:val="000000"/>
          <w:kern w:val="0"/>
          <w:sz w:val="24"/>
          <w:szCs w:val="24"/>
        </w:rPr>
        <w:t>本基金投资的前十名股票中，没有超出基金合同规定的备选股票库之外的股票。</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11.3</w:t>
      </w:r>
      <w:r w:rsidR="0035383E" w:rsidRPr="006B0D08">
        <w:rPr>
          <w:b/>
          <w:bCs/>
          <w:color w:val="000000"/>
          <w:kern w:val="0"/>
          <w:sz w:val="24"/>
          <w:szCs w:val="24"/>
        </w:rPr>
        <w:t>其他</w:t>
      </w:r>
      <w:r w:rsidR="004061AC" w:rsidRPr="006B0D08">
        <w:rPr>
          <w:b/>
          <w:bCs/>
          <w:color w:val="000000"/>
          <w:kern w:val="0"/>
          <w:sz w:val="24"/>
          <w:szCs w:val="24"/>
        </w:rPr>
        <w:t>资产构成</w:t>
      </w:r>
    </w:p>
    <w:p w:rsidR="00DD7A00" w:rsidRPr="00414345" w:rsidRDefault="004A0AA9" w:rsidP="00DD7A00">
      <w:pPr>
        <w:autoSpaceDE w:val="0"/>
        <w:autoSpaceDN w:val="0"/>
        <w:adjustRightInd w:val="0"/>
        <w:spacing w:before="29" w:line="288" w:lineRule="auto"/>
        <w:jc w:val="right"/>
        <w:rPr>
          <w:bCs/>
          <w:color w:val="000000"/>
          <w:kern w:val="0"/>
          <w:sz w:val="24"/>
          <w:szCs w:val="24"/>
        </w:rPr>
      </w:pPr>
      <w:r w:rsidRPr="004A0AA9">
        <w:rPr>
          <w:rFonts w:hint="eastAsia"/>
          <w:bCs/>
          <w:color w:val="000000"/>
          <w:kern w:val="0"/>
          <w:sz w:val="24"/>
          <w:szCs w:val="24"/>
        </w:rPr>
        <w:t>金额单位：人民币元</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115,441.67</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9,173.62</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65,901.10</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190,516.39</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11.4</w:t>
      </w:r>
      <w:r w:rsidR="004061AC" w:rsidRPr="006B0D08">
        <w:rPr>
          <w:b/>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11.5</w:t>
      </w:r>
      <w:r w:rsidR="004061AC" w:rsidRPr="006B0D08">
        <w:rPr>
          <w:b/>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11.6</w:t>
      </w:r>
      <w:r w:rsidR="001675CD" w:rsidRPr="006B0D08">
        <w:rPr>
          <w:b/>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Default="006B2FF6" w:rsidP="00C15CAC">
      <w:pPr>
        <w:spacing w:before="29" w:line="288" w:lineRule="auto"/>
        <w:ind w:firstLineChars="200" w:firstLine="480"/>
        <w:rPr>
          <w:color w:val="000000"/>
          <w:sz w:val="24"/>
          <w:szCs w:val="24"/>
        </w:rPr>
      </w:pPr>
    </w:p>
    <w:p w:rsidR="001F3E2A" w:rsidRDefault="001F3E2A" w:rsidP="00C15CAC">
      <w:pPr>
        <w:spacing w:before="29" w:line="288" w:lineRule="auto"/>
        <w:ind w:firstLineChars="200" w:firstLine="480"/>
        <w:rPr>
          <w:color w:val="000000"/>
          <w:sz w:val="24"/>
          <w:szCs w:val="24"/>
        </w:rPr>
      </w:pPr>
    </w:p>
    <w:p w:rsidR="001F3E2A" w:rsidRPr="00414345" w:rsidRDefault="001F3E2A" w:rsidP="00C15CAC">
      <w:pPr>
        <w:spacing w:before="29" w:line="288" w:lineRule="auto"/>
        <w:ind w:firstLineChars="200" w:firstLine="480"/>
        <w:rPr>
          <w:color w:val="000000"/>
          <w:sz w:val="24"/>
          <w:szCs w:val="24"/>
        </w:rPr>
      </w:pPr>
    </w:p>
    <w:p w:rsidR="004061AC" w:rsidRPr="005A3D62" w:rsidRDefault="004061AC" w:rsidP="0011537B">
      <w:pPr>
        <w:pStyle w:val="1"/>
        <w:spacing w:beforeLines="100" w:before="312" w:afterLines="100" w:after="312"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t>§</w:t>
      </w:r>
      <w:r w:rsidR="0072794E" w:rsidRPr="005A3D62">
        <w:rPr>
          <w:rFonts w:eastAsiaTheme="minorEastAsia"/>
          <w:color w:val="000000" w:themeColor="text1"/>
          <w:kern w:val="0"/>
          <w:sz w:val="24"/>
          <w:szCs w:val="24"/>
        </w:rPr>
        <w:t>6</w:t>
      </w:r>
      <w:r w:rsidRPr="005A3D62">
        <w:rPr>
          <w:rFonts w:eastAsiaTheme="minorEastAsia"/>
          <w:color w:val="000000" w:themeColor="text1"/>
          <w:kern w:val="0"/>
          <w:sz w:val="24"/>
          <w:szCs w:val="24"/>
        </w:rPr>
        <w:t xml:space="preserve">  </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323,944,171.94</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1,869,185.35</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43,809,545.07</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282,003,812.22</w:t>
            </w:r>
          </w:p>
        </w:tc>
      </w:tr>
    </w:tbl>
    <w:p w:rsidR="00442BAC" w:rsidRDefault="00E9024D">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11537B">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B22DEE" w:rsidRPr="00E02660"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8</w:t>
      </w:r>
      <w:r w:rsidR="00834E74">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442BAC" w:rsidRDefault="00E9024D">
      <w:pPr>
        <w:spacing w:before="29" w:line="288" w:lineRule="auto"/>
        <w:ind w:firstLineChars="200" w:firstLine="480"/>
        <w:rPr>
          <w:color w:val="000000"/>
          <w:sz w:val="24"/>
          <w:szCs w:val="24"/>
        </w:rPr>
      </w:pPr>
      <w:r>
        <w:rPr>
          <w:color w:val="000000"/>
          <w:sz w:val="24"/>
          <w:szCs w:val="24"/>
        </w:rPr>
        <w:t>1</w:t>
      </w:r>
      <w:r>
        <w:rPr>
          <w:color w:val="000000"/>
          <w:sz w:val="24"/>
          <w:szCs w:val="24"/>
        </w:rPr>
        <w:t>、中国证监会准予交银施罗德国企改革灵活配置混合型证券投资基金募集注册的文件；</w:t>
      </w:r>
      <w:r>
        <w:rPr>
          <w:color w:val="000000"/>
          <w:sz w:val="24"/>
          <w:szCs w:val="24"/>
        </w:rPr>
        <w:t xml:space="preserve"> </w:t>
      </w:r>
    </w:p>
    <w:p w:rsidR="00442BAC" w:rsidRDefault="00E9024D">
      <w:pPr>
        <w:spacing w:before="29" w:line="288" w:lineRule="auto"/>
        <w:ind w:firstLineChars="200" w:firstLine="480"/>
        <w:rPr>
          <w:color w:val="000000"/>
          <w:sz w:val="24"/>
          <w:szCs w:val="24"/>
        </w:rPr>
      </w:pPr>
      <w:r>
        <w:rPr>
          <w:color w:val="000000"/>
          <w:sz w:val="24"/>
          <w:szCs w:val="24"/>
        </w:rPr>
        <w:t>2</w:t>
      </w:r>
      <w:r>
        <w:rPr>
          <w:color w:val="000000"/>
          <w:sz w:val="24"/>
          <w:szCs w:val="24"/>
        </w:rPr>
        <w:t>、《交银施罗德国企改革灵活配置混合型证券投资基金基金合同》；</w:t>
      </w:r>
    </w:p>
    <w:p w:rsidR="00442BAC" w:rsidRDefault="00E9024D">
      <w:pPr>
        <w:spacing w:before="29" w:line="288" w:lineRule="auto"/>
        <w:ind w:firstLineChars="200" w:firstLine="480"/>
        <w:rPr>
          <w:color w:val="000000"/>
          <w:sz w:val="24"/>
          <w:szCs w:val="24"/>
        </w:rPr>
      </w:pPr>
      <w:r>
        <w:rPr>
          <w:color w:val="000000"/>
          <w:sz w:val="24"/>
          <w:szCs w:val="24"/>
        </w:rPr>
        <w:t>3</w:t>
      </w:r>
      <w:r>
        <w:rPr>
          <w:color w:val="000000"/>
          <w:sz w:val="24"/>
          <w:szCs w:val="24"/>
        </w:rPr>
        <w:t>、《交银施罗德国企改革灵活配置混合型证券投资基金招募说明书》；</w:t>
      </w:r>
      <w:r>
        <w:rPr>
          <w:color w:val="000000"/>
          <w:sz w:val="24"/>
          <w:szCs w:val="24"/>
        </w:rPr>
        <w:t xml:space="preserve"> </w:t>
      </w:r>
    </w:p>
    <w:p w:rsidR="00442BAC" w:rsidRDefault="00E9024D">
      <w:pPr>
        <w:spacing w:before="29" w:line="288" w:lineRule="auto"/>
        <w:ind w:firstLineChars="200" w:firstLine="480"/>
        <w:rPr>
          <w:color w:val="000000"/>
          <w:sz w:val="24"/>
          <w:szCs w:val="24"/>
        </w:rPr>
      </w:pPr>
      <w:r>
        <w:rPr>
          <w:color w:val="000000"/>
          <w:sz w:val="24"/>
          <w:szCs w:val="24"/>
        </w:rPr>
        <w:t>4</w:t>
      </w:r>
      <w:r>
        <w:rPr>
          <w:color w:val="000000"/>
          <w:sz w:val="24"/>
          <w:szCs w:val="24"/>
        </w:rPr>
        <w:t>、《交银施罗德国企改革灵活配置混合型证券投资基金托管协议》；</w:t>
      </w:r>
      <w:r>
        <w:rPr>
          <w:color w:val="000000"/>
          <w:sz w:val="24"/>
          <w:szCs w:val="24"/>
        </w:rPr>
        <w:t xml:space="preserve"> </w:t>
      </w:r>
    </w:p>
    <w:p w:rsidR="00442BAC" w:rsidRDefault="00E9024D">
      <w:pPr>
        <w:spacing w:before="29" w:line="288" w:lineRule="auto"/>
        <w:ind w:firstLineChars="200" w:firstLine="480"/>
        <w:rPr>
          <w:color w:val="000000"/>
          <w:sz w:val="24"/>
          <w:szCs w:val="24"/>
        </w:rPr>
      </w:pPr>
      <w:r>
        <w:rPr>
          <w:color w:val="000000"/>
          <w:sz w:val="24"/>
          <w:szCs w:val="24"/>
        </w:rPr>
        <w:t>5</w:t>
      </w:r>
      <w:r>
        <w:rPr>
          <w:color w:val="000000"/>
          <w:sz w:val="24"/>
          <w:szCs w:val="24"/>
        </w:rPr>
        <w:t>、基金管理人业务资格批件、营业执照；</w:t>
      </w:r>
    </w:p>
    <w:p w:rsidR="00442BAC" w:rsidRDefault="00E9024D">
      <w:pPr>
        <w:spacing w:before="29" w:line="288" w:lineRule="auto"/>
        <w:ind w:firstLineChars="200" w:firstLine="480"/>
        <w:rPr>
          <w:color w:val="000000"/>
          <w:sz w:val="24"/>
          <w:szCs w:val="24"/>
        </w:rPr>
      </w:pPr>
      <w:r>
        <w:rPr>
          <w:color w:val="000000"/>
          <w:sz w:val="24"/>
          <w:szCs w:val="24"/>
        </w:rPr>
        <w:t>6</w:t>
      </w:r>
      <w:r>
        <w:rPr>
          <w:color w:val="000000"/>
          <w:sz w:val="24"/>
          <w:szCs w:val="24"/>
        </w:rPr>
        <w:t>、基金托管人业务资格批件、营业执照；</w:t>
      </w:r>
    </w:p>
    <w:p w:rsidR="00442BAC" w:rsidRDefault="00E9024D">
      <w:pPr>
        <w:spacing w:before="29" w:line="288" w:lineRule="auto"/>
        <w:ind w:firstLineChars="200" w:firstLine="480"/>
        <w:rPr>
          <w:color w:val="000000"/>
          <w:sz w:val="24"/>
          <w:szCs w:val="24"/>
        </w:rPr>
      </w:pPr>
      <w:r>
        <w:rPr>
          <w:color w:val="000000"/>
          <w:sz w:val="24"/>
          <w:szCs w:val="24"/>
        </w:rPr>
        <w:t>7</w:t>
      </w:r>
      <w:r>
        <w:rPr>
          <w:color w:val="000000"/>
          <w:sz w:val="24"/>
          <w:szCs w:val="24"/>
        </w:rPr>
        <w:t>、关于申请募集注册交银施罗德国企改革灵活配置混合型证券投资基金的法律意见书；</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、报告期内交银施罗德国企改革灵活配置混合型证券投资基金在指定报刊上各项公告的原稿。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442BAC" w:rsidRDefault="00E9024D">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AA1" w:rsidRDefault="00C11AA1" w:rsidP="00876D65">
      <w:r>
        <w:separator/>
      </w:r>
    </w:p>
  </w:endnote>
  <w:endnote w:type="continuationSeparator" w:id="0">
    <w:p w:rsidR="00C11AA1" w:rsidRDefault="00C11AA1"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黑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96331F">
      <w:rPr>
        <w:noProof/>
        <w:kern w:val="0"/>
        <w:szCs w:val="21"/>
      </w:rPr>
      <w:t>3</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96331F">
      <w:rPr>
        <w:noProof/>
        <w:kern w:val="0"/>
        <w:szCs w:val="21"/>
      </w:rPr>
      <w:t>11</w:t>
    </w:r>
    <w:r w:rsidR="00381EE8">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AA1" w:rsidRDefault="00C11AA1" w:rsidP="00876D65">
      <w:r>
        <w:separator/>
      </w:r>
    </w:p>
  </w:footnote>
  <w:footnote w:type="continuationSeparator" w:id="0">
    <w:p w:rsidR="00C11AA1" w:rsidRDefault="00C11AA1"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DC456F" w:rsidRDefault="00DC456F" w:rsidP="00090A26">
    <w:pPr>
      <w:pStyle w:val="a9"/>
      <w:pBdr>
        <w:bottom w:val="single" w:sz="6" w:space="0" w:color="auto"/>
      </w:pBdr>
      <w:jc w:val="right"/>
      <w:rPr>
        <w:sz w:val="24"/>
        <w:szCs w:val="24"/>
      </w:rPr>
    </w:pPr>
    <w:r w:rsidRPr="003E676C">
      <w:rPr>
        <w:sz w:val="24"/>
        <w:szCs w:val="24"/>
      </w:rPr>
      <w:t>交银施罗德国企改革灵活配置混合型证券投资基金</w:t>
    </w:r>
    <w:r w:rsidRPr="003E676C">
      <w:rPr>
        <w:sz w:val="24"/>
        <w:szCs w:val="24"/>
      </w:rPr>
      <w:t>2020</w:t>
    </w:r>
    <w:r w:rsidRPr="003E676C">
      <w:rPr>
        <w:sz w:val="24"/>
        <w:szCs w:val="24"/>
      </w:rPr>
      <w:t>年第</w:t>
    </w:r>
    <w:r w:rsidRPr="003E676C">
      <w:rPr>
        <w:sz w:val="24"/>
        <w:szCs w:val="24"/>
      </w:rPr>
      <w:t>2</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5341"/>
    <w:rsid w:val="000160C5"/>
    <w:rsid w:val="000210E7"/>
    <w:rsid w:val="000243BD"/>
    <w:rsid w:val="00024F7F"/>
    <w:rsid w:val="00031EBB"/>
    <w:rsid w:val="00033B8D"/>
    <w:rsid w:val="0004308C"/>
    <w:rsid w:val="00043852"/>
    <w:rsid w:val="000450DD"/>
    <w:rsid w:val="000463DE"/>
    <w:rsid w:val="0006147E"/>
    <w:rsid w:val="000625ED"/>
    <w:rsid w:val="00064D40"/>
    <w:rsid w:val="00066A97"/>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138B"/>
    <w:rsid w:val="001830D7"/>
    <w:rsid w:val="00185A34"/>
    <w:rsid w:val="001934F6"/>
    <w:rsid w:val="00196E6C"/>
    <w:rsid w:val="001A280A"/>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5A47"/>
    <w:rsid w:val="003470E2"/>
    <w:rsid w:val="0035076C"/>
    <w:rsid w:val="00352719"/>
    <w:rsid w:val="0035383E"/>
    <w:rsid w:val="00355364"/>
    <w:rsid w:val="00364CCB"/>
    <w:rsid w:val="00365798"/>
    <w:rsid w:val="00372F16"/>
    <w:rsid w:val="00381EE8"/>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56"/>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6A8F"/>
    <w:rsid w:val="00427F58"/>
    <w:rsid w:val="00433805"/>
    <w:rsid w:val="00442BAC"/>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0AA9"/>
    <w:rsid w:val="004A11A7"/>
    <w:rsid w:val="004A459C"/>
    <w:rsid w:val="004A6731"/>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4A5"/>
    <w:rsid w:val="005B09FA"/>
    <w:rsid w:val="005B2E9C"/>
    <w:rsid w:val="005B3CC0"/>
    <w:rsid w:val="005B4C8F"/>
    <w:rsid w:val="005B4F93"/>
    <w:rsid w:val="005B73D2"/>
    <w:rsid w:val="005D2B36"/>
    <w:rsid w:val="005E475E"/>
    <w:rsid w:val="005F118D"/>
    <w:rsid w:val="005F1F22"/>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0D08"/>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6DD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31F"/>
    <w:rsid w:val="00963F40"/>
    <w:rsid w:val="009730B8"/>
    <w:rsid w:val="009734BB"/>
    <w:rsid w:val="0097424F"/>
    <w:rsid w:val="0098122D"/>
    <w:rsid w:val="00986596"/>
    <w:rsid w:val="00990685"/>
    <w:rsid w:val="009A0ABE"/>
    <w:rsid w:val="009A4E5D"/>
    <w:rsid w:val="009B2D4B"/>
    <w:rsid w:val="009C1009"/>
    <w:rsid w:val="009C5186"/>
    <w:rsid w:val="009C60F7"/>
    <w:rsid w:val="009D0952"/>
    <w:rsid w:val="009D1BD9"/>
    <w:rsid w:val="009E19A9"/>
    <w:rsid w:val="009E31DA"/>
    <w:rsid w:val="009E402C"/>
    <w:rsid w:val="009E7C6A"/>
    <w:rsid w:val="009F27F9"/>
    <w:rsid w:val="009F3659"/>
    <w:rsid w:val="009F4861"/>
    <w:rsid w:val="009F61BE"/>
    <w:rsid w:val="009F7643"/>
    <w:rsid w:val="009F7ED4"/>
    <w:rsid w:val="00A03AAC"/>
    <w:rsid w:val="00A047D1"/>
    <w:rsid w:val="00A21300"/>
    <w:rsid w:val="00A22AD0"/>
    <w:rsid w:val="00A22DA8"/>
    <w:rsid w:val="00A3030E"/>
    <w:rsid w:val="00A31574"/>
    <w:rsid w:val="00A31671"/>
    <w:rsid w:val="00A324F4"/>
    <w:rsid w:val="00A36930"/>
    <w:rsid w:val="00A43A7C"/>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969"/>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6FFB"/>
    <w:rsid w:val="00B11A78"/>
    <w:rsid w:val="00B11BE5"/>
    <w:rsid w:val="00B11F31"/>
    <w:rsid w:val="00B12B7D"/>
    <w:rsid w:val="00B16985"/>
    <w:rsid w:val="00B22DEE"/>
    <w:rsid w:val="00B27479"/>
    <w:rsid w:val="00B32AA7"/>
    <w:rsid w:val="00B34678"/>
    <w:rsid w:val="00B34FB5"/>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3A00"/>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1AA1"/>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D7A00"/>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9024D"/>
    <w:rsid w:val="00EA1826"/>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04FC3"/>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48E10-67C3-4B54-B5D2-2BF926D03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1831</TotalTime>
  <Pages>11</Pages>
  <Words>1033</Words>
  <Characters>5891</Characters>
  <Application>Microsoft Office Word</Application>
  <DocSecurity>0</DocSecurity>
  <Lines>49</Lines>
  <Paragraphs>13</Paragraphs>
  <ScaleCrop>false</ScaleCrop>
  <Company/>
  <LinksUpToDate>false</LinksUpToDate>
  <CharactersWithSpaces>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biz-cailiqun</cp:lastModifiedBy>
  <cp:revision>604</cp:revision>
  <dcterms:created xsi:type="dcterms:W3CDTF">2012-10-16T06:07:00Z</dcterms:created>
  <dcterms:modified xsi:type="dcterms:W3CDTF">2020-07-14T07:04:00Z</dcterms:modified>
</cp:coreProperties>
</file>