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交银施罗德多策略回报灵活配置混合型证券投资基金</w:t>
      </w:r>
      <w:bookmarkStart w:id="0" w:name="_GoBack"/>
      <w:bookmarkEnd w:id="0"/>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2020</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2020</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二〇二〇年七月二十一日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2020</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2020</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交银多策略回报灵活配置混合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519755</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2015</w:t>
            </w:r>
            <w:r w:rsidRPr="007F52FA">
              <w:rPr>
                <w:color w:val="000000"/>
                <w:kern w:val="0"/>
                <w:sz w:val="24"/>
              </w:rPr>
              <w:t>年</w:t>
            </w:r>
            <w:r w:rsidRPr="007F52FA">
              <w:rPr>
                <w:color w:val="000000"/>
                <w:kern w:val="0"/>
                <w:sz w:val="24"/>
              </w:rPr>
              <w:t>6</w:t>
            </w:r>
            <w:r w:rsidRPr="007F52FA">
              <w:rPr>
                <w:color w:val="000000"/>
                <w:kern w:val="0"/>
                <w:sz w:val="24"/>
              </w:rPr>
              <w:t>月</w:t>
            </w:r>
            <w:r w:rsidRPr="007F52FA">
              <w:rPr>
                <w:color w:val="000000"/>
                <w:kern w:val="0"/>
                <w:sz w:val="24"/>
              </w:rPr>
              <w:t>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918,227,894.49</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本基金通过灵活运用多种投资策略，充分挖掘和利用市场中潜在的投资机会，在控制下行风险的前提下，力争为投资者提供长期稳健的投资回报。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本基金是一只混合型基金，其风险和预期收益高于债券型基金和货币市场基金，低于股票型基金。属于承担较高风险、预期收益较高的证券投资基金品种。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交银多策略回报灵活配置混合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519755</w:t>
            </w:r>
          </w:p>
        </w:tc>
        <w:tc>
          <w:tcPr>
            <w:tcW w:w="3048" w:type="dxa"/>
            <w:vAlign w:val="center"/>
          </w:tcPr>
          <w:p w:rsidR="00C23B30" w:rsidRPr="000E4C40" w:rsidRDefault="00C23B30" w:rsidP="00A52A9E">
            <w:pPr>
              <w:spacing w:before="29" w:line="288" w:lineRule="auto"/>
              <w:jc w:val="left"/>
              <w:rPr>
                <w:sz w:val="24"/>
              </w:rPr>
            </w:pPr>
            <w:r w:rsidRPr="000E4C40">
              <w:rPr>
                <w:sz w:val="24"/>
              </w:rPr>
              <w:t>519761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798,664,173.25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119,563,721.24</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(2020</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-2020</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交银多策略回报灵活配置混合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14,230,619.85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2,210,801.44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9,555,107.58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1,977,816.97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0.0133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0.0163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1,072,486,371.32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160,873,549.97</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1.343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1.346</w:t>
            </w:r>
          </w:p>
        </w:tc>
      </w:tr>
    </w:tbl>
    <w:p w:rsidR="001F263A" w:rsidRDefault="004F7A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交银多策略回报灵活配置混合</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lastRenderedPageBreak/>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lastRenderedPageBreak/>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F263A">
        <w:trPr>
          <w:jc w:val="center"/>
        </w:trPr>
        <w:tc>
          <w:tcPr>
            <w:tcW w:w="1266" w:type="dxa"/>
            <w:vAlign w:val="center"/>
          </w:tcPr>
          <w:p w:rsidR="001F263A" w:rsidRDefault="004F7A8D">
            <w:pPr>
              <w:jc w:val="left"/>
            </w:pPr>
            <w:r>
              <w:rPr>
                <w:color w:val="000000"/>
                <w:sz w:val="24"/>
              </w:rPr>
              <w:t>过去三个月</w:t>
            </w:r>
          </w:p>
        </w:tc>
        <w:tc>
          <w:tcPr>
            <w:tcW w:w="1267" w:type="dxa"/>
            <w:vAlign w:val="center"/>
          </w:tcPr>
          <w:p w:rsidR="001F263A" w:rsidRDefault="004F7A8D">
            <w:pPr>
              <w:jc w:val="center"/>
            </w:pPr>
            <w:r>
              <w:rPr>
                <w:color w:val="000000"/>
                <w:sz w:val="24"/>
              </w:rPr>
              <w:t>1.36%</w:t>
            </w:r>
          </w:p>
        </w:tc>
        <w:tc>
          <w:tcPr>
            <w:tcW w:w="1267" w:type="dxa"/>
            <w:vAlign w:val="center"/>
          </w:tcPr>
          <w:p w:rsidR="001F263A" w:rsidRDefault="004F7A8D">
            <w:pPr>
              <w:jc w:val="center"/>
            </w:pPr>
            <w:r>
              <w:rPr>
                <w:color w:val="000000"/>
                <w:sz w:val="24"/>
              </w:rPr>
              <w:t>0.10%</w:t>
            </w:r>
          </w:p>
        </w:tc>
        <w:tc>
          <w:tcPr>
            <w:tcW w:w="1267" w:type="dxa"/>
            <w:vAlign w:val="center"/>
          </w:tcPr>
          <w:p w:rsidR="001F263A" w:rsidRDefault="004F7A8D">
            <w:pPr>
              <w:jc w:val="center"/>
            </w:pPr>
            <w:r>
              <w:rPr>
                <w:color w:val="000000"/>
                <w:sz w:val="24"/>
              </w:rPr>
              <w:t>5.80%</w:t>
            </w:r>
          </w:p>
        </w:tc>
        <w:tc>
          <w:tcPr>
            <w:tcW w:w="1267" w:type="dxa"/>
            <w:vAlign w:val="center"/>
          </w:tcPr>
          <w:p w:rsidR="001F263A" w:rsidRDefault="004F7A8D">
            <w:pPr>
              <w:jc w:val="center"/>
            </w:pPr>
            <w:r>
              <w:rPr>
                <w:color w:val="000000"/>
                <w:sz w:val="24"/>
              </w:rPr>
              <w:t>0.45%</w:t>
            </w:r>
          </w:p>
        </w:tc>
        <w:tc>
          <w:tcPr>
            <w:tcW w:w="1267" w:type="dxa"/>
            <w:vAlign w:val="center"/>
          </w:tcPr>
          <w:p w:rsidR="001F263A" w:rsidRDefault="004F7A8D">
            <w:pPr>
              <w:jc w:val="center"/>
            </w:pPr>
            <w:r>
              <w:rPr>
                <w:color w:val="000000"/>
                <w:sz w:val="24"/>
              </w:rPr>
              <w:t>-4.44%</w:t>
            </w:r>
          </w:p>
        </w:tc>
        <w:tc>
          <w:tcPr>
            <w:tcW w:w="1267" w:type="dxa"/>
            <w:vAlign w:val="center"/>
          </w:tcPr>
          <w:p w:rsidR="001F263A" w:rsidRDefault="004F7A8D">
            <w:pPr>
              <w:jc w:val="center"/>
            </w:pPr>
            <w:r>
              <w:rPr>
                <w:color w:val="000000"/>
                <w:sz w:val="24"/>
              </w:rPr>
              <w:t>-0.35%</w:t>
            </w:r>
          </w:p>
        </w:tc>
      </w:tr>
      <w:tr w:rsidR="001F263A">
        <w:trPr>
          <w:jc w:val="center"/>
        </w:trPr>
        <w:tc>
          <w:tcPr>
            <w:tcW w:w="1266" w:type="dxa"/>
            <w:vAlign w:val="center"/>
          </w:tcPr>
          <w:p w:rsidR="001F263A" w:rsidRDefault="004F7A8D">
            <w:pPr>
              <w:jc w:val="left"/>
            </w:pPr>
            <w:r>
              <w:rPr>
                <w:color w:val="000000"/>
                <w:sz w:val="24"/>
              </w:rPr>
              <w:t>过去六个月</w:t>
            </w:r>
          </w:p>
        </w:tc>
        <w:tc>
          <w:tcPr>
            <w:tcW w:w="1267" w:type="dxa"/>
            <w:vAlign w:val="center"/>
          </w:tcPr>
          <w:p w:rsidR="001F263A" w:rsidRDefault="004F7A8D">
            <w:pPr>
              <w:jc w:val="center"/>
            </w:pPr>
            <w:r>
              <w:rPr>
                <w:color w:val="000000"/>
                <w:sz w:val="24"/>
              </w:rPr>
              <w:t>2.60%</w:t>
            </w:r>
          </w:p>
        </w:tc>
        <w:tc>
          <w:tcPr>
            <w:tcW w:w="1267" w:type="dxa"/>
            <w:vAlign w:val="center"/>
          </w:tcPr>
          <w:p w:rsidR="001F263A" w:rsidRDefault="004F7A8D">
            <w:pPr>
              <w:jc w:val="center"/>
            </w:pPr>
            <w:r>
              <w:rPr>
                <w:color w:val="000000"/>
                <w:sz w:val="24"/>
              </w:rPr>
              <w:t>0.19%</w:t>
            </w:r>
          </w:p>
        </w:tc>
        <w:tc>
          <w:tcPr>
            <w:tcW w:w="1267" w:type="dxa"/>
            <w:vAlign w:val="center"/>
          </w:tcPr>
          <w:p w:rsidR="001F263A" w:rsidRDefault="004F7A8D">
            <w:pPr>
              <w:jc w:val="center"/>
            </w:pPr>
            <w:r>
              <w:rPr>
                <w:color w:val="000000"/>
                <w:sz w:val="24"/>
              </w:rPr>
              <w:t>1.59%</w:t>
            </w:r>
          </w:p>
        </w:tc>
        <w:tc>
          <w:tcPr>
            <w:tcW w:w="1267" w:type="dxa"/>
            <w:vAlign w:val="center"/>
          </w:tcPr>
          <w:p w:rsidR="001F263A" w:rsidRDefault="004F7A8D">
            <w:pPr>
              <w:jc w:val="center"/>
            </w:pPr>
            <w:r>
              <w:rPr>
                <w:color w:val="000000"/>
                <w:sz w:val="24"/>
              </w:rPr>
              <w:t>0.74%</w:t>
            </w:r>
          </w:p>
        </w:tc>
        <w:tc>
          <w:tcPr>
            <w:tcW w:w="1267" w:type="dxa"/>
            <w:vAlign w:val="center"/>
          </w:tcPr>
          <w:p w:rsidR="001F263A" w:rsidRDefault="004F7A8D">
            <w:pPr>
              <w:jc w:val="center"/>
            </w:pPr>
            <w:r>
              <w:rPr>
                <w:color w:val="000000"/>
                <w:sz w:val="24"/>
              </w:rPr>
              <w:t>1.01%</w:t>
            </w:r>
          </w:p>
        </w:tc>
        <w:tc>
          <w:tcPr>
            <w:tcW w:w="1267" w:type="dxa"/>
            <w:vAlign w:val="center"/>
          </w:tcPr>
          <w:p w:rsidR="001F263A" w:rsidRDefault="004F7A8D">
            <w:pPr>
              <w:jc w:val="center"/>
            </w:pPr>
            <w:r>
              <w:rPr>
                <w:color w:val="000000"/>
                <w:sz w:val="24"/>
              </w:rPr>
              <w:t>-0.55%</w:t>
            </w:r>
          </w:p>
        </w:tc>
      </w:tr>
      <w:tr w:rsidR="001F263A">
        <w:trPr>
          <w:jc w:val="center"/>
        </w:trPr>
        <w:tc>
          <w:tcPr>
            <w:tcW w:w="1266" w:type="dxa"/>
            <w:vAlign w:val="center"/>
          </w:tcPr>
          <w:p w:rsidR="001F263A" w:rsidRDefault="004F7A8D">
            <w:pPr>
              <w:jc w:val="left"/>
            </w:pPr>
            <w:r>
              <w:rPr>
                <w:color w:val="000000"/>
                <w:sz w:val="24"/>
              </w:rPr>
              <w:t>过去一年</w:t>
            </w:r>
          </w:p>
        </w:tc>
        <w:tc>
          <w:tcPr>
            <w:tcW w:w="1267" w:type="dxa"/>
            <w:vAlign w:val="center"/>
          </w:tcPr>
          <w:p w:rsidR="001F263A" w:rsidRDefault="004F7A8D">
            <w:pPr>
              <w:jc w:val="center"/>
            </w:pPr>
            <w:r>
              <w:rPr>
                <w:color w:val="000000"/>
                <w:sz w:val="24"/>
              </w:rPr>
              <w:t>9.58%</w:t>
            </w:r>
          </w:p>
        </w:tc>
        <w:tc>
          <w:tcPr>
            <w:tcW w:w="1267" w:type="dxa"/>
            <w:vAlign w:val="center"/>
          </w:tcPr>
          <w:p w:rsidR="001F263A" w:rsidRDefault="004F7A8D">
            <w:pPr>
              <w:jc w:val="center"/>
            </w:pPr>
            <w:r>
              <w:rPr>
                <w:color w:val="000000"/>
                <w:sz w:val="24"/>
              </w:rPr>
              <w:t>0.21%</w:t>
            </w:r>
          </w:p>
        </w:tc>
        <w:tc>
          <w:tcPr>
            <w:tcW w:w="1267" w:type="dxa"/>
            <w:vAlign w:val="center"/>
          </w:tcPr>
          <w:p w:rsidR="001F263A" w:rsidRDefault="004F7A8D">
            <w:pPr>
              <w:jc w:val="center"/>
            </w:pPr>
            <w:r>
              <w:rPr>
                <w:color w:val="000000"/>
                <w:sz w:val="24"/>
              </w:rPr>
              <w:t>5.81%</w:t>
            </w:r>
          </w:p>
        </w:tc>
        <w:tc>
          <w:tcPr>
            <w:tcW w:w="1267" w:type="dxa"/>
            <w:vAlign w:val="center"/>
          </w:tcPr>
          <w:p w:rsidR="001F263A" w:rsidRDefault="004F7A8D">
            <w:pPr>
              <w:jc w:val="center"/>
            </w:pPr>
            <w:r>
              <w:rPr>
                <w:color w:val="000000"/>
                <w:sz w:val="24"/>
              </w:rPr>
              <w:t>0.60%</w:t>
            </w:r>
          </w:p>
        </w:tc>
        <w:tc>
          <w:tcPr>
            <w:tcW w:w="1267" w:type="dxa"/>
            <w:vAlign w:val="center"/>
          </w:tcPr>
          <w:p w:rsidR="001F263A" w:rsidRDefault="004F7A8D">
            <w:pPr>
              <w:jc w:val="center"/>
            </w:pPr>
            <w:r>
              <w:rPr>
                <w:color w:val="000000"/>
                <w:sz w:val="24"/>
              </w:rPr>
              <w:t>3.77%</w:t>
            </w:r>
          </w:p>
        </w:tc>
        <w:tc>
          <w:tcPr>
            <w:tcW w:w="1267" w:type="dxa"/>
            <w:vAlign w:val="center"/>
          </w:tcPr>
          <w:p w:rsidR="001F263A" w:rsidRDefault="004F7A8D">
            <w:pPr>
              <w:jc w:val="center"/>
            </w:pPr>
            <w:r>
              <w:rPr>
                <w:color w:val="000000"/>
                <w:sz w:val="24"/>
              </w:rPr>
              <w:t>-0.39%</w:t>
            </w:r>
          </w:p>
        </w:tc>
      </w:tr>
      <w:tr w:rsidR="001F263A">
        <w:trPr>
          <w:jc w:val="center"/>
        </w:trPr>
        <w:tc>
          <w:tcPr>
            <w:tcW w:w="1266" w:type="dxa"/>
            <w:vAlign w:val="center"/>
          </w:tcPr>
          <w:p w:rsidR="001F263A" w:rsidRDefault="004F7A8D">
            <w:pPr>
              <w:jc w:val="left"/>
            </w:pPr>
            <w:r>
              <w:rPr>
                <w:color w:val="000000"/>
                <w:sz w:val="24"/>
              </w:rPr>
              <w:t>过去三年</w:t>
            </w:r>
          </w:p>
        </w:tc>
        <w:tc>
          <w:tcPr>
            <w:tcW w:w="1267" w:type="dxa"/>
            <w:vAlign w:val="center"/>
          </w:tcPr>
          <w:p w:rsidR="001F263A" w:rsidRDefault="004F7A8D">
            <w:pPr>
              <w:jc w:val="center"/>
            </w:pPr>
            <w:r>
              <w:rPr>
                <w:color w:val="000000"/>
                <w:sz w:val="24"/>
              </w:rPr>
              <w:t>24.93%</w:t>
            </w:r>
          </w:p>
        </w:tc>
        <w:tc>
          <w:tcPr>
            <w:tcW w:w="1267" w:type="dxa"/>
            <w:vAlign w:val="center"/>
          </w:tcPr>
          <w:p w:rsidR="001F263A" w:rsidRDefault="004F7A8D">
            <w:pPr>
              <w:jc w:val="center"/>
            </w:pPr>
            <w:r>
              <w:rPr>
                <w:color w:val="000000"/>
                <w:sz w:val="24"/>
              </w:rPr>
              <w:t>0.32%</w:t>
            </w:r>
          </w:p>
        </w:tc>
        <w:tc>
          <w:tcPr>
            <w:tcW w:w="1267" w:type="dxa"/>
            <w:vAlign w:val="center"/>
          </w:tcPr>
          <w:p w:rsidR="001F263A" w:rsidRDefault="004F7A8D">
            <w:pPr>
              <w:jc w:val="center"/>
            </w:pPr>
            <w:r>
              <w:rPr>
                <w:color w:val="000000"/>
                <w:sz w:val="24"/>
              </w:rPr>
              <w:t>11.17%</w:t>
            </w:r>
          </w:p>
        </w:tc>
        <w:tc>
          <w:tcPr>
            <w:tcW w:w="1267" w:type="dxa"/>
            <w:vAlign w:val="center"/>
          </w:tcPr>
          <w:p w:rsidR="001F263A" w:rsidRDefault="004F7A8D">
            <w:pPr>
              <w:jc w:val="center"/>
            </w:pPr>
            <w:r>
              <w:rPr>
                <w:color w:val="000000"/>
                <w:sz w:val="24"/>
              </w:rPr>
              <w:t>0.62%</w:t>
            </w:r>
          </w:p>
        </w:tc>
        <w:tc>
          <w:tcPr>
            <w:tcW w:w="1267" w:type="dxa"/>
            <w:vAlign w:val="center"/>
          </w:tcPr>
          <w:p w:rsidR="001F263A" w:rsidRDefault="004F7A8D">
            <w:pPr>
              <w:jc w:val="center"/>
            </w:pPr>
            <w:r>
              <w:rPr>
                <w:color w:val="000000"/>
                <w:sz w:val="24"/>
              </w:rPr>
              <w:t>13.76%</w:t>
            </w:r>
          </w:p>
        </w:tc>
        <w:tc>
          <w:tcPr>
            <w:tcW w:w="1267" w:type="dxa"/>
            <w:vAlign w:val="center"/>
          </w:tcPr>
          <w:p w:rsidR="001F263A" w:rsidRDefault="004F7A8D">
            <w:pPr>
              <w:jc w:val="center"/>
            </w:pPr>
            <w:r>
              <w:rPr>
                <w:color w:val="000000"/>
                <w:sz w:val="24"/>
              </w:rPr>
              <w:t>-0.30%</w:t>
            </w:r>
          </w:p>
        </w:tc>
      </w:tr>
      <w:tr w:rsidR="001F263A">
        <w:trPr>
          <w:jc w:val="center"/>
        </w:trPr>
        <w:tc>
          <w:tcPr>
            <w:tcW w:w="1266" w:type="dxa"/>
            <w:vAlign w:val="center"/>
          </w:tcPr>
          <w:p w:rsidR="001F263A" w:rsidRDefault="004F7A8D">
            <w:pPr>
              <w:jc w:val="left"/>
            </w:pPr>
            <w:r>
              <w:rPr>
                <w:color w:val="000000"/>
                <w:sz w:val="24"/>
              </w:rPr>
              <w:t>过去五年</w:t>
            </w:r>
          </w:p>
        </w:tc>
        <w:tc>
          <w:tcPr>
            <w:tcW w:w="1267" w:type="dxa"/>
            <w:vAlign w:val="center"/>
          </w:tcPr>
          <w:p w:rsidR="001F263A" w:rsidRDefault="004F7A8D">
            <w:pPr>
              <w:jc w:val="center"/>
            </w:pPr>
            <w:r>
              <w:rPr>
                <w:color w:val="000000"/>
                <w:sz w:val="24"/>
              </w:rPr>
              <w:t>39.73%</w:t>
            </w:r>
          </w:p>
        </w:tc>
        <w:tc>
          <w:tcPr>
            <w:tcW w:w="1267" w:type="dxa"/>
            <w:vAlign w:val="center"/>
          </w:tcPr>
          <w:p w:rsidR="001F263A" w:rsidRDefault="004F7A8D">
            <w:pPr>
              <w:jc w:val="center"/>
            </w:pPr>
            <w:r>
              <w:rPr>
                <w:color w:val="000000"/>
                <w:sz w:val="24"/>
              </w:rPr>
              <w:t>0.26%</w:t>
            </w:r>
          </w:p>
        </w:tc>
        <w:tc>
          <w:tcPr>
            <w:tcW w:w="1267" w:type="dxa"/>
            <w:vAlign w:val="center"/>
          </w:tcPr>
          <w:p w:rsidR="001F263A" w:rsidRDefault="004F7A8D">
            <w:pPr>
              <w:jc w:val="center"/>
            </w:pPr>
            <w:r>
              <w:rPr>
                <w:color w:val="000000"/>
                <w:sz w:val="24"/>
              </w:rPr>
              <w:t>2.03%</w:t>
            </w:r>
          </w:p>
        </w:tc>
        <w:tc>
          <w:tcPr>
            <w:tcW w:w="1267" w:type="dxa"/>
            <w:vAlign w:val="center"/>
          </w:tcPr>
          <w:p w:rsidR="001F263A" w:rsidRDefault="004F7A8D">
            <w:pPr>
              <w:jc w:val="center"/>
            </w:pPr>
            <w:r>
              <w:rPr>
                <w:color w:val="000000"/>
                <w:sz w:val="24"/>
              </w:rPr>
              <w:t>0.72%</w:t>
            </w:r>
          </w:p>
        </w:tc>
        <w:tc>
          <w:tcPr>
            <w:tcW w:w="1267" w:type="dxa"/>
            <w:vAlign w:val="center"/>
          </w:tcPr>
          <w:p w:rsidR="001F263A" w:rsidRDefault="004F7A8D">
            <w:pPr>
              <w:jc w:val="center"/>
            </w:pPr>
            <w:r>
              <w:rPr>
                <w:color w:val="000000"/>
                <w:sz w:val="24"/>
              </w:rPr>
              <w:t>37.70%</w:t>
            </w:r>
          </w:p>
        </w:tc>
        <w:tc>
          <w:tcPr>
            <w:tcW w:w="1267" w:type="dxa"/>
            <w:vAlign w:val="center"/>
          </w:tcPr>
          <w:p w:rsidR="001F263A" w:rsidRDefault="004F7A8D">
            <w:pPr>
              <w:jc w:val="center"/>
            </w:pPr>
            <w:r>
              <w:rPr>
                <w:color w:val="000000"/>
                <w:sz w:val="24"/>
              </w:rPr>
              <w:t>-0.46%</w:t>
            </w:r>
          </w:p>
        </w:tc>
      </w:tr>
      <w:tr w:rsidR="001F263A">
        <w:trPr>
          <w:jc w:val="center"/>
        </w:trPr>
        <w:tc>
          <w:tcPr>
            <w:tcW w:w="1266" w:type="dxa"/>
            <w:vAlign w:val="center"/>
          </w:tcPr>
          <w:p w:rsidR="001F263A" w:rsidRDefault="004F7A8D">
            <w:pPr>
              <w:jc w:val="left"/>
            </w:pPr>
            <w:r>
              <w:rPr>
                <w:color w:val="000000"/>
                <w:sz w:val="24"/>
              </w:rPr>
              <w:t>自基金合同生效起至今</w:t>
            </w:r>
          </w:p>
        </w:tc>
        <w:tc>
          <w:tcPr>
            <w:tcW w:w="1267" w:type="dxa"/>
            <w:vAlign w:val="center"/>
          </w:tcPr>
          <w:p w:rsidR="001F263A" w:rsidRDefault="004F7A8D">
            <w:pPr>
              <w:jc w:val="center"/>
            </w:pPr>
            <w:r>
              <w:rPr>
                <w:color w:val="000000"/>
                <w:sz w:val="24"/>
              </w:rPr>
              <w:t>39.17%</w:t>
            </w:r>
          </w:p>
        </w:tc>
        <w:tc>
          <w:tcPr>
            <w:tcW w:w="1267" w:type="dxa"/>
            <w:vAlign w:val="center"/>
          </w:tcPr>
          <w:p w:rsidR="001F263A" w:rsidRDefault="004F7A8D">
            <w:pPr>
              <w:jc w:val="center"/>
            </w:pPr>
            <w:r>
              <w:rPr>
                <w:color w:val="000000"/>
                <w:sz w:val="24"/>
              </w:rPr>
              <w:t>0.26%</w:t>
            </w:r>
          </w:p>
        </w:tc>
        <w:tc>
          <w:tcPr>
            <w:tcW w:w="1267" w:type="dxa"/>
            <w:vAlign w:val="center"/>
          </w:tcPr>
          <w:p w:rsidR="001F263A" w:rsidRDefault="004F7A8D">
            <w:pPr>
              <w:jc w:val="center"/>
            </w:pPr>
            <w:r>
              <w:rPr>
                <w:color w:val="000000"/>
                <w:sz w:val="24"/>
              </w:rPr>
              <w:t>-3.94%</w:t>
            </w:r>
          </w:p>
        </w:tc>
        <w:tc>
          <w:tcPr>
            <w:tcW w:w="1267" w:type="dxa"/>
            <w:vAlign w:val="center"/>
          </w:tcPr>
          <w:p w:rsidR="001F263A" w:rsidRDefault="004F7A8D">
            <w:pPr>
              <w:jc w:val="center"/>
            </w:pPr>
            <w:r>
              <w:rPr>
                <w:color w:val="000000"/>
                <w:sz w:val="24"/>
              </w:rPr>
              <w:t>0.75%</w:t>
            </w:r>
          </w:p>
        </w:tc>
        <w:tc>
          <w:tcPr>
            <w:tcW w:w="1267" w:type="dxa"/>
            <w:vAlign w:val="center"/>
          </w:tcPr>
          <w:p w:rsidR="001F263A" w:rsidRDefault="004F7A8D">
            <w:pPr>
              <w:jc w:val="center"/>
            </w:pPr>
            <w:r>
              <w:rPr>
                <w:color w:val="000000"/>
                <w:sz w:val="24"/>
              </w:rPr>
              <w:t>43.11%</w:t>
            </w:r>
          </w:p>
        </w:tc>
        <w:tc>
          <w:tcPr>
            <w:tcW w:w="1267" w:type="dxa"/>
            <w:vAlign w:val="center"/>
          </w:tcPr>
          <w:p w:rsidR="001F263A" w:rsidRDefault="004F7A8D">
            <w:pPr>
              <w:jc w:val="center"/>
            </w:pPr>
            <w:r>
              <w:rPr>
                <w:color w:val="000000"/>
                <w:sz w:val="24"/>
              </w:rPr>
              <w:t>-0.49%</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交银多策略回报灵活配置混合</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1F263A">
        <w:trPr>
          <w:jc w:val="center"/>
        </w:trPr>
        <w:tc>
          <w:tcPr>
            <w:tcW w:w="1266" w:type="dxa"/>
            <w:vAlign w:val="center"/>
          </w:tcPr>
          <w:p w:rsidR="001F263A" w:rsidRDefault="004F7A8D">
            <w:pPr>
              <w:jc w:val="left"/>
            </w:pPr>
            <w:r>
              <w:rPr>
                <w:color w:val="000000"/>
                <w:sz w:val="24"/>
              </w:rPr>
              <w:t>过去三个月</w:t>
            </w:r>
          </w:p>
        </w:tc>
        <w:tc>
          <w:tcPr>
            <w:tcW w:w="1267" w:type="dxa"/>
            <w:vAlign w:val="center"/>
          </w:tcPr>
          <w:p w:rsidR="001F263A" w:rsidRDefault="004F7A8D">
            <w:pPr>
              <w:jc w:val="center"/>
            </w:pPr>
            <w:r>
              <w:rPr>
                <w:color w:val="000000"/>
                <w:sz w:val="24"/>
              </w:rPr>
              <w:t>1.28%</w:t>
            </w:r>
          </w:p>
        </w:tc>
        <w:tc>
          <w:tcPr>
            <w:tcW w:w="1267" w:type="dxa"/>
            <w:vAlign w:val="center"/>
          </w:tcPr>
          <w:p w:rsidR="001F263A" w:rsidRDefault="004F7A8D">
            <w:pPr>
              <w:jc w:val="center"/>
            </w:pPr>
            <w:r>
              <w:rPr>
                <w:color w:val="000000"/>
                <w:sz w:val="24"/>
              </w:rPr>
              <w:t>0.11%</w:t>
            </w:r>
          </w:p>
        </w:tc>
        <w:tc>
          <w:tcPr>
            <w:tcW w:w="1267" w:type="dxa"/>
            <w:vAlign w:val="center"/>
          </w:tcPr>
          <w:p w:rsidR="001F263A" w:rsidRDefault="004F7A8D">
            <w:pPr>
              <w:jc w:val="center"/>
            </w:pPr>
            <w:r>
              <w:rPr>
                <w:color w:val="000000"/>
                <w:sz w:val="24"/>
              </w:rPr>
              <w:t>5.80%</w:t>
            </w:r>
          </w:p>
        </w:tc>
        <w:tc>
          <w:tcPr>
            <w:tcW w:w="1267" w:type="dxa"/>
            <w:vAlign w:val="center"/>
          </w:tcPr>
          <w:p w:rsidR="001F263A" w:rsidRDefault="004F7A8D">
            <w:pPr>
              <w:jc w:val="center"/>
            </w:pPr>
            <w:r>
              <w:rPr>
                <w:color w:val="000000"/>
                <w:sz w:val="24"/>
              </w:rPr>
              <w:t>0.45%</w:t>
            </w:r>
          </w:p>
        </w:tc>
        <w:tc>
          <w:tcPr>
            <w:tcW w:w="1267" w:type="dxa"/>
            <w:vAlign w:val="center"/>
          </w:tcPr>
          <w:p w:rsidR="001F263A" w:rsidRDefault="004F7A8D">
            <w:pPr>
              <w:jc w:val="center"/>
            </w:pPr>
            <w:r>
              <w:rPr>
                <w:color w:val="000000"/>
                <w:sz w:val="24"/>
              </w:rPr>
              <w:t>-4.52%</w:t>
            </w:r>
          </w:p>
        </w:tc>
        <w:tc>
          <w:tcPr>
            <w:tcW w:w="1267" w:type="dxa"/>
            <w:vAlign w:val="center"/>
          </w:tcPr>
          <w:p w:rsidR="001F263A" w:rsidRDefault="004F7A8D">
            <w:pPr>
              <w:jc w:val="center"/>
            </w:pPr>
            <w:r>
              <w:rPr>
                <w:color w:val="000000"/>
                <w:sz w:val="24"/>
              </w:rPr>
              <w:t>-0.34%</w:t>
            </w:r>
          </w:p>
        </w:tc>
      </w:tr>
      <w:tr w:rsidR="001F263A">
        <w:trPr>
          <w:jc w:val="center"/>
        </w:trPr>
        <w:tc>
          <w:tcPr>
            <w:tcW w:w="1266" w:type="dxa"/>
            <w:vAlign w:val="center"/>
          </w:tcPr>
          <w:p w:rsidR="001F263A" w:rsidRDefault="004F7A8D">
            <w:pPr>
              <w:jc w:val="left"/>
            </w:pPr>
            <w:r>
              <w:rPr>
                <w:color w:val="000000"/>
                <w:sz w:val="24"/>
              </w:rPr>
              <w:t>过去六个月</w:t>
            </w:r>
          </w:p>
        </w:tc>
        <w:tc>
          <w:tcPr>
            <w:tcW w:w="1267" w:type="dxa"/>
            <w:vAlign w:val="center"/>
          </w:tcPr>
          <w:p w:rsidR="001F263A" w:rsidRDefault="004F7A8D">
            <w:pPr>
              <w:jc w:val="center"/>
            </w:pPr>
            <w:r>
              <w:rPr>
                <w:color w:val="000000"/>
                <w:sz w:val="24"/>
              </w:rPr>
              <w:t>2.51%</w:t>
            </w:r>
          </w:p>
        </w:tc>
        <w:tc>
          <w:tcPr>
            <w:tcW w:w="1267" w:type="dxa"/>
            <w:vAlign w:val="center"/>
          </w:tcPr>
          <w:p w:rsidR="001F263A" w:rsidRDefault="004F7A8D">
            <w:pPr>
              <w:jc w:val="center"/>
            </w:pPr>
            <w:r>
              <w:rPr>
                <w:color w:val="000000"/>
                <w:sz w:val="24"/>
              </w:rPr>
              <w:t>0.19%</w:t>
            </w:r>
          </w:p>
        </w:tc>
        <w:tc>
          <w:tcPr>
            <w:tcW w:w="1267" w:type="dxa"/>
            <w:vAlign w:val="center"/>
          </w:tcPr>
          <w:p w:rsidR="001F263A" w:rsidRDefault="004F7A8D">
            <w:pPr>
              <w:jc w:val="center"/>
            </w:pPr>
            <w:r>
              <w:rPr>
                <w:color w:val="000000"/>
                <w:sz w:val="24"/>
              </w:rPr>
              <w:t>1.59%</w:t>
            </w:r>
          </w:p>
        </w:tc>
        <w:tc>
          <w:tcPr>
            <w:tcW w:w="1267" w:type="dxa"/>
            <w:vAlign w:val="center"/>
          </w:tcPr>
          <w:p w:rsidR="001F263A" w:rsidRDefault="004F7A8D">
            <w:pPr>
              <w:jc w:val="center"/>
            </w:pPr>
            <w:r>
              <w:rPr>
                <w:color w:val="000000"/>
                <w:sz w:val="24"/>
              </w:rPr>
              <w:t>0.74%</w:t>
            </w:r>
          </w:p>
        </w:tc>
        <w:tc>
          <w:tcPr>
            <w:tcW w:w="1267" w:type="dxa"/>
            <w:vAlign w:val="center"/>
          </w:tcPr>
          <w:p w:rsidR="001F263A" w:rsidRDefault="004F7A8D">
            <w:pPr>
              <w:jc w:val="center"/>
            </w:pPr>
            <w:r>
              <w:rPr>
                <w:color w:val="000000"/>
                <w:sz w:val="24"/>
              </w:rPr>
              <w:t>0.92%</w:t>
            </w:r>
          </w:p>
        </w:tc>
        <w:tc>
          <w:tcPr>
            <w:tcW w:w="1267" w:type="dxa"/>
            <w:vAlign w:val="center"/>
          </w:tcPr>
          <w:p w:rsidR="001F263A" w:rsidRDefault="004F7A8D">
            <w:pPr>
              <w:jc w:val="center"/>
            </w:pPr>
            <w:r>
              <w:rPr>
                <w:color w:val="000000"/>
                <w:sz w:val="24"/>
              </w:rPr>
              <w:t>-0.55%</w:t>
            </w:r>
          </w:p>
        </w:tc>
      </w:tr>
      <w:tr w:rsidR="001F263A">
        <w:trPr>
          <w:jc w:val="center"/>
        </w:trPr>
        <w:tc>
          <w:tcPr>
            <w:tcW w:w="1266" w:type="dxa"/>
            <w:vAlign w:val="center"/>
          </w:tcPr>
          <w:p w:rsidR="001F263A" w:rsidRDefault="004F7A8D">
            <w:pPr>
              <w:jc w:val="left"/>
            </w:pPr>
            <w:r>
              <w:rPr>
                <w:color w:val="000000"/>
                <w:sz w:val="24"/>
              </w:rPr>
              <w:t>过去一年</w:t>
            </w:r>
          </w:p>
        </w:tc>
        <w:tc>
          <w:tcPr>
            <w:tcW w:w="1267" w:type="dxa"/>
            <w:vAlign w:val="center"/>
          </w:tcPr>
          <w:p w:rsidR="001F263A" w:rsidRDefault="004F7A8D">
            <w:pPr>
              <w:jc w:val="center"/>
            </w:pPr>
            <w:r>
              <w:rPr>
                <w:color w:val="000000"/>
                <w:sz w:val="24"/>
              </w:rPr>
              <w:t>9.38%</w:t>
            </w:r>
          </w:p>
        </w:tc>
        <w:tc>
          <w:tcPr>
            <w:tcW w:w="1267" w:type="dxa"/>
            <w:vAlign w:val="center"/>
          </w:tcPr>
          <w:p w:rsidR="001F263A" w:rsidRDefault="004F7A8D">
            <w:pPr>
              <w:jc w:val="center"/>
            </w:pPr>
            <w:r>
              <w:rPr>
                <w:color w:val="000000"/>
                <w:sz w:val="24"/>
              </w:rPr>
              <w:t>0.21%</w:t>
            </w:r>
          </w:p>
        </w:tc>
        <w:tc>
          <w:tcPr>
            <w:tcW w:w="1267" w:type="dxa"/>
            <w:vAlign w:val="center"/>
          </w:tcPr>
          <w:p w:rsidR="001F263A" w:rsidRDefault="004F7A8D">
            <w:pPr>
              <w:jc w:val="center"/>
            </w:pPr>
            <w:r>
              <w:rPr>
                <w:color w:val="000000"/>
                <w:sz w:val="24"/>
              </w:rPr>
              <w:t>5.81%</w:t>
            </w:r>
          </w:p>
        </w:tc>
        <w:tc>
          <w:tcPr>
            <w:tcW w:w="1267" w:type="dxa"/>
            <w:vAlign w:val="center"/>
          </w:tcPr>
          <w:p w:rsidR="001F263A" w:rsidRDefault="004F7A8D">
            <w:pPr>
              <w:jc w:val="center"/>
            </w:pPr>
            <w:r>
              <w:rPr>
                <w:color w:val="000000"/>
                <w:sz w:val="24"/>
              </w:rPr>
              <w:t>0.60%</w:t>
            </w:r>
          </w:p>
        </w:tc>
        <w:tc>
          <w:tcPr>
            <w:tcW w:w="1267" w:type="dxa"/>
            <w:vAlign w:val="center"/>
          </w:tcPr>
          <w:p w:rsidR="001F263A" w:rsidRDefault="004F7A8D">
            <w:pPr>
              <w:jc w:val="center"/>
            </w:pPr>
            <w:r>
              <w:rPr>
                <w:color w:val="000000"/>
                <w:sz w:val="24"/>
              </w:rPr>
              <w:t>3.57%</w:t>
            </w:r>
          </w:p>
        </w:tc>
        <w:tc>
          <w:tcPr>
            <w:tcW w:w="1267" w:type="dxa"/>
            <w:vAlign w:val="center"/>
          </w:tcPr>
          <w:p w:rsidR="001F263A" w:rsidRDefault="004F7A8D">
            <w:pPr>
              <w:jc w:val="center"/>
            </w:pPr>
            <w:r>
              <w:rPr>
                <w:color w:val="000000"/>
                <w:sz w:val="24"/>
              </w:rPr>
              <w:t>-0.39%</w:t>
            </w:r>
          </w:p>
        </w:tc>
      </w:tr>
      <w:tr w:rsidR="001F263A">
        <w:trPr>
          <w:jc w:val="center"/>
        </w:trPr>
        <w:tc>
          <w:tcPr>
            <w:tcW w:w="1266" w:type="dxa"/>
            <w:vAlign w:val="center"/>
          </w:tcPr>
          <w:p w:rsidR="001F263A" w:rsidRDefault="004F7A8D">
            <w:pPr>
              <w:jc w:val="left"/>
            </w:pPr>
            <w:r>
              <w:rPr>
                <w:color w:val="000000"/>
                <w:sz w:val="24"/>
              </w:rPr>
              <w:t>过去三年</w:t>
            </w:r>
          </w:p>
        </w:tc>
        <w:tc>
          <w:tcPr>
            <w:tcW w:w="1267" w:type="dxa"/>
            <w:vAlign w:val="center"/>
          </w:tcPr>
          <w:p w:rsidR="001F263A" w:rsidRDefault="004F7A8D">
            <w:pPr>
              <w:jc w:val="center"/>
            </w:pPr>
            <w:r>
              <w:rPr>
                <w:color w:val="000000"/>
                <w:sz w:val="24"/>
              </w:rPr>
              <w:t>25.64%</w:t>
            </w:r>
          </w:p>
        </w:tc>
        <w:tc>
          <w:tcPr>
            <w:tcW w:w="1267" w:type="dxa"/>
            <w:vAlign w:val="center"/>
          </w:tcPr>
          <w:p w:rsidR="001F263A" w:rsidRDefault="004F7A8D">
            <w:pPr>
              <w:jc w:val="center"/>
            </w:pPr>
            <w:r>
              <w:rPr>
                <w:color w:val="000000"/>
                <w:sz w:val="24"/>
              </w:rPr>
              <w:t>0.32%</w:t>
            </w:r>
          </w:p>
        </w:tc>
        <w:tc>
          <w:tcPr>
            <w:tcW w:w="1267" w:type="dxa"/>
            <w:vAlign w:val="center"/>
          </w:tcPr>
          <w:p w:rsidR="001F263A" w:rsidRDefault="004F7A8D">
            <w:pPr>
              <w:jc w:val="center"/>
            </w:pPr>
            <w:r>
              <w:rPr>
                <w:color w:val="000000"/>
                <w:sz w:val="24"/>
              </w:rPr>
              <w:t>11.17%</w:t>
            </w:r>
          </w:p>
        </w:tc>
        <w:tc>
          <w:tcPr>
            <w:tcW w:w="1267" w:type="dxa"/>
            <w:vAlign w:val="center"/>
          </w:tcPr>
          <w:p w:rsidR="001F263A" w:rsidRDefault="004F7A8D">
            <w:pPr>
              <w:jc w:val="center"/>
            </w:pPr>
            <w:r>
              <w:rPr>
                <w:color w:val="000000"/>
                <w:sz w:val="24"/>
              </w:rPr>
              <w:t>0.62%</w:t>
            </w:r>
          </w:p>
        </w:tc>
        <w:tc>
          <w:tcPr>
            <w:tcW w:w="1267" w:type="dxa"/>
            <w:vAlign w:val="center"/>
          </w:tcPr>
          <w:p w:rsidR="001F263A" w:rsidRDefault="004F7A8D">
            <w:pPr>
              <w:jc w:val="center"/>
            </w:pPr>
            <w:r>
              <w:rPr>
                <w:color w:val="000000"/>
                <w:sz w:val="24"/>
              </w:rPr>
              <w:t>14.47%</w:t>
            </w:r>
          </w:p>
        </w:tc>
        <w:tc>
          <w:tcPr>
            <w:tcW w:w="1267" w:type="dxa"/>
            <w:vAlign w:val="center"/>
          </w:tcPr>
          <w:p w:rsidR="001F263A" w:rsidRDefault="004F7A8D">
            <w:pPr>
              <w:jc w:val="center"/>
            </w:pPr>
            <w:r>
              <w:rPr>
                <w:color w:val="000000"/>
                <w:sz w:val="24"/>
              </w:rPr>
              <w:t>-0.30%</w:t>
            </w:r>
          </w:p>
        </w:tc>
      </w:tr>
      <w:tr w:rsidR="001F263A">
        <w:trPr>
          <w:jc w:val="center"/>
        </w:trPr>
        <w:tc>
          <w:tcPr>
            <w:tcW w:w="1266" w:type="dxa"/>
            <w:vAlign w:val="center"/>
          </w:tcPr>
          <w:p w:rsidR="001F263A" w:rsidRDefault="004F7A8D">
            <w:pPr>
              <w:jc w:val="left"/>
            </w:pPr>
            <w:r>
              <w:rPr>
                <w:color w:val="000000"/>
                <w:sz w:val="24"/>
              </w:rPr>
              <w:t>自基金合同生效起至今</w:t>
            </w:r>
          </w:p>
        </w:tc>
        <w:tc>
          <w:tcPr>
            <w:tcW w:w="1267" w:type="dxa"/>
            <w:vAlign w:val="center"/>
          </w:tcPr>
          <w:p w:rsidR="001F263A" w:rsidRDefault="004F7A8D">
            <w:pPr>
              <w:jc w:val="center"/>
            </w:pPr>
            <w:r>
              <w:rPr>
                <w:color w:val="000000"/>
                <w:sz w:val="24"/>
              </w:rPr>
              <w:t>39.19%</w:t>
            </w:r>
          </w:p>
        </w:tc>
        <w:tc>
          <w:tcPr>
            <w:tcW w:w="1267" w:type="dxa"/>
            <w:vAlign w:val="center"/>
          </w:tcPr>
          <w:p w:rsidR="001F263A" w:rsidRDefault="004F7A8D">
            <w:pPr>
              <w:jc w:val="center"/>
            </w:pPr>
            <w:r>
              <w:rPr>
                <w:color w:val="000000"/>
                <w:sz w:val="24"/>
              </w:rPr>
              <w:t>0.27%</w:t>
            </w:r>
          </w:p>
        </w:tc>
        <w:tc>
          <w:tcPr>
            <w:tcW w:w="1267" w:type="dxa"/>
            <w:vAlign w:val="center"/>
          </w:tcPr>
          <w:p w:rsidR="001F263A" w:rsidRDefault="004F7A8D">
            <w:pPr>
              <w:jc w:val="center"/>
            </w:pPr>
            <w:r>
              <w:rPr>
                <w:color w:val="000000"/>
                <w:sz w:val="24"/>
              </w:rPr>
              <w:t>9.14%</w:t>
            </w:r>
          </w:p>
        </w:tc>
        <w:tc>
          <w:tcPr>
            <w:tcW w:w="1267" w:type="dxa"/>
            <w:vAlign w:val="center"/>
          </w:tcPr>
          <w:p w:rsidR="001F263A" w:rsidRDefault="004F7A8D">
            <w:pPr>
              <w:jc w:val="center"/>
            </w:pPr>
            <w:r>
              <w:rPr>
                <w:color w:val="000000"/>
                <w:sz w:val="24"/>
              </w:rPr>
              <w:t>0.62%</w:t>
            </w:r>
          </w:p>
        </w:tc>
        <w:tc>
          <w:tcPr>
            <w:tcW w:w="1267" w:type="dxa"/>
            <w:vAlign w:val="center"/>
          </w:tcPr>
          <w:p w:rsidR="001F263A" w:rsidRDefault="004F7A8D">
            <w:pPr>
              <w:jc w:val="center"/>
            </w:pPr>
            <w:r>
              <w:rPr>
                <w:color w:val="000000"/>
                <w:sz w:val="24"/>
              </w:rPr>
              <w:t>30.05%</w:t>
            </w:r>
          </w:p>
        </w:tc>
        <w:tc>
          <w:tcPr>
            <w:tcW w:w="1267" w:type="dxa"/>
            <w:vAlign w:val="center"/>
          </w:tcPr>
          <w:p w:rsidR="001F263A" w:rsidRDefault="004F7A8D">
            <w:pPr>
              <w:jc w:val="center"/>
            </w:pPr>
            <w:r>
              <w:rPr>
                <w:color w:val="000000"/>
                <w:sz w:val="24"/>
              </w:rPr>
              <w:t>-0.35%</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交银施罗德多策略回报灵活配置混合型证券投资基金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2015</w:t>
      </w:r>
      <w:r w:rsidR="00D04410" w:rsidRPr="007F52FA">
        <w:rPr>
          <w:rFonts w:ascii="Times New Roman" w:hAnsi="Times New Roman"/>
          <w:sz w:val="24"/>
          <w:szCs w:val="24"/>
        </w:rPr>
        <w:t>年</w:t>
      </w:r>
      <w:r w:rsidR="00D04410" w:rsidRPr="007F52FA">
        <w:rPr>
          <w:rFonts w:ascii="Times New Roman" w:hAnsi="Times New Roman"/>
          <w:sz w:val="24"/>
          <w:szCs w:val="24"/>
        </w:rPr>
        <w:t>6</w:t>
      </w:r>
      <w:r w:rsidR="00D04410" w:rsidRPr="007F52FA">
        <w:rPr>
          <w:rFonts w:ascii="Times New Roman" w:hAnsi="Times New Roman"/>
          <w:sz w:val="24"/>
          <w:szCs w:val="24"/>
        </w:rPr>
        <w:t>月</w:t>
      </w:r>
      <w:r w:rsidR="00D04410" w:rsidRPr="007F52FA">
        <w:rPr>
          <w:rFonts w:ascii="Times New Roman" w:hAnsi="Times New Roman"/>
          <w:sz w:val="24"/>
          <w:szCs w:val="24"/>
        </w:rPr>
        <w:t>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2020</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交银多策略回报灵活配置混合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注：图示日期为</w:t>
      </w:r>
      <w:r w:rsidRPr="007F52FA">
        <w:rPr>
          <w:color w:val="000000"/>
          <w:sz w:val="24"/>
        </w:rPr>
        <w:t>2015</w:t>
      </w:r>
      <w:r w:rsidRPr="007F52FA">
        <w:rPr>
          <w:color w:val="000000"/>
          <w:sz w:val="24"/>
        </w:rPr>
        <w:t>年</w:t>
      </w:r>
      <w:r w:rsidRPr="007F52FA">
        <w:rPr>
          <w:color w:val="000000"/>
          <w:sz w:val="24"/>
        </w:rPr>
        <w:t>6</w:t>
      </w:r>
      <w:r w:rsidRPr="007F52FA">
        <w:rPr>
          <w:color w:val="000000"/>
          <w:sz w:val="24"/>
        </w:rPr>
        <w:t>月</w:t>
      </w:r>
      <w:r w:rsidRPr="007F52FA">
        <w:rPr>
          <w:color w:val="000000"/>
          <w:sz w:val="24"/>
        </w:rPr>
        <w:t>2</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交银多策略回报灵活配置混合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2020</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1F263A">
        <w:trPr>
          <w:jc w:val="center"/>
        </w:trPr>
        <w:tc>
          <w:tcPr>
            <w:tcW w:w="946" w:type="dxa"/>
            <w:vAlign w:val="center"/>
          </w:tcPr>
          <w:p w:rsidR="001F263A" w:rsidRDefault="004F7A8D">
            <w:pPr>
              <w:jc w:val="center"/>
            </w:pPr>
            <w:r>
              <w:rPr>
                <w:color w:val="000000"/>
                <w:sz w:val="24"/>
              </w:rPr>
              <w:t>李娜</w:t>
            </w:r>
          </w:p>
        </w:tc>
        <w:tc>
          <w:tcPr>
            <w:tcW w:w="924" w:type="dxa"/>
            <w:vAlign w:val="center"/>
          </w:tcPr>
          <w:p w:rsidR="001F263A" w:rsidRDefault="004F7A8D">
            <w:pPr>
              <w:jc w:val="center"/>
            </w:pPr>
            <w:r>
              <w:rPr>
                <w:color w:val="000000"/>
                <w:sz w:val="24"/>
              </w:rPr>
              <w:t>交银周期回报灵活配置混合、交银新回报灵活配置混合、交银多策略回报灵活配置混合、交银优选回报灵活配置混合、交银优择回报灵活配置混合、交银</w:t>
            </w:r>
            <w:r>
              <w:rPr>
                <w:color w:val="000000"/>
                <w:sz w:val="24"/>
              </w:rPr>
              <w:lastRenderedPageBreak/>
              <w:t>瑞鑫定期开放灵活配置混合、交银裕祥纯债债券、交银恒益灵活配置混合的基金经理</w:t>
            </w:r>
          </w:p>
        </w:tc>
        <w:tc>
          <w:tcPr>
            <w:tcW w:w="1202" w:type="dxa"/>
            <w:vAlign w:val="center"/>
          </w:tcPr>
          <w:p w:rsidR="001F263A" w:rsidRDefault="004F7A8D">
            <w:pPr>
              <w:jc w:val="center"/>
            </w:pPr>
            <w:r>
              <w:rPr>
                <w:color w:val="000000"/>
                <w:sz w:val="24"/>
              </w:rPr>
              <w:lastRenderedPageBreak/>
              <w:t>2015-08-04</w:t>
            </w:r>
          </w:p>
        </w:tc>
        <w:tc>
          <w:tcPr>
            <w:tcW w:w="1300" w:type="dxa"/>
            <w:vAlign w:val="center"/>
          </w:tcPr>
          <w:p w:rsidR="001F263A" w:rsidRDefault="004F7A8D">
            <w:pPr>
              <w:jc w:val="center"/>
            </w:pPr>
            <w:r>
              <w:rPr>
                <w:color w:val="000000"/>
                <w:sz w:val="24"/>
              </w:rPr>
              <w:t>-</w:t>
            </w:r>
          </w:p>
        </w:tc>
        <w:tc>
          <w:tcPr>
            <w:tcW w:w="1245" w:type="dxa"/>
            <w:vAlign w:val="center"/>
          </w:tcPr>
          <w:p w:rsidR="001F263A" w:rsidRDefault="004F7A8D">
            <w:pPr>
              <w:jc w:val="center"/>
            </w:pPr>
            <w:r>
              <w:rPr>
                <w:color w:val="000000"/>
                <w:sz w:val="24"/>
              </w:rPr>
              <w:t>10</w:t>
            </w:r>
            <w:r>
              <w:rPr>
                <w:color w:val="000000"/>
                <w:sz w:val="24"/>
              </w:rPr>
              <w:t>年</w:t>
            </w:r>
          </w:p>
        </w:tc>
        <w:tc>
          <w:tcPr>
            <w:tcW w:w="3251" w:type="dxa"/>
            <w:vAlign w:val="center"/>
          </w:tcPr>
          <w:p w:rsidR="001F263A" w:rsidRDefault="004F7A8D">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w:t>
            </w:r>
            <w:r>
              <w:rPr>
                <w:color w:val="000000"/>
                <w:sz w:val="24"/>
              </w:rPr>
              <w:t>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1F263A">
        <w:trPr>
          <w:jc w:val="center"/>
        </w:trPr>
        <w:tc>
          <w:tcPr>
            <w:tcW w:w="946" w:type="dxa"/>
            <w:vAlign w:val="center"/>
          </w:tcPr>
          <w:p w:rsidR="001F263A" w:rsidRDefault="004F7A8D">
            <w:pPr>
              <w:jc w:val="center"/>
            </w:pPr>
            <w:r>
              <w:rPr>
                <w:color w:val="000000"/>
                <w:sz w:val="24"/>
              </w:rPr>
              <w:t>凌超</w:t>
            </w:r>
          </w:p>
        </w:tc>
        <w:tc>
          <w:tcPr>
            <w:tcW w:w="924" w:type="dxa"/>
            <w:vAlign w:val="center"/>
          </w:tcPr>
          <w:p w:rsidR="001F263A" w:rsidRDefault="004F7A8D">
            <w:pPr>
              <w:jc w:val="center"/>
            </w:pPr>
            <w:r>
              <w:rPr>
                <w:color w:val="000000"/>
                <w:sz w:val="24"/>
              </w:rPr>
              <w:t>交银定期支付月月丰债券、交银增强收益债券、交银强化回报债券、交银周期回报灵活配置混合、交银新回报灵活配置混合、</w:t>
            </w:r>
            <w:r>
              <w:rPr>
                <w:color w:val="000000"/>
                <w:sz w:val="24"/>
              </w:rPr>
              <w:lastRenderedPageBreak/>
              <w:t>交银多策略回报灵活配置混合、交银优选回报灵活配置混合、交银优择回报灵活配置混合、交银瑞鑫定期开放灵活配置混合、交银增利增强债券、</w:t>
            </w:r>
            <w:r>
              <w:rPr>
                <w:color w:val="000000"/>
                <w:sz w:val="24"/>
              </w:rPr>
              <w:t>交银恒益灵活配置混合、交银裕祥纯债债券、交银稳固收益债券的基金</w:t>
            </w:r>
            <w:r>
              <w:rPr>
                <w:color w:val="000000"/>
                <w:sz w:val="24"/>
              </w:rPr>
              <w:lastRenderedPageBreak/>
              <w:t>经理，公司固定收益</w:t>
            </w:r>
            <w:r>
              <w:rPr>
                <w:color w:val="000000"/>
                <w:sz w:val="24"/>
              </w:rPr>
              <w:t>(</w:t>
            </w:r>
            <w:r>
              <w:rPr>
                <w:color w:val="000000"/>
                <w:sz w:val="24"/>
              </w:rPr>
              <w:t>公募</w:t>
            </w:r>
            <w:r>
              <w:rPr>
                <w:color w:val="000000"/>
                <w:sz w:val="24"/>
              </w:rPr>
              <w:t>)</w:t>
            </w:r>
            <w:r>
              <w:rPr>
                <w:color w:val="000000"/>
                <w:sz w:val="24"/>
              </w:rPr>
              <w:t>投资副总监</w:t>
            </w:r>
          </w:p>
        </w:tc>
        <w:tc>
          <w:tcPr>
            <w:tcW w:w="1202" w:type="dxa"/>
            <w:vAlign w:val="center"/>
          </w:tcPr>
          <w:p w:rsidR="001F263A" w:rsidRDefault="004F7A8D">
            <w:pPr>
              <w:jc w:val="center"/>
            </w:pPr>
            <w:r>
              <w:rPr>
                <w:color w:val="000000"/>
                <w:sz w:val="24"/>
              </w:rPr>
              <w:lastRenderedPageBreak/>
              <w:t>2019-07-20</w:t>
            </w:r>
          </w:p>
        </w:tc>
        <w:tc>
          <w:tcPr>
            <w:tcW w:w="1300" w:type="dxa"/>
            <w:vAlign w:val="center"/>
          </w:tcPr>
          <w:p w:rsidR="001F263A" w:rsidRDefault="004F7A8D">
            <w:pPr>
              <w:jc w:val="center"/>
            </w:pPr>
            <w:r>
              <w:rPr>
                <w:color w:val="000000"/>
                <w:sz w:val="24"/>
              </w:rPr>
              <w:t>-</w:t>
            </w:r>
          </w:p>
        </w:tc>
        <w:tc>
          <w:tcPr>
            <w:tcW w:w="1245" w:type="dxa"/>
            <w:vAlign w:val="center"/>
          </w:tcPr>
          <w:p w:rsidR="001F263A" w:rsidRDefault="004F7A8D">
            <w:pPr>
              <w:jc w:val="center"/>
            </w:pPr>
            <w:r>
              <w:rPr>
                <w:color w:val="000000"/>
                <w:sz w:val="24"/>
              </w:rPr>
              <w:t>14</w:t>
            </w:r>
            <w:r>
              <w:rPr>
                <w:color w:val="000000"/>
                <w:sz w:val="24"/>
              </w:rPr>
              <w:t>年</w:t>
            </w:r>
          </w:p>
        </w:tc>
        <w:tc>
          <w:tcPr>
            <w:tcW w:w="3251" w:type="dxa"/>
            <w:vAlign w:val="center"/>
          </w:tcPr>
          <w:p w:rsidR="001F263A" w:rsidRDefault="004F7A8D">
            <w:r>
              <w:rPr>
                <w:color w:val="000000"/>
                <w:sz w:val="24"/>
              </w:rPr>
              <w:t>凌超先生，华中科技大学数量经济学硕士、武汉科技大学信息与计算科学学士。</w:t>
            </w:r>
            <w:r>
              <w:rPr>
                <w:color w:val="000000"/>
                <w:sz w:val="24"/>
              </w:rPr>
              <w:t>2006</w:t>
            </w:r>
            <w:r>
              <w:rPr>
                <w:color w:val="000000"/>
                <w:sz w:val="24"/>
              </w:rPr>
              <w:t>年至</w:t>
            </w:r>
            <w:r>
              <w:rPr>
                <w:color w:val="000000"/>
                <w:sz w:val="24"/>
              </w:rPr>
              <w:t>2009</w:t>
            </w:r>
            <w:r>
              <w:rPr>
                <w:color w:val="000000"/>
                <w:sz w:val="24"/>
              </w:rPr>
              <w:t>年任长江证券股份有限公司研究员、投资经理，</w:t>
            </w:r>
            <w:r>
              <w:rPr>
                <w:color w:val="000000"/>
                <w:sz w:val="24"/>
              </w:rPr>
              <w:t>2009</w:t>
            </w:r>
            <w:r>
              <w:rPr>
                <w:color w:val="000000"/>
                <w:sz w:val="24"/>
              </w:rPr>
              <w:t>年至</w:t>
            </w:r>
            <w:r>
              <w:rPr>
                <w:color w:val="000000"/>
                <w:sz w:val="24"/>
              </w:rPr>
              <w:t>2012</w:t>
            </w:r>
            <w:r>
              <w:rPr>
                <w:color w:val="000000"/>
                <w:sz w:val="24"/>
              </w:rPr>
              <w:t>年任光大保德信基金有限管理公司研究员、基金助理、基金经理，</w:t>
            </w:r>
            <w:r>
              <w:rPr>
                <w:color w:val="000000"/>
                <w:sz w:val="24"/>
              </w:rPr>
              <w:t>2012</w:t>
            </w:r>
            <w:r>
              <w:rPr>
                <w:color w:val="000000"/>
                <w:sz w:val="24"/>
              </w:rPr>
              <w:t>年至</w:t>
            </w:r>
            <w:r>
              <w:rPr>
                <w:color w:val="000000"/>
                <w:sz w:val="24"/>
              </w:rPr>
              <w:t>2016</w:t>
            </w:r>
            <w:r>
              <w:rPr>
                <w:color w:val="000000"/>
                <w:sz w:val="24"/>
              </w:rPr>
              <w:t>年任海富通基金管理有限公司投资顾问、基金经理，</w:t>
            </w:r>
            <w:r>
              <w:rPr>
                <w:color w:val="000000"/>
                <w:sz w:val="24"/>
              </w:rPr>
              <w:t>2016</w:t>
            </w:r>
            <w:r>
              <w:rPr>
                <w:color w:val="000000"/>
                <w:sz w:val="24"/>
              </w:rPr>
              <w:t>年至</w:t>
            </w:r>
            <w:r>
              <w:rPr>
                <w:color w:val="000000"/>
                <w:sz w:val="24"/>
              </w:rPr>
              <w:t>2017</w:t>
            </w:r>
            <w:r>
              <w:rPr>
                <w:color w:val="000000"/>
                <w:sz w:val="24"/>
              </w:rPr>
              <w:t>年任天弘基金管理有限公司固定收益部副总经理、基金经理。</w:t>
            </w:r>
            <w:r>
              <w:rPr>
                <w:color w:val="000000"/>
                <w:sz w:val="24"/>
              </w:rPr>
              <w:t>2010</w:t>
            </w:r>
            <w:r>
              <w:rPr>
                <w:color w:val="000000"/>
                <w:sz w:val="24"/>
              </w:rPr>
              <w:t>年</w:t>
            </w:r>
            <w:r>
              <w:rPr>
                <w:color w:val="000000"/>
                <w:sz w:val="24"/>
              </w:rPr>
              <w:t>8</w:t>
            </w:r>
            <w:r>
              <w:rPr>
                <w:color w:val="000000"/>
                <w:sz w:val="24"/>
              </w:rPr>
              <w:t>月</w:t>
            </w:r>
            <w:r>
              <w:rPr>
                <w:color w:val="000000"/>
                <w:sz w:val="24"/>
              </w:rPr>
              <w:t>31</w:t>
            </w:r>
            <w:r>
              <w:rPr>
                <w:color w:val="000000"/>
                <w:sz w:val="24"/>
              </w:rPr>
              <w:t>日至</w:t>
            </w:r>
            <w:r>
              <w:rPr>
                <w:color w:val="000000"/>
                <w:sz w:val="24"/>
              </w:rPr>
              <w:t>201</w:t>
            </w:r>
            <w:r>
              <w:rPr>
                <w:color w:val="000000"/>
                <w:sz w:val="24"/>
              </w:rPr>
              <w:t>2</w:t>
            </w:r>
            <w:r>
              <w:rPr>
                <w:color w:val="000000"/>
                <w:sz w:val="24"/>
              </w:rPr>
              <w:t>年</w:t>
            </w:r>
            <w:r>
              <w:rPr>
                <w:color w:val="000000"/>
                <w:sz w:val="24"/>
              </w:rPr>
              <w:t>3</w:t>
            </w:r>
            <w:r>
              <w:rPr>
                <w:color w:val="000000"/>
                <w:sz w:val="24"/>
              </w:rPr>
              <w:t>月</w:t>
            </w:r>
            <w:r>
              <w:rPr>
                <w:color w:val="000000"/>
                <w:sz w:val="24"/>
              </w:rPr>
              <w:t>1</w:t>
            </w:r>
            <w:r>
              <w:rPr>
                <w:color w:val="000000"/>
                <w:sz w:val="24"/>
              </w:rPr>
              <w:t>日任光大保德信货币市场基金基金经理，</w:t>
            </w:r>
            <w:r>
              <w:rPr>
                <w:color w:val="000000"/>
                <w:sz w:val="24"/>
              </w:rPr>
              <w:t>2013</w:t>
            </w:r>
            <w:r>
              <w:rPr>
                <w:color w:val="000000"/>
                <w:sz w:val="24"/>
              </w:rPr>
              <w:t>年</w:t>
            </w:r>
            <w:r>
              <w:rPr>
                <w:color w:val="000000"/>
                <w:sz w:val="24"/>
              </w:rPr>
              <w:t>12</w:t>
            </w:r>
            <w:r>
              <w:rPr>
                <w:color w:val="000000"/>
                <w:sz w:val="24"/>
              </w:rPr>
              <w:t>月</w:t>
            </w:r>
            <w:r>
              <w:rPr>
                <w:color w:val="000000"/>
                <w:sz w:val="24"/>
              </w:rPr>
              <w:t>19</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日任海富通一年定期开放债券型证券投资基金基金经理，</w:t>
            </w:r>
            <w:r>
              <w:rPr>
                <w:color w:val="000000"/>
                <w:sz w:val="24"/>
              </w:rPr>
              <w:t>2014</w:t>
            </w:r>
            <w:r>
              <w:rPr>
                <w:color w:val="000000"/>
                <w:sz w:val="24"/>
              </w:rPr>
              <w:t>年</w:t>
            </w:r>
            <w:r>
              <w:rPr>
                <w:color w:val="000000"/>
                <w:sz w:val="24"/>
              </w:rPr>
              <w:t>4</w:t>
            </w:r>
            <w:r>
              <w:rPr>
                <w:color w:val="000000"/>
                <w:sz w:val="24"/>
              </w:rPr>
              <w:t>月</w:t>
            </w:r>
            <w:r>
              <w:rPr>
                <w:color w:val="000000"/>
                <w:sz w:val="24"/>
              </w:rPr>
              <w:t>2</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日任海富通纯债债券型证券投资基金基金经理，</w:t>
            </w:r>
            <w:r>
              <w:rPr>
                <w:color w:val="000000"/>
                <w:sz w:val="24"/>
              </w:rPr>
              <w:t>2014</w:t>
            </w:r>
            <w:r>
              <w:rPr>
                <w:color w:val="000000"/>
                <w:sz w:val="24"/>
              </w:rPr>
              <w:t>年</w:t>
            </w:r>
            <w:r>
              <w:rPr>
                <w:color w:val="000000"/>
                <w:sz w:val="24"/>
              </w:rPr>
              <w:t>12</w:t>
            </w:r>
            <w:r>
              <w:rPr>
                <w:color w:val="000000"/>
                <w:sz w:val="24"/>
              </w:rPr>
              <w:t>月</w:t>
            </w:r>
            <w:r>
              <w:rPr>
                <w:color w:val="000000"/>
                <w:sz w:val="24"/>
              </w:rPr>
              <w:t>1</w:t>
            </w:r>
            <w:r>
              <w:rPr>
                <w:color w:val="000000"/>
                <w:sz w:val="24"/>
              </w:rPr>
              <w:t>日至</w:t>
            </w:r>
            <w:r>
              <w:rPr>
                <w:color w:val="000000"/>
                <w:sz w:val="24"/>
              </w:rPr>
              <w:t>2016</w:t>
            </w:r>
            <w:r>
              <w:rPr>
                <w:color w:val="000000"/>
                <w:sz w:val="24"/>
              </w:rPr>
              <w:t>年</w:t>
            </w:r>
            <w:r>
              <w:rPr>
                <w:color w:val="000000"/>
                <w:sz w:val="24"/>
              </w:rPr>
              <w:t>1</w:t>
            </w:r>
            <w:r>
              <w:rPr>
                <w:color w:val="000000"/>
                <w:sz w:val="24"/>
              </w:rPr>
              <w:t>月</w:t>
            </w:r>
            <w:r>
              <w:rPr>
                <w:color w:val="000000"/>
                <w:sz w:val="24"/>
              </w:rPr>
              <w:t>12</w:t>
            </w:r>
            <w:r>
              <w:rPr>
                <w:color w:val="000000"/>
                <w:sz w:val="24"/>
              </w:rPr>
              <w:t>日任海富通稳固收益债券型证券投资基金基金经理，</w:t>
            </w:r>
            <w:r>
              <w:rPr>
                <w:color w:val="000000"/>
                <w:sz w:val="24"/>
              </w:rPr>
              <w:t>2016</w:t>
            </w:r>
            <w:r>
              <w:rPr>
                <w:color w:val="000000"/>
                <w:sz w:val="24"/>
              </w:rPr>
              <w:t>年</w:t>
            </w:r>
            <w:r>
              <w:rPr>
                <w:color w:val="000000"/>
                <w:sz w:val="24"/>
              </w:rPr>
              <w:t>5</w:t>
            </w:r>
            <w:r>
              <w:rPr>
                <w:color w:val="000000"/>
                <w:sz w:val="24"/>
              </w:rPr>
              <w:lastRenderedPageBreak/>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日任天弘弘利债券型证券投资基金基金经理，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日任天弘裕利灵活配置混合型证券投资基金基金经理，</w:t>
            </w:r>
            <w:r>
              <w:rPr>
                <w:color w:val="000000"/>
                <w:sz w:val="24"/>
              </w:rPr>
              <w:t>2016</w:t>
            </w:r>
            <w:r>
              <w:rPr>
                <w:color w:val="000000"/>
                <w:sz w:val="24"/>
              </w:rPr>
              <w:t>年</w:t>
            </w:r>
            <w:r>
              <w:rPr>
                <w:color w:val="000000"/>
                <w:sz w:val="24"/>
              </w:rPr>
              <w:t>5</w:t>
            </w:r>
            <w:r>
              <w:rPr>
                <w:color w:val="000000"/>
                <w:sz w:val="24"/>
              </w:rPr>
              <w:t>月</w:t>
            </w:r>
            <w:r>
              <w:rPr>
                <w:color w:val="000000"/>
                <w:sz w:val="24"/>
              </w:rPr>
              <w:t>14</w:t>
            </w:r>
            <w:r>
              <w:rPr>
                <w:color w:val="000000"/>
                <w:sz w:val="24"/>
              </w:rPr>
              <w:t>日至</w:t>
            </w:r>
            <w:r>
              <w:rPr>
                <w:color w:val="000000"/>
                <w:sz w:val="24"/>
              </w:rPr>
              <w:t>2017</w:t>
            </w:r>
            <w:r>
              <w:rPr>
                <w:color w:val="000000"/>
                <w:sz w:val="24"/>
              </w:rPr>
              <w:t>年</w:t>
            </w:r>
            <w:r>
              <w:rPr>
                <w:color w:val="000000"/>
                <w:sz w:val="24"/>
              </w:rPr>
              <w:t>7</w:t>
            </w:r>
            <w:r>
              <w:rPr>
                <w:color w:val="000000"/>
                <w:sz w:val="24"/>
              </w:rPr>
              <w:t>月</w:t>
            </w:r>
            <w:r>
              <w:rPr>
                <w:color w:val="000000"/>
                <w:sz w:val="24"/>
              </w:rPr>
              <w:t>13</w:t>
            </w:r>
            <w:r>
              <w:rPr>
                <w:color w:val="000000"/>
                <w:sz w:val="24"/>
              </w:rPr>
              <w:t>日任天弘债券型发起式证券投资基金基金经理。</w:t>
            </w:r>
            <w:r>
              <w:rPr>
                <w:color w:val="000000"/>
                <w:sz w:val="24"/>
              </w:rPr>
              <w:t>2017</w:t>
            </w:r>
            <w:r>
              <w:rPr>
                <w:color w:val="000000"/>
                <w:sz w:val="24"/>
              </w:rPr>
              <w:t>年</w:t>
            </w:r>
            <w:r>
              <w:rPr>
                <w:color w:val="000000"/>
                <w:sz w:val="24"/>
              </w:rPr>
              <w:t>7</w:t>
            </w:r>
            <w:r>
              <w:rPr>
                <w:color w:val="000000"/>
                <w:sz w:val="24"/>
              </w:rPr>
              <w:t>月加入交银施罗德基金管理有限公司。</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5</w:t>
            </w:r>
            <w:r>
              <w:rPr>
                <w:color w:val="000000"/>
                <w:sz w:val="24"/>
              </w:rPr>
              <w:t>月</w:t>
            </w:r>
            <w:r>
              <w:rPr>
                <w:color w:val="000000"/>
                <w:sz w:val="24"/>
              </w:rPr>
              <w:t>30</w:t>
            </w:r>
            <w:r>
              <w:rPr>
                <w:color w:val="000000"/>
                <w:sz w:val="24"/>
              </w:rPr>
              <w:t>日担任转型前的交银施罗德荣祥保本混合型证券投资基金的基金经理。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1F263A" w:rsidRDefault="004F7A8D">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F263A" w:rsidRDefault="004F7A8D">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F263A" w:rsidRDefault="004F7A8D">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1F263A" w:rsidRDefault="004F7A8D">
      <w:pPr>
        <w:spacing w:before="29" w:line="288" w:lineRule="auto"/>
        <w:ind w:firstLineChars="200" w:firstLine="480"/>
        <w:rPr>
          <w:color w:val="000000"/>
          <w:sz w:val="24"/>
        </w:rPr>
      </w:pPr>
      <w:r>
        <w:rPr>
          <w:color w:val="000000"/>
          <w:sz w:val="24"/>
        </w:rPr>
        <w:t>本报告期内，债券市场初期走势仍然较为火热，但随着后期资金面利率水平上行、央行货币政策防空转及经济逐步复苏的影响，收益率呈现先下后上的</w:t>
      </w:r>
      <w:r>
        <w:rPr>
          <w:color w:val="000000"/>
          <w:sz w:val="24"/>
        </w:rPr>
        <w:t>V</w:t>
      </w:r>
      <w:r>
        <w:rPr>
          <w:color w:val="000000"/>
          <w:sz w:val="24"/>
        </w:rPr>
        <w:t>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w:t>
      </w:r>
      <w:r>
        <w:rPr>
          <w:color w:val="000000"/>
          <w:sz w:val="24"/>
        </w:rPr>
        <w:t>复，资金利率水平维持在高位，信用派生政策持续发力，债券利率持续上行后，逐步进入高位震荡状态。</w:t>
      </w:r>
    </w:p>
    <w:p w:rsidR="001F263A" w:rsidRDefault="004F7A8D">
      <w:pPr>
        <w:spacing w:before="29" w:line="288" w:lineRule="auto"/>
        <w:ind w:firstLineChars="200" w:firstLine="480"/>
        <w:rPr>
          <w:color w:val="000000"/>
          <w:sz w:val="24"/>
        </w:rPr>
      </w:pPr>
      <w:r>
        <w:rPr>
          <w:color w:val="000000"/>
          <w:sz w:val="24"/>
        </w:rPr>
        <w:t>二季度，权益市场走势较为良好，在经济逐步企稳恢复、全球流动性同时宽裕的背景下，主要指数表现趋势上涨的势头，特别是创业板指数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w:t>
      </w:r>
      <w:r>
        <w:rPr>
          <w:color w:val="000000"/>
          <w:sz w:val="24"/>
        </w:rPr>
        <w:t>数甚至接近大跌之前的位置。</w:t>
      </w:r>
      <w:r>
        <w:rPr>
          <w:color w:val="000000"/>
          <w:sz w:val="24"/>
        </w:rPr>
        <w:t>A</w:t>
      </w:r>
      <w:r>
        <w:rPr>
          <w:color w:val="000000"/>
          <w:sz w:val="24"/>
        </w:rPr>
        <w:t>股主要指数也大幅恢复，创业板指数更是创下年内新高。</w:t>
      </w:r>
    </w:p>
    <w:p w:rsidR="001F263A" w:rsidRDefault="004F7A8D">
      <w:pPr>
        <w:spacing w:before="29" w:line="288" w:lineRule="auto"/>
        <w:ind w:firstLineChars="200" w:firstLine="480"/>
        <w:rPr>
          <w:color w:val="000000"/>
          <w:sz w:val="24"/>
        </w:rPr>
      </w:pPr>
      <w:r>
        <w:rPr>
          <w:color w:val="000000"/>
          <w:sz w:val="24"/>
        </w:rPr>
        <w:t>在基金操作中，债券部分我们维持中短久期高等级信用债的底仓配置，以获取稳定的票息收益。权益方面，随着市场逐步回暖，在总体稳健的基础上，将持仓结构调整得更加平衡。此外，组合积极参与权益及转债的一级申购，以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2020</w:t>
      </w:r>
      <w:r w:rsidRPr="007F52FA">
        <w:rPr>
          <w:color w:val="000000"/>
          <w:sz w:val="24"/>
        </w:rPr>
        <w:t>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的上行空间。由于经济目前仍在复苏过程之中，货币政策短期进一步宽松的可能性下降，债市在目前收益率水平下趋于震荡的概率偏大。未来基金将维持底仓配置中短久期高等级信用债品种，以获取票息收益，并根据市场变化动态调整组合久期。权益方面，我们将继续维持稳健品种配置，保持对景气度较高行业投资机会的关注。同时我们将继续积极参加权益及转债的一级申购，以期增厚组合收益。</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“3.1</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 xml:space="preserve">“3.2.1 </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149,808,416.12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149,808,416.12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10.79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1,199,835,799.70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86.40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1,199,835,799.70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86.40</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13,764,476.07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0.99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25,291,050.64</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1.82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1,388,699,742.53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3,275,516.00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0.27</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51,663,293.36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4.19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12,766.32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4,469,280.40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3,404,940.00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10,269,655.56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7,704,786.87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0.62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39,753,630.07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23,207,583.54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6,046,964.00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0.49</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149,808,416.12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12.15</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1F263A">
        <w:trPr>
          <w:jc w:val="center"/>
        </w:trPr>
        <w:tc>
          <w:tcPr>
            <w:tcW w:w="850" w:type="dxa"/>
            <w:vAlign w:val="center"/>
          </w:tcPr>
          <w:p w:rsidR="001F263A" w:rsidRDefault="004F7A8D">
            <w:pPr>
              <w:jc w:val="center"/>
            </w:pPr>
            <w:r>
              <w:rPr>
                <w:color w:val="000000"/>
                <w:sz w:val="24"/>
              </w:rPr>
              <w:t>1</w:t>
            </w:r>
          </w:p>
        </w:tc>
        <w:tc>
          <w:tcPr>
            <w:tcW w:w="1327" w:type="dxa"/>
            <w:vAlign w:val="center"/>
          </w:tcPr>
          <w:p w:rsidR="001F263A" w:rsidRDefault="004F7A8D">
            <w:pPr>
              <w:jc w:val="center"/>
            </w:pPr>
            <w:r>
              <w:rPr>
                <w:color w:val="000000"/>
                <w:sz w:val="24"/>
              </w:rPr>
              <w:t>601398</w:t>
            </w:r>
          </w:p>
        </w:tc>
        <w:tc>
          <w:tcPr>
            <w:tcW w:w="1769" w:type="dxa"/>
            <w:vAlign w:val="center"/>
          </w:tcPr>
          <w:p w:rsidR="001F263A" w:rsidRDefault="004F7A8D">
            <w:pPr>
              <w:jc w:val="center"/>
            </w:pPr>
            <w:r>
              <w:rPr>
                <w:color w:val="000000"/>
                <w:sz w:val="24"/>
              </w:rPr>
              <w:t>工商银行</w:t>
            </w:r>
          </w:p>
        </w:tc>
        <w:tc>
          <w:tcPr>
            <w:tcW w:w="1327" w:type="dxa"/>
            <w:vAlign w:val="center"/>
          </w:tcPr>
          <w:p w:rsidR="001F263A" w:rsidRDefault="004F7A8D">
            <w:pPr>
              <w:jc w:val="right"/>
            </w:pPr>
            <w:r>
              <w:rPr>
                <w:color w:val="000000"/>
                <w:sz w:val="24"/>
              </w:rPr>
              <w:t>4,453,133</w:t>
            </w:r>
          </w:p>
        </w:tc>
        <w:tc>
          <w:tcPr>
            <w:tcW w:w="1915" w:type="dxa"/>
            <w:vAlign w:val="center"/>
          </w:tcPr>
          <w:p w:rsidR="001F263A" w:rsidRDefault="004F7A8D">
            <w:pPr>
              <w:jc w:val="right"/>
            </w:pPr>
            <w:r>
              <w:rPr>
                <w:color w:val="000000"/>
                <w:sz w:val="24"/>
              </w:rPr>
              <w:t>22,176,602.34</w:t>
            </w:r>
          </w:p>
        </w:tc>
        <w:tc>
          <w:tcPr>
            <w:tcW w:w="1680" w:type="dxa"/>
            <w:vAlign w:val="center"/>
          </w:tcPr>
          <w:p w:rsidR="001F263A" w:rsidRDefault="004F7A8D">
            <w:pPr>
              <w:jc w:val="right"/>
            </w:pPr>
            <w:r>
              <w:rPr>
                <w:color w:val="000000"/>
                <w:sz w:val="24"/>
              </w:rPr>
              <w:t>1.80</w:t>
            </w:r>
          </w:p>
        </w:tc>
      </w:tr>
      <w:tr w:rsidR="001F263A">
        <w:trPr>
          <w:jc w:val="center"/>
        </w:trPr>
        <w:tc>
          <w:tcPr>
            <w:tcW w:w="850" w:type="dxa"/>
            <w:vAlign w:val="center"/>
          </w:tcPr>
          <w:p w:rsidR="001F263A" w:rsidRDefault="004F7A8D">
            <w:pPr>
              <w:jc w:val="center"/>
            </w:pPr>
            <w:r>
              <w:rPr>
                <w:color w:val="000000"/>
                <w:sz w:val="24"/>
              </w:rPr>
              <w:t>2</w:t>
            </w:r>
          </w:p>
        </w:tc>
        <w:tc>
          <w:tcPr>
            <w:tcW w:w="1327" w:type="dxa"/>
            <w:vAlign w:val="center"/>
          </w:tcPr>
          <w:p w:rsidR="001F263A" w:rsidRDefault="004F7A8D">
            <w:pPr>
              <w:jc w:val="center"/>
            </w:pPr>
            <w:r>
              <w:rPr>
                <w:color w:val="000000"/>
                <w:sz w:val="24"/>
              </w:rPr>
              <w:t>600048</w:t>
            </w:r>
          </w:p>
        </w:tc>
        <w:tc>
          <w:tcPr>
            <w:tcW w:w="1769" w:type="dxa"/>
            <w:vAlign w:val="center"/>
          </w:tcPr>
          <w:p w:rsidR="001F263A" w:rsidRDefault="004F7A8D">
            <w:pPr>
              <w:jc w:val="center"/>
            </w:pPr>
            <w:r>
              <w:rPr>
                <w:color w:val="000000"/>
                <w:sz w:val="24"/>
              </w:rPr>
              <w:t>保利地产</w:t>
            </w:r>
          </w:p>
        </w:tc>
        <w:tc>
          <w:tcPr>
            <w:tcW w:w="1327" w:type="dxa"/>
            <w:vAlign w:val="center"/>
          </w:tcPr>
          <w:p w:rsidR="001F263A" w:rsidRDefault="004F7A8D">
            <w:pPr>
              <w:jc w:val="right"/>
            </w:pPr>
            <w:r>
              <w:rPr>
                <w:color w:val="000000"/>
                <w:sz w:val="24"/>
              </w:rPr>
              <w:t>1,148,743</w:t>
            </w:r>
          </w:p>
        </w:tc>
        <w:tc>
          <w:tcPr>
            <w:tcW w:w="1915" w:type="dxa"/>
            <w:vAlign w:val="center"/>
          </w:tcPr>
          <w:p w:rsidR="001F263A" w:rsidRDefault="004F7A8D">
            <w:pPr>
              <w:jc w:val="right"/>
            </w:pPr>
            <w:r>
              <w:rPr>
                <w:color w:val="000000"/>
                <w:sz w:val="24"/>
              </w:rPr>
              <w:t>16,978,421.54</w:t>
            </w:r>
          </w:p>
        </w:tc>
        <w:tc>
          <w:tcPr>
            <w:tcW w:w="1680" w:type="dxa"/>
            <w:vAlign w:val="center"/>
          </w:tcPr>
          <w:p w:rsidR="001F263A" w:rsidRDefault="004F7A8D">
            <w:pPr>
              <w:jc w:val="right"/>
            </w:pPr>
            <w:r>
              <w:rPr>
                <w:color w:val="000000"/>
                <w:sz w:val="24"/>
              </w:rPr>
              <w:t>1.38</w:t>
            </w:r>
          </w:p>
        </w:tc>
      </w:tr>
      <w:tr w:rsidR="001F263A">
        <w:trPr>
          <w:jc w:val="center"/>
        </w:trPr>
        <w:tc>
          <w:tcPr>
            <w:tcW w:w="850" w:type="dxa"/>
            <w:vAlign w:val="center"/>
          </w:tcPr>
          <w:p w:rsidR="001F263A" w:rsidRDefault="004F7A8D">
            <w:pPr>
              <w:jc w:val="center"/>
            </w:pPr>
            <w:r>
              <w:rPr>
                <w:color w:val="000000"/>
                <w:sz w:val="24"/>
              </w:rPr>
              <w:t>3</w:t>
            </w:r>
          </w:p>
        </w:tc>
        <w:tc>
          <w:tcPr>
            <w:tcW w:w="1327" w:type="dxa"/>
            <w:vAlign w:val="center"/>
          </w:tcPr>
          <w:p w:rsidR="001F263A" w:rsidRDefault="004F7A8D">
            <w:pPr>
              <w:jc w:val="center"/>
            </w:pPr>
            <w:r>
              <w:rPr>
                <w:color w:val="000000"/>
                <w:sz w:val="24"/>
              </w:rPr>
              <w:t>002475</w:t>
            </w:r>
          </w:p>
        </w:tc>
        <w:tc>
          <w:tcPr>
            <w:tcW w:w="1769" w:type="dxa"/>
            <w:vAlign w:val="center"/>
          </w:tcPr>
          <w:p w:rsidR="001F263A" w:rsidRDefault="004F7A8D">
            <w:pPr>
              <w:jc w:val="center"/>
            </w:pPr>
            <w:r>
              <w:rPr>
                <w:color w:val="000000"/>
                <w:sz w:val="24"/>
              </w:rPr>
              <w:t>立讯精密</w:t>
            </w:r>
          </w:p>
        </w:tc>
        <w:tc>
          <w:tcPr>
            <w:tcW w:w="1327" w:type="dxa"/>
            <w:vAlign w:val="center"/>
          </w:tcPr>
          <w:p w:rsidR="001F263A" w:rsidRDefault="004F7A8D">
            <w:pPr>
              <w:jc w:val="right"/>
            </w:pPr>
            <w:r>
              <w:rPr>
                <w:color w:val="000000"/>
                <w:sz w:val="24"/>
              </w:rPr>
              <w:t>160,676</w:t>
            </w:r>
          </w:p>
        </w:tc>
        <w:tc>
          <w:tcPr>
            <w:tcW w:w="1915" w:type="dxa"/>
            <w:vAlign w:val="center"/>
          </w:tcPr>
          <w:p w:rsidR="001F263A" w:rsidRDefault="004F7A8D">
            <w:pPr>
              <w:jc w:val="right"/>
            </w:pPr>
            <w:r>
              <w:rPr>
                <w:color w:val="000000"/>
                <w:sz w:val="24"/>
              </w:rPr>
              <w:t>8,250,712.60</w:t>
            </w:r>
          </w:p>
        </w:tc>
        <w:tc>
          <w:tcPr>
            <w:tcW w:w="1680" w:type="dxa"/>
            <w:vAlign w:val="center"/>
          </w:tcPr>
          <w:p w:rsidR="001F263A" w:rsidRDefault="004F7A8D">
            <w:pPr>
              <w:jc w:val="right"/>
            </w:pPr>
            <w:r>
              <w:rPr>
                <w:color w:val="000000"/>
                <w:sz w:val="24"/>
              </w:rPr>
              <w:t>0.67</w:t>
            </w:r>
          </w:p>
        </w:tc>
      </w:tr>
      <w:tr w:rsidR="001F263A">
        <w:trPr>
          <w:jc w:val="center"/>
        </w:trPr>
        <w:tc>
          <w:tcPr>
            <w:tcW w:w="850" w:type="dxa"/>
            <w:vAlign w:val="center"/>
          </w:tcPr>
          <w:p w:rsidR="001F263A" w:rsidRDefault="004F7A8D">
            <w:pPr>
              <w:jc w:val="center"/>
            </w:pPr>
            <w:r>
              <w:rPr>
                <w:color w:val="000000"/>
                <w:sz w:val="24"/>
              </w:rPr>
              <w:t>4</w:t>
            </w:r>
          </w:p>
        </w:tc>
        <w:tc>
          <w:tcPr>
            <w:tcW w:w="1327" w:type="dxa"/>
            <w:vAlign w:val="center"/>
          </w:tcPr>
          <w:p w:rsidR="001F263A" w:rsidRDefault="004F7A8D">
            <w:pPr>
              <w:jc w:val="center"/>
            </w:pPr>
            <w:r>
              <w:rPr>
                <w:color w:val="000000"/>
                <w:sz w:val="24"/>
              </w:rPr>
              <w:t>300059</w:t>
            </w:r>
          </w:p>
        </w:tc>
        <w:tc>
          <w:tcPr>
            <w:tcW w:w="1769" w:type="dxa"/>
            <w:vAlign w:val="center"/>
          </w:tcPr>
          <w:p w:rsidR="001F263A" w:rsidRDefault="004F7A8D">
            <w:pPr>
              <w:jc w:val="center"/>
            </w:pPr>
            <w:r>
              <w:rPr>
                <w:color w:val="000000"/>
                <w:sz w:val="24"/>
              </w:rPr>
              <w:t>东方财富</w:t>
            </w:r>
          </w:p>
        </w:tc>
        <w:tc>
          <w:tcPr>
            <w:tcW w:w="1327" w:type="dxa"/>
            <w:vAlign w:val="center"/>
          </w:tcPr>
          <w:p w:rsidR="001F263A" w:rsidRDefault="004F7A8D">
            <w:pPr>
              <w:jc w:val="right"/>
            </w:pPr>
            <w:r>
              <w:rPr>
                <w:color w:val="000000"/>
                <w:sz w:val="24"/>
              </w:rPr>
              <w:t>376,720</w:t>
            </w:r>
          </w:p>
        </w:tc>
        <w:tc>
          <w:tcPr>
            <w:tcW w:w="1915" w:type="dxa"/>
            <w:vAlign w:val="center"/>
          </w:tcPr>
          <w:p w:rsidR="001F263A" w:rsidRDefault="004F7A8D">
            <w:pPr>
              <w:jc w:val="right"/>
            </w:pPr>
            <w:r>
              <w:rPr>
                <w:color w:val="000000"/>
                <w:sz w:val="24"/>
              </w:rPr>
              <w:t>7,609,744.00</w:t>
            </w:r>
          </w:p>
        </w:tc>
        <w:tc>
          <w:tcPr>
            <w:tcW w:w="1680" w:type="dxa"/>
            <w:vAlign w:val="center"/>
          </w:tcPr>
          <w:p w:rsidR="001F263A" w:rsidRDefault="004F7A8D">
            <w:pPr>
              <w:jc w:val="right"/>
            </w:pPr>
            <w:r>
              <w:rPr>
                <w:color w:val="000000"/>
                <w:sz w:val="24"/>
              </w:rPr>
              <w:t>0.62</w:t>
            </w:r>
          </w:p>
        </w:tc>
      </w:tr>
      <w:tr w:rsidR="001F263A">
        <w:trPr>
          <w:jc w:val="center"/>
        </w:trPr>
        <w:tc>
          <w:tcPr>
            <w:tcW w:w="850" w:type="dxa"/>
            <w:vAlign w:val="center"/>
          </w:tcPr>
          <w:p w:rsidR="001F263A" w:rsidRDefault="004F7A8D">
            <w:pPr>
              <w:jc w:val="center"/>
            </w:pPr>
            <w:r>
              <w:rPr>
                <w:color w:val="000000"/>
                <w:sz w:val="24"/>
              </w:rPr>
              <w:t>5</w:t>
            </w:r>
          </w:p>
        </w:tc>
        <w:tc>
          <w:tcPr>
            <w:tcW w:w="1327" w:type="dxa"/>
            <w:vAlign w:val="center"/>
          </w:tcPr>
          <w:p w:rsidR="001F263A" w:rsidRDefault="004F7A8D">
            <w:pPr>
              <w:jc w:val="center"/>
            </w:pPr>
            <w:r>
              <w:rPr>
                <w:color w:val="000000"/>
                <w:sz w:val="24"/>
              </w:rPr>
              <w:t>001965</w:t>
            </w:r>
          </w:p>
        </w:tc>
        <w:tc>
          <w:tcPr>
            <w:tcW w:w="1769" w:type="dxa"/>
            <w:vAlign w:val="center"/>
          </w:tcPr>
          <w:p w:rsidR="001F263A" w:rsidRDefault="004F7A8D">
            <w:pPr>
              <w:jc w:val="center"/>
            </w:pPr>
            <w:r>
              <w:rPr>
                <w:color w:val="000000"/>
                <w:sz w:val="24"/>
              </w:rPr>
              <w:t>招商公路</w:t>
            </w:r>
          </w:p>
        </w:tc>
        <w:tc>
          <w:tcPr>
            <w:tcW w:w="1327" w:type="dxa"/>
            <w:vAlign w:val="center"/>
          </w:tcPr>
          <w:p w:rsidR="001F263A" w:rsidRDefault="004F7A8D">
            <w:pPr>
              <w:jc w:val="right"/>
            </w:pPr>
            <w:r>
              <w:rPr>
                <w:color w:val="000000"/>
                <w:sz w:val="24"/>
              </w:rPr>
              <w:t>1,110,400</w:t>
            </w:r>
          </w:p>
        </w:tc>
        <w:tc>
          <w:tcPr>
            <w:tcW w:w="1915" w:type="dxa"/>
            <w:vAlign w:val="center"/>
          </w:tcPr>
          <w:p w:rsidR="001F263A" w:rsidRDefault="004F7A8D">
            <w:pPr>
              <w:jc w:val="right"/>
            </w:pPr>
            <w:r>
              <w:rPr>
                <w:color w:val="000000"/>
                <w:sz w:val="24"/>
              </w:rPr>
              <w:t>7,472,992.00</w:t>
            </w:r>
          </w:p>
        </w:tc>
        <w:tc>
          <w:tcPr>
            <w:tcW w:w="1680" w:type="dxa"/>
            <w:vAlign w:val="center"/>
          </w:tcPr>
          <w:p w:rsidR="001F263A" w:rsidRDefault="004F7A8D">
            <w:pPr>
              <w:jc w:val="right"/>
            </w:pPr>
            <w:r>
              <w:rPr>
                <w:color w:val="000000"/>
                <w:sz w:val="24"/>
              </w:rPr>
              <w:t>0.61</w:t>
            </w:r>
          </w:p>
        </w:tc>
      </w:tr>
      <w:tr w:rsidR="001F263A">
        <w:trPr>
          <w:jc w:val="center"/>
        </w:trPr>
        <w:tc>
          <w:tcPr>
            <w:tcW w:w="850" w:type="dxa"/>
            <w:vAlign w:val="center"/>
          </w:tcPr>
          <w:p w:rsidR="001F263A" w:rsidRDefault="004F7A8D">
            <w:pPr>
              <w:jc w:val="center"/>
            </w:pPr>
            <w:r>
              <w:rPr>
                <w:color w:val="000000"/>
                <w:sz w:val="24"/>
              </w:rPr>
              <w:t>6</w:t>
            </w:r>
          </w:p>
        </w:tc>
        <w:tc>
          <w:tcPr>
            <w:tcW w:w="1327" w:type="dxa"/>
            <w:vAlign w:val="center"/>
          </w:tcPr>
          <w:p w:rsidR="001F263A" w:rsidRDefault="004F7A8D">
            <w:pPr>
              <w:jc w:val="center"/>
            </w:pPr>
            <w:r>
              <w:rPr>
                <w:color w:val="000000"/>
                <w:sz w:val="24"/>
              </w:rPr>
              <w:t>002179</w:t>
            </w:r>
          </w:p>
        </w:tc>
        <w:tc>
          <w:tcPr>
            <w:tcW w:w="1769" w:type="dxa"/>
            <w:vAlign w:val="center"/>
          </w:tcPr>
          <w:p w:rsidR="001F263A" w:rsidRDefault="004F7A8D">
            <w:pPr>
              <w:jc w:val="center"/>
            </w:pPr>
            <w:r>
              <w:rPr>
                <w:color w:val="000000"/>
                <w:sz w:val="24"/>
              </w:rPr>
              <w:t>中航光电</w:t>
            </w:r>
          </w:p>
        </w:tc>
        <w:tc>
          <w:tcPr>
            <w:tcW w:w="1327" w:type="dxa"/>
            <w:vAlign w:val="center"/>
          </w:tcPr>
          <w:p w:rsidR="001F263A" w:rsidRDefault="004F7A8D">
            <w:pPr>
              <w:jc w:val="right"/>
            </w:pPr>
            <w:r>
              <w:rPr>
                <w:color w:val="000000"/>
                <w:sz w:val="24"/>
              </w:rPr>
              <w:t>177,700</w:t>
            </w:r>
          </w:p>
        </w:tc>
        <w:tc>
          <w:tcPr>
            <w:tcW w:w="1915" w:type="dxa"/>
            <w:vAlign w:val="center"/>
          </w:tcPr>
          <w:p w:rsidR="001F263A" w:rsidRDefault="004F7A8D">
            <w:pPr>
              <w:jc w:val="right"/>
            </w:pPr>
            <w:r>
              <w:rPr>
                <w:color w:val="000000"/>
                <w:sz w:val="24"/>
              </w:rPr>
              <w:t>7,287,477.00</w:t>
            </w:r>
          </w:p>
        </w:tc>
        <w:tc>
          <w:tcPr>
            <w:tcW w:w="1680" w:type="dxa"/>
            <w:vAlign w:val="center"/>
          </w:tcPr>
          <w:p w:rsidR="001F263A" w:rsidRDefault="004F7A8D">
            <w:pPr>
              <w:jc w:val="right"/>
            </w:pPr>
            <w:r>
              <w:rPr>
                <w:color w:val="000000"/>
                <w:sz w:val="24"/>
              </w:rPr>
              <w:t>0.59</w:t>
            </w:r>
          </w:p>
        </w:tc>
      </w:tr>
      <w:tr w:rsidR="001F263A">
        <w:trPr>
          <w:jc w:val="center"/>
        </w:trPr>
        <w:tc>
          <w:tcPr>
            <w:tcW w:w="850" w:type="dxa"/>
            <w:vAlign w:val="center"/>
          </w:tcPr>
          <w:p w:rsidR="001F263A" w:rsidRDefault="004F7A8D">
            <w:pPr>
              <w:jc w:val="center"/>
            </w:pPr>
            <w:r>
              <w:rPr>
                <w:color w:val="000000"/>
                <w:sz w:val="24"/>
              </w:rPr>
              <w:t>7</w:t>
            </w:r>
          </w:p>
        </w:tc>
        <w:tc>
          <w:tcPr>
            <w:tcW w:w="1327" w:type="dxa"/>
            <w:vAlign w:val="center"/>
          </w:tcPr>
          <w:p w:rsidR="001F263A" w:rsidRDefault="004F7A8D">
            <w:pPr>
              <w:jc w:val="center"/>
            </w:pPr>
            <w:r>
              <w:rPr>
                <w:color w:val="000000"/>
                <w:sz w:val="24"/>
              </w:rPr>
              <w:t>002230</w:t>
            </w:r>
          </w:p>
        </w:tc>
        <w:tc>
          <w:tcPr>
            <w:tcW w:w="1769" w:type="dxa"/>
            <w:vAlign w:val="center"/>
          </w:tcPr>
          <w:p w:rsidR="001F263A" w:rsidRDefault="004F7A8D">
            <w:pPr>
              <w:jc w:val="center"/>
            </w:pPr>
            <w:r>
              <w:rPr>
                <w:color w:val="000000"/>
                <w:sz w:val="24"/>
              </w:rPr>
              <w:t>科大讯飞</w:t>
            </w:r>
          </w:p>
        </w:tc>
        <w:tc>
          <w:tcPr>
            <w:tcW w:w="1327" w:type="dxa"/>
            <w:vAlign w:val="center"/>
          </w:tcPr>
          <w:p w:rsidR="001F263A" w:rsidRDefault="004F7A8D">
            <w:pPr>
              <w:jc w:val="right"/>
            </w:pPr>
            <w:r>
              <w:rPr>
                <w:color w:val="000000"/>
                <w:sz w:val="24"/>
              </w:rPr>
              <w:t>174,100</w:t>
            </w:r>
          </w:p>
        </w:tc>
        <w:tc>
          <w:tcPr>
            <w:tcW w:w="1915" w:type="dxa"/>
            <w:vAlign w:val="center"/>
          </w:tcPr>
          <w:p w:rsidR="001F263A" w:rsidRDefault="004F7A8D">
            <w:pPr>
              <w:jc w:val="right"/>
            </w:pPr>
            <w:r>
              <w:rPr>
                <w:color w:val="000000"/>
                <w:sz w:val="24"/>
              </w:rPr>
              <w:t>6,516,563.00</w:t>
            </w:r>
          </w:p>
        </w:tc>
        <w:tc>
          <w:tcPr>
            <w:tcW w:w="1680" w:type="dxa"/>
            <w:vAlign w:val="center"/>
          </w:tcPr>
          <w:p w:rsidR="001F263A" w:rsidRDefault="004F7A8D">
            <w:pPr>
              <w:jc w:val="right"/>
            </w:pPr>
            <w:r>
              <w:rPr>
                <w:color w:val="000000"/>
                <w:sz w:val="24"/>
              </w:rPr>
              <w:t>0.53</w:t>
            </w:r>
          </w:p>
        </w:tc>
      </w:tr>
      <w:tr w:rsidR="001F263A">
        <w:trPr>
          <w:jc w:val="center"/>
        </w:trPr>
        <w:tc>
          <w:tcPr>
            <w:tcW w:w="850" w:type="dxa"/>
            <w:vAlign w:val="center"/>
          </w:tcPr>
          <w:p w:rsidR="001F263A" w:rsidRDefault="004F7A8D">
            <w:pPr>
              <w:jc w:val="center"/>
            </w:pPr>
            <w:r>
              <w:rPr>
                <w:color w:val="000000"/>
                <w:sz w:val="24"/>
              </w:rPr>
              <w:lastRenderedPageBreak/>
              <w:t>8</w:t>
            </w:r>
          </w:p>
        </w:tc>
        <w:tc>
          <w:tcPr>
            <w:tcW w:w="1327" w:type="dxa"/>
            <w:vAlign w:val="center"/>
          </w:tcPr>
          <w:p w:rsidR="001F263A" w:rsidRDefault="004F7A8D">
            <w:pPr>
              <w:jc w:val="center"/>
            </w:pPr>
            <w:r>
              <w:rPr>
                <w:color w:val="000000"/>
                <w:sz w:val="24"/>
              </w:rPr>
              <w:t>002460</w:t>
            </w:r>
          </w:p>
        </w:tc>
        <w:tc>
          <w:tcPr>
            <w:tcW w:w="1769" w:type="dxa"/>
            <w:vAlign w:val="center"/>
          </w:tcPr>
          <w:p w:rsidR="001F263A" w:rsidRDefault="004F7A8D">
            <w:pPr>
              <w:jc w:val="center"/>
            </w:pPr>
            <w:r>
              <w:rPr>
                <w:color w:val="000000"/>
                <w:sz w:val="24"/>
              </w:rPr>
              <w:t>赣锋锂业</w:t>
            </w:r>
          </w:p>
        </w:tc>
        <w:tc>
          <w:tcPr>
            <w:tcW w:w="1327" w:type="dxa"/>
            <w:vAlign w:val="center"/>
          </w:tcPr>
          <w:p w:rsidR="001F263A" w:rsidRDefault="004F7A8D">
            <w:pPr>
              <w:jc w:val="right"/>
            </w:pPr>
            <w:r>
              <w:rPr>
                <w:color w:val="000000"/>
                <w:sz w:val="24"/>
              </w:rPr>
              <w:t>118,600</w:t>
            </w:r>
          </w:p>
        </w:tc>
        <w:tc>
          <w:tcPr>
            <w:tcW w:w="1915" w:type="dxa"/>
            <w:vAlign w:val="center"/>
          </w:tcPr>
          <w:p w:rsidR="001F263A" w:rsidRDefault="004F7A8D">
            <w:pPr>
              <w:jc w:val="right"/>
            </w:pPr>
            <w:r>
              <w:rPr>
                <w:color w:val="000000"/>
                <w:sz w:val="24"/>
              </w:rPr>
              <w:t>6,353,402.00</w:t>
            </w:r>
          </w:p>
        </w:tc>
        <w:tc>
          <w:tcPr>
            <w:tcW w:w="1680" w:type="dxa"/>
            <w:vAlign w:val="center"/>
          </w:tcPr>
          <w:p w:rsidR="001F263A" w:rsidRDefault="004F7A8D">
            <w:pPr>
              <w:jc w:val="right"/>
            </w:pPr>
            <w:r>
              <w:rPr>
                <w:color w:val="000000"/>
                <w:sz w:val="24"/>
              </w:rPr>
              <w:t>0.52</w:t>
            </w:r>
          </w:p>
        </w:tc>
      </w:tr>
      <w:tr w:rsidR="001F263A">
        <w:trPr>
          <w:jc w:val="center"/>
        </w:trPr>
        <w:tc>
          <w:tcPr>
            <w:tcW w:w="850" w:type="dxa"/>
            <w:vAlign w:val="center"/>
          </w:tcPr>
          <w:p w:rsidR="001F263A" w:rsidRDefault="004F7A8D">
            <w:pPr>
              <w:jc w:val="center"/>
            </w:pPr>
            <w:r>
              <w:rPr>
                <w:color w:val="000000"/>
                <w:sz w:val="24"/>
              </w:rPr>
              <w:t>9</w:t>
            </w:r>
          </w:p>
        </w:tc>
        <w:tc>
          <w:tcPr>
            <w:tcW w:w="1327" w:type="dxa"/>
            <w:vAlign w:val="center"/>
          </w:tcPr>
          <w:p w:rsidR="001F263A" w:rsidRDefault="004F7A8D">
            <w:pPr>
              <w:jc w:val="center"/>
            </w:pPr>
            <w:r>
              <w:rPr>
                <w:color w:val="000000"/>
                <w:sz w:val="24"/>
              </w:rPr>
              <w:t>002025</w:t>
            </w:r>
          </w:p>
        </w:tc>
        <w:tc>
          <w:tcPr>
            <w:tcW w:w="1769" w:type="dxa"/>
            <w:vAlign w:val="center"/>
          </w:tcPr>
          <w:p w:rsidR="001F263A" w:rsidRDefault="004F7A8D">
            <w:pPr>
              <w:jc w:val="center"/>
            </w:pPr>
            <w:r>
              <w:rPr>
                <w:color w:val="000000"/>
                <w:sz w:val="24"/>
              </w:rPr>
              <w:t>航天电器</w:t>
            </w:r>
          </w:p>
        </w:tc>
        <w:tc>
          <w:tcPr>
            <w:tcW w:w="1327" w:type="dxa"/>
            <w:vAlign w:val="center"/>
          </w:tcPr>
          <w:p w:rsidR="001F263A" w:rsidRDefault="004F7A8D">
            <w:pPr>
              <w:jc w:val="right"/>
            </w:pPr>
            <w:r>
              <w:rPr>
                <w:color w:val="000000"/>
                <w:sz w:val="24"/>
              </w:rPr>
              <w:t>173,550</w:t>
            </w:r>
          </w:p>
        </w:tc>
        <w:tc>
          <w:tcPr>
            <w:tcW w:w="1915" w:type="dxa"/>
            <w:vAlign w:val="center"/>
          </w:tcPr>
          <w:p w:rsidR="001F263A" w:rsidRDefault="004F7A8D">
            <w:pPr>
              <w:jc w:val="right"/>
            </w:pPr>
            <w:r>
              <w:rPr>
                <w:color w:val="000000"/>
                <w:sz w:val="24"/>
              </w:rPr>
              <w:t>6,348,459.00</w:t>
            </w:r>
          </w:p>
        </w:tc>
        <w:tc>
          <w:tcPr>
            <w:tcW w:w="1680" w:type="dxa"/>
            <w:vAlign w:val="center"/>
          </w:tcPr>
          <w:p w:rsidR="001F263A" w:rsidRDefault="004F7A8D">
            <w:pPr>
              <w:jc w:val="right"/>
            </w:pPr>
            <w:r>
              <w:rPr>
                <w:color w:val="000000"/>
                <w:sz w:val="24"/>
              </w:rPr>
              <w:t>0.51</w:t>
            </w:r>
          </w:p>
        </w:tc>
      </w:tr>
      <w:tr w:rsidR="001F263A">
        <w:trPr>
          <w:jc w:val="center"/>
        </w:trPr>
        <w:tc>
          <w:tcPr>
            <w:tcW w:w="850" w:type="dxa"/>
            <w:vAlign w:val="center"/>
          </w:tcPr>
          <w:p w:rsidR="001F263A" w:rsidRDefault="004F7A8D">
            <w:pPr>
              <w:jc w:val="center"/>
            </w:pPr>
            <w:r>
              <w:rPr>
                <w:color w:val="000000"/>
                <w:sz w:val="24"/>
              </w:rPr>
              <w:t>10</w:t>
            </w:r>
          </w:p>
        </w:tc>
        <w:tc>
          <w:tcPr>
            <w:tcW w:w="1327" w:type="dxa"/>
            <w:vAlign w:val="center"/>
          </w:tcPr>
          <w:p w:rsidR="001F263A" w:rsidRDefault="004F7A8D">
            <w:pPr>
              <w:jc w:val="center"/>
            </w:pPr>
            <w:r>
              <w:rPr>
                <w:color w:val="000000"/>
                <w:sz w:val="24"/>
              </w:rPr>
              <w:t>000002</w:t>
            </w:r>
          </w:p>
        </w:tc>
        <w:tc>
          <w:tcPr>
            <w:tcW w:w="1769" w:type="dxa"/>
            <w:vAlign w:val="center"/>
          </w:tcPr>
          <w:p w:rsidR="001F263A" w:rsidRDefault="004F7A8D">
            <w:pPr>
              <w:jc w:val="center"/>
            </w:pPr>
            <w:r>
              <w:rPr>
                <w:color w:val="000000"/>
                <w:sz w:val="24"/>
              </w:rPr>
              <w:t>万科</w:t>
            </w:r>
            <w:r>
              <w:rPr>
                <w:color w:val="000000"/>
                <w:sz w:val="24"/>
              </w:rPr>
              <w:t>A</w:t>
            </w:r>
          </w:p>
        </w:tc>
        <w:tc>
          <w:tcPr>
            <w:tcW w:w="1327" w:type="dxa"/>
            <w:vAlign w:val="center"/>
          </w:tcPr>
          <w:p w:rsidR="001F263A" w:rsidRDefault="004F7A8D">
            <w:pPr>
              <w:jc w:val="right"/>
            </w:pPr>
            <w:r>
              <w:rPr>
                <w:color w:val="000000"/>
                <w:sz w:val="24"/>
              </w:rPr>
              <w:t>238,300</w:t>
            </w:r>
          </w:p>
        </w:tc>
        <w:tc>
          <w:tcPr>
            <w:tcW w:w="1915" w:type="dxa"/>
            <w:vAlign w:val="center"/>
          </w:tcPr>
          <w:p w:rsidR="001F263A" w:rsidRDefault="004F7A8D">
            <w:pPr>
              <w:jc w:val="right"/>
            </w:pPr>
            <w:r>
              <w:rPr>
                <w:color w:val="000000"/>
                <w:sz w:val="24"/>
              </w:rPr>
              <w:t>6,229,162.00</w:t>
            </w:r>
          </w:p>
        </w:tc>
        <w:tc>
          <w:tcPr>
            <w:tcW w:w="1680" w:type="dxa"/>
            <w:vAlign w:val="center"/>
          </w:tcPr>
          <w:p w:rsidR="001F263A" w:rsidRDefault="004F7A8D">
            <w:pPr>
              <w:jc w:val="right"/>
            </w:pPr>
            <w:r>
              <w:rPr>
                <w:color w:val="000000"/>
                <w:sz w:val="24"/>
              </w:rPr>
              <w:t>0.51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22,521,270.00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52,614,279.70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52,614,279.70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241,187,250.00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19.56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30,015,000.00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2.43</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853,498,000.00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69.20</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1,199,835,799.70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97.28</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1F263A">
        <w:trPr>
          <w:jc w:val="center"/>
        </w:trPr>
        <w:tc>
          <w:tcPr>
            <w:tcW w:w="1075" w:type="dxa"/>
            <w:vAlign w:val="center"/>
          </w:tcPr>
          <w:p w:rsidR="001F263A" w:rsidRDefault="004F7A8D">
            <w:pPr>
              <w:jc w:val="center"/>
            </w:pPr>
            <w:r>
              <w:rPr>
                <w:color w:val="000000"/>
                <w:sz w:val="24"/>
              </w:rPr>
              <w:t>1</w:t>
            </w:r>
          </w:p>
        </w:tc>
        <w:tc>
          <w:tcPr>
            <w:tcW w:w="1533" w:type="dxa"/>
            <w:vAlign w:val="center"/>
          </w:tcPr>
          <w:p w:rsidR="001F263A" w:rsidRDefault="004F7A8D">
            <w:pPr>
              <w:jc w:val="center"/>
            </w:pPr>
            <w:r>
              <w:rPr>
                <w:color w:val="000000"/>
                <w:sz w:val="24"/>
              </w:rPr>
              <w:t>101901410</w:t>
            </w:r>
          </w:p>
        </w:tc>
        <w:tc>
          <w:tcPr>
            <w:tcW w:w="1533" w:type="dxa"/>
            <w:vAlign w:val="center"/>
          </w:tcPr>
          <w:p w:rsidR="001F263A" w:rsidRDefault="004F7A8D">
            <w:pPr>
              <w:jc w:val="center"/>
            </w:pPr>
            <w:r>
              <w:rPr>
                <w:color w:val="000000"/>
                <w:sz w:val="24"/>
              </w:rPr>
              <w:t>19</w:t>
            </w:r>
            <w:r>
              <w:rPr>
                <w:color w:val="000000"/>
                <w:sz w:val="24"/>
              </w:rPr>
              <w:t>光明</w:t>
            </w:r>
            <w:r>
              <w:rPr>
                <w:color w:val="000000"/>
                <w:sz w:val="24"/>
              </w:rPr>
              <w:t>MTN001</w:t>
            </w:r>
          </w:p>
        </w:tc>
        <w:tc>
          <w:tcPr>
            <w:tcW w:w="1394" w:type="dxa"/>
            <w:vAlign w:val="center"/>
          </w:tcPr>
          <w:p w:rsidR="001F263A" w:rsidRDefault="004F7A8D">
            <w:pPr>
              <w:jc w:val="right"/>
            </w:pPr>
            <w:r>
              <w:rPr>
                <w:color w:val="000000"/>
                <w:sz w:val="24"/>
              </w:rPr>
              <w:t>700,000</w:t>
            </w:r>
          </w:p>
        </w:tc>
        <w:tc>
          <w:tcPr>
            <w:tcW w:w="1944" w:type="dxa"/>
            <w:vAlign w:val="center"/>
          </w:tcPr>
          <w:p w:rsidR="001F263A" w:rsidRDefault="004F7A8D">
            <w:pPr>
              <w:jc w:val="right"/>
            </w:pPr>
            <w:r>
              <w:rPr>
                <w:color w:val="000000"/>
                <w:sz w:val="24"/>
              </w:rPr>
              <w:t>70,749,000.00</w:t>
            </w:r>
          </w:p>
        </w:tc>
        <w:tc>
          <w:tcPr>
            <w:tcW w:w="1389" w:type="dxa"/>
            <w:vAlign w:val="center"/>
          </w:tcPr>
          <w:p w:rsidR="001F263A" w:rsidRDefault="004F7A8D">
            <w:pPr>
              <w:jc w:val="right"/>
            </w:pPr>
            <w:r>
              <w:rPr>
                <w:color w:val="000000"/>
                <w:sz w:val="24"/>
              </w:rPr>
              <w:t>5.74</w:t>
            </w:r>
          </w:p>
        </w:tc>
      </w:tr>
      <w:tr w:rsidR="001F263A">
        <w:trPr>
          <w:jc w:val="center"/>
        </w:trPr>
        <w:tc>
          <w:tcPr>
            <w:tcW w:w="1075" w:type="dxa"/>
            <w:vAlign w:val="center"/>
          </w:tcPr>
          <w:p w:rsidR="001F263A" w:rsidRDefault="004F7A8D">
            <w:pPr>
              <w:jc w:val="center"/>
            </w:pPr>
            <w:r>
              <w:rPr>
                <w:color w:val="000000"/>
                <w:sz w:val="24"/>
              </w:rPr>
              <w:t>2</w:t>
            </w:r>
          </w:p>
        </w:tc>
        <w:tc>
          <w:tcPr>
            <w:tcW w:w="1533" w:type="dxa"/>
            <w:vAlign w:val="center"/>
          </w:tcPr>
          <w:p w:rsidR="001F263A" w:rsidRDefault="004F7A8D">
            <w:pPr>
              <w:jc w:val="center"/>
            </w:pPr>
            <w:r>
              <w:rPr>
                <w:color w:val="000000"/>
                <w:sz w:val="24"/>
              </w:rPr>
              <w:t>101900630</w:t>
            </w:r>
          </w:p>
        </w:tc>
        <w:tc>
          <w:tcPr>
            <w:tcW w:w="1533" w:type="dxa"/>
            <w:vAlign w:val="center"/>
          </w:tcPr>
          <w:p w:rsidR="001F263A" w:rsidRDefault="004F7A8D">
            <w:pPr>
              <w:jc w:val="center"/>
            </w:pPr>
            <w:r>
              <w:rPr>
                <w:color w:val="000000"/>
                <w:sz w:val="24"/>
              </w:rPr>
              <w:t>19</w:t>
            </w:r>
            <w:r>
              <w:rPr>
                <w:color w:val="000000"/>
                <w:sz w:val="24"/>
              </w:rPr>
              <w:t>京国资</w:t>
            </w:r>
            <w:r>
              <w:rPr>
                <w:color w:val="000000"/>
                <w:sz w:val="24"/>
              </w:rPr>
              <w:t>MTN001</w:t>
            </w:r>
          </w:p>
        </w:tc>
        <w:tc>
          <w:tcPr>
            <w:tcW w:w="1394" w:type="dxa"/>
            <w:vAlign w:val="center"/>
          </w:tcPr>
          <w:p w:rsidR="001F263A" w:rsidRDefault="004F7A8D">
            <w:pPr>
              <w:jc w:val="right"/>
            </w:pPr>
            <w:r>
              <w:rPr>
                <w:color w:val="000000"/>
                <w:sz w:val="24"/>
              </w:rPr>
              <w:t>400,000</w:t>
            </w:r>
          </w:p>
        </w:tc>
        <w:tc>
          <w:tcPr>
            <w:tcW w:w="1944" w:type="dxa"/>
            <w:vAlign w:val="center"/>
          </w:tcPr>
          <w:p w:rsidR="001F263A" w:rsidRDefault="004F7A8D">
            <w:pPr>
              <w:jc w:val="right"/>
            </w:pPr>
            <w:r>
              <w:rPr>
                <w:color w:val="000000"/>
                <w:sz w:val="24"/>
              </w:rPr>
              <w:t>40,696,000.00</w:t>
            </w:r>
          </w:p>
        </w:tc>
        <w:tc>
          <w:tcPr>
            <w:tcW w:w="1389" w:type="dxa"/>
            <w:vAlign w:val="center"/>
          </w:tcPr>
          <w:p w:rsidR="001F263A" w:rsidRDefault="004F7A8D">
            <w:pPr>
              <w:jc w:val="right"/>
            </w:pPr>
            <w:r>
              <w:rPr>
                <w:color w:val="000000"/>
                <w:sz w:val="24"/>
              </w:rPr>
              <w:t>3.30</w:t>
            </w:r>
          </w:p>
        </w:tc>
      </w:tr>
      <w:tr w:rsidR="001F263A">
        <w:trPr>
          <w:jc w:val="center"/>
        </w:trPr>
        <w:tc>
          <w:tcPr>
            <w:tcW w:w="1075" w:type="dxa"/>
            <w:vAlign w:val="center"/>
          </w:tcPr>
          <w:p w:rsidR="001F263A" w:rsidRDefault="004F7A8D">
            <w:pPr>
              <w:jc w:val="center"/>
            </w:pPr>
            <w:r>
              <w:rPr>
                <w:color w:val="000000"/>
                <w:sz w:val="24"/>
              </w:rPr>
              <w:t>3</w:t>
            </w:r>
          </w:p>
        </w:tc>
        <w:tc>
          <w:tcPr>
            <w:tcW w:w="1533" w:type="dxa"/>
            <w:vAlign w:val="center"/>
          </w:tcPr>
          <w:p w:rsidR="001F263A" w:rsidRDefault="004F7A8D">
            <w:pPr>
              <w:jc w:val="center"/>
            </w:pPr>
            <w:r>
              <w:rPr>
                <w:color w:val="000000"/>
                <w:sz w:val="24"/>
              </w:rPr>
              <w:t>102000043</w:t>
            </w:r>
          </w:p>
        </w:tc>
        <w:tc>
          <w:tcPr>
            <w:tcW w:w="1533" w:type="dxa"/>
            <w:vAlign w:val="center"/>
          </w:tcPr>
          <w:p w:rsidR="001F263A" w:rsidRDefault="004F7A8D">
            <w:pPr>
              <w:jc w:val="center"/>
            </w:pPr>
            <w:r>
              <w:rPr>
                <w:color w:val="000000"/>
                <w:sz w:val="24"/>
              </w:rPr>
              <w:t>20</w:t>
            </w:r>
            <w:r>
              <w:rPr>
                <w:color w:val="000000"/>
                <w:sz w:val="24"/>
              </w:rPr>
              <w:t>申迪</w:t>
            </w:r>
            <w:r>
              <w:rPr>
                <w:color w:val="000000"/>
                <w:sz w:val="24"/>
              </w:rPr>
              <w:t>MTN001</w:t>
            </w:r>
          </w:p>
        </w:tc>
        <w:tc>
          <w:tcPr>
            <w:tcW w:w="1394" w:type="dxa"/>
            <w:vAlign w:val="center"/>
          </w:tcPr>
          <w:p w:rsidR="001F263A" w:rsidRDefault="004F7A8D">
            <w:pPr>
              <w:jc w:val="right"/>
            </w:pPr>
            <w:r>
              <w:rPr>
                <w:color w:val="000000"/>
                <w:sz w:val="24"/>
              </w:rPr>
              <w:t>400,000</w:t>
            </w:r>
          </w:p>
        </w:tc>
        <w:tc>
          <w:tcPr>
            <w:tcW w:w="1944" w:type="dxa"/>
            <w:vAlign w:val="center"/>
          </w:tcPr>
          <w:p w:rsidR="001F263A" w:rsidRDefault="004F7A8D">
            <w:pPr>
              <w:jc w:val="right"/>
            </w:pPr>
            <w:r>
              <w:rPr>
                <w:color w:val="000000"/>
                <w:sz w:val="24"/>
              </w:rPr>
              <w:t>40,280,000.00</w:t>
            </w:r>
          </w:p>
        </w:tc>
        <w:tc>
          <w:tcPr>
            <w:tcW w:w="1389" w:type="dxa"/>
            <w:vAlign w:val="center"/>
          </w:tcPr>
          <w:p w:rsidR="001F263A" w:rsidRDefault="004F7A8D">
            <w:pPr>
              <w:jc w:val="right"/>
            </w:pPr>
            <w:r>
              <w:rPr>
                <w:color w:val="000000"/>
                <w:sz w:val="24"/>
              </w:rPr>
              <w:t>3.27</w:t>
            </w:r>
          </w:p>
        </w:tc>
      </w:tr>
      <w:tr w:rsidR="001F263A">
        <w:trPr>
          <w:jc w:val="center"/>
        </w:trPr>
        <w:tc>
          <w:tcPr>
            <w:tcW w:w="1075" w:type="dxa"/>
            <w:vAlign w:val="center"/>
          </w:tcPr>
          <w:p w:rsidR="001F263A" w:rsidRDefault="004F7A8D">
            <w:pPr>
              <w:jc w:val="center"/>
            </w:pPr>
            <w:r>
              <w:rPr>
                <w:color w:val="000000"/>
                <w:sz w:val="24"/>
              </w:rPr>
              <w:t>4</w:t>
            </w:r>
          </w:p>
        </w:tc>
        <w:tc>
          <w:tcPr>
            <w:tcW w:w="1533" w:type="dxa"/>
            <w:vAlign w:val="center"/>
          </w:tcPr>
          <w:p w:rsidR="001F263A" w:rsidRDefault="004F7A8D">
            <w:pPr>
              <w:jc w:val="center"/>
            </w:pPr>
            <w:r>
              <w:rPr>
                <w:color w:val="000000"/>
                <w:sz w:val="24"/>
              </w:rPr>
              <w:t>102000048</w:t>
            </w:r>
          </w:p>
        </w:tc>
        <w:tc>
          <w:tcPr>
            <w:tcW w:w="1533" w:type="dxa"/>
            <w:vAlign w:val="center"/>
          </w:tcPr>
          <w:p w:rsidR="001F263A" w:rsidRDefault="004F7A8D">
            <w:pPr>
              <w:jc w:val="center"/>
            </w:pPr>
            <w:r>
              <w:rPr>
                <w:color w:val="000000"/>
                <w:sz w:val="24"/>
              </w:rPr>
              <w:t>20</w:t>
            </w:r>
            <w:r>
              <w:rPr>
                <w:color w:val="000000"/>
                <w:sz w:val="24"/>
              </w:rPr>
              <w:t>中金集</w:t>
            </w:r>
            <w:r>
              <w:rPr>
                <w:color w:val="000000"/>
                <w:sz w:val="24"/>
              </w:rPr>
              <w:t>MTN001</w:t>
            </w:r>
          </w:p>
        </w:tc>
        <w:tc>
          <w:tcPr>
            <w:tcW w:w="1394" w:type="dxa"/>
            <w:vAlign w:val="center"/>
          </w:tcPr>
          <w:p w:rsidR="001F263A" w:rsidRDefault="004F7A8D">
            <w:pPr>
              <w:jc w:val="right"/>
            </w:pPr>
            <w:r>
              <w:rPr>
                <w:color w:val="000000"/>
                <w:sz w:val="24"/>
              </w:rPr>
              <w:t>400,000</w:t>
            </w:r>
          </w:p>
        </w:tc>
        <w:tc>
          <w:tcPr>
            <w:tcW w:w="1944" w:type="dxa"/>
            <w:vAlign w:val="center"/>
          </w:tcPr>
          <w:p w:rsidR="001F263A" w:rsidRDefault="004F7A8D">
            <w:pPr>
              <w:jc w:val="right"/>
            </w:pPr>
            <w:r>
              <w:rPr>
                <w:color w:val="000000"/>
                <w:sz w:val="24"/>
              </w:rPr>
              <w:t>40,256,000.00</w:t>
            </w:r>
          </w:p>
        </w:tc>
        <w:tc>
          <w:tcPr>
            <w:tcW w:w="1389" w:type="dxa"/>
            <w:vAlign w:val="center"/>
          </w:tcPr>
          <w:p w:rsidR="001F263A" w:rsidRDefault="004F7A8D">
            <w:pPr>
              <w:jc w:val="right"/>
            </w:pPr>
            <w:r>
              <w:rPr>
                <w:color w:val="000000"/>
                <w:sz w:val="24"/>
              </w:rPr>
              <w:t>3.26</w:t>
            </w:r>
          </w:p>
        </w:tc>
      </w:tr>
      <w:tr w:rsidR="001F263A">
        <w:trPr>
          <w:jc w:val="center"/>
        </w:trPr>
        <w:tc>
          <w:tcPr>
            <w:tcW w:w="1075" w:type="dxa"/>
            <w:vAlign w:val="center"/>
          </w:tcPr>
          <w:p w:rsidR="001F263A" w:rsidRDefault="004F7A8D">
            <w:pPr>
              <w:jc w:val="center"/>
            </w:pPr>
            <w:r>
              <w:rPr>
                <w:color w:val="000000"/>
                <w:sz w:val="24"/>
              </w:rPr>
              <w:t>5</w:t>
            </w:r>
          </w:p>
        </w:tc>
        <w:tc>
          <w:tcPr>
            <w:tcW w:w="1533" w:type="dxa"/>
            <w:vAlign w:val="center"/>
          </w:tcPr>
          <w:p w:rsidR="001F263A" w:rsidRDefault="004F7A8D">
            <w:pPr>
              <w:jc w:val="center"/>
            </w:pPr>
            <w:r>
              <w:rPr>
                <w:color w:val="000000"/>
                <w:sz w:val="24"/>
              </w:rPr>
              <w:t>018007</w:t>
            </w:r>
          </w:p>
        </w:tc>
        <w:tc>
          <w:tcPr>
            <w:tcW w:w="1533" w:type="dxa"/>
            <w:vAlign w:val="center"/>
          </w:tcPr>
          <w:p w:rsidR="001F263A" w:rsidRDefault="004F7A8D">
            <w:pPr>
              <w:jc w:val="center"/>
            </w:pPr>
            <w:r>
              <w:rPr>
                <w:color w:val="000000"/>
                <w:sz w:val="24"/>
              </w:rPr>
              <w:t>国开</w:t>
            </w:r>
            <w:r>
              <w:rPr>
                <w:color w:val="000000"/>
                <w:sz w:val="24"/>
              </w:rPr>
              <w:t>1801</w:t>
            </w:r>
          </w:p>
        </w:tc>
        <w:tc>
          <w:tcPr>
            <w:tcW w:w="1394" w:type="dxa"/>
            <w:vAlign w:val="center"/>
          </w:tcPr>
          <w:p w:rsidR="001F263A" w:rsidRDefault="004F7A8D">
            <w:pPr>
              <w:jc w:val="right"/>
            </w:pPr>
            <w:r>
              <w:rPr>
                <w:color w:val="000000"/>
                <w:sz w:val="24"/>
              </w:rPr>
              <w:t>330,950</w:t>
            </w:r>
          </w:p>
        </w:tc>
        <w:tc>
          <w:tcPr>
            <w:tcW w:w="1944" w:type="dxa"/>
            <w:vAlign w:val="center"/>
          </w:tcPr>
          <w:p w:rsidR="001F263A" w:rsidRDefault="004F7A8D">
            <w:pPr>
              <w:jc w:val="right"/>
            </w:pPr>
            <w:r>
              <w:rPr>
                <w:color w:val="000000"/>
                <w:sz w:val="24"/>
              </w:rPr>
              <w:t>33,144,642.50</w:t>
            </w:r>
          </w:p>
        </w:tc>
        <w:tc>
          <w:tcPr>
            <w:tcW w:w="1389" w:type="dxa"/>
            <w:vAlign w:val="center"/>
          </w:tcPr>
          <w:p w:rsidR="001F263A" w:rsidRDefault="004F7A8D">
            <w:pPr>
              <w:jc w:val="right"/>
            </w:pPr>
            <w:r>
              <w:rPr>
                <w:color w:val="000000"/>
                <w:sz w:val="24"/>
              </w:rPr>
              <w:t>2.69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R="001D5CD0" w:rsidRDefault="001D5CD0" w:rsidP="007C14DF">
      <w:pPr>
        <w:autoSpaceDE w:val="0"/>
        <w:autoSpaceDN w:val="0"/>
        <w:adjustRightInd w:val="0"/>
        <w:spacing w:before="29" w:line="288" w:lineRule="auto"/>
        <w:rPr>
          <w:kern w:val="0"/>
          <w:sz w:val="24"/>
        </w:rPr>
      </w:pPr>
      <w:r w:rsidRPr="00885AD9">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R="006B32A4" w:rsidRPr="007F52FA" w:rsidRDefault="00C33577" w:rsidP="006B32A4">
      <w:pPr>
        <w:autoSpaceDE w:val="0"/>
        <w:autoSpaceDN w:val="0"/>
        <w:adjustRightInd w:val="0"/>
        <w:spacing w:before="29" w:line="288" w:lineRule="auto"/>
        <w:jc w:val="right"/>
        <w:rPr>
          <w:kern w:val="0"/>
          <w:sz w:val="24"/>
        </w:rPr>
      </w:pPr>
      <w:r w:rsidRPr="00C33577">
        <w:rPr>
          <w:rFonts w:hint="eastAsia"/>
          <w:kern w:val="0"/>
          <w:sz w:val="24"/>
        </w:rPr>
        <w:t>金额单位：人民币元</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22,241.80</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19,745,551.58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5,523,257.26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lastRenderedPageBreak/>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25,291,050.64</w:t>
            </w:r>
          </w:p>
        </w:tc>
      </w:tr>
    </w:tbl>
    <w:p w:rsidR="001D5CD0" w:rsidRPr="007F52FA" w:rsidRDefault="001D5CD0" w:rsidP="007C14DF">
      <w:pPr>
        <w:autoSpaceDE w:val="0"/>
        <w:autoSpaceDN w:val="0"/>
        <w:adjustRightInd w:val="0"/>
        <w:spacing w:before="29" w:line="288" w:lineRule="auto"/>
        <w:jc w:val="left"/>
        <w:rPr>
          <w:sz w:val="24"/>
        </w:rPr>
      </w:pPr>
    </w:p>
    <w:p w:rsidR="001D5CD0" w:rsidRPr="00143E9C" w:rsidRDefault="001D5CD0" w:rsidP="007C14DF">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143E9C" w:rsidRDefault="001D5CD0" w:rsidP="007C14DF">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901A22" w:rsidRDefault="001D5CD0" w:rsidP="007C14DF">
      <w:pPr>
        <w:spacing w:before="29" w:line="288" w:lineRule="auto"/>
        <w:rPr>
          <w:rFonts w:eastAsiaTheme="minorEastAsia"/>
          <w:b/>
          <w:color w:val="000000"/>
          <w:kern w:val="0"/>
          <w:sz w:val="24"/>
        </w:rPr>
      </w:pP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交银多策略回报灵活配置混合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509,904,288.57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118,847,579.73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427,964,151.97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10,384,206.48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139,204,267.29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9,668,064.97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798,664,173.25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119,563,721.24</w:t>
            </w:r>
          </w:p>
        </w:tc>
      </w:tr>
    </w:tbl>
    <w:p w:rsidR="001F263A" w:rsidRDefault="004F7A8D">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8</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、中国证监会准予交银施罗德多策略回报灵活配置混合型证券投资基金募集注册的文件；</w:t>
      </w:r>
      <w:r>
        <w:rPr>
          <w:rFonts w:eastAsiaTheme="minorEastAsia"/>
          <w:color w:val="000000"/>
          <w:sz w:val="24"/>
        </w:rPr>
        <w:t xml:space="preserve"> </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、《交银施罗德多策略回报灵活配置混合型证券投资基金基金合同》；</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、《交银施罗德多策略回报灵活配置混合型证券投资基金招募说明书》；</w:t>
      </w:r>
      <w:r>
        <w:rPr>
          <w:rFonts w:eastAsiaTheme="minorEastAsia"/>
          <w:color w:val="000000"/>
          <w:sz w:val="24"/>
        </w:rPr>
        <w:t xml:space="preserve"> </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、《交银施罗德多策略回报灵活配置混合型证券投资基金托管协议》；</w:t>
      </w:r>
      <w:r>
        <w:rPr>
          <w:rFonts w:eastAsiaTheme="minorEastAsia"/>
          <w:color w:val="000000"/>
          <w:sz w:val="24"/>
        </w:rPr>
        <w:t xml:space="preserve"> </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、关于申请募集注册交银施罗德多策略回报灵活配置混合型证券投资基金的法律意见书；</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、报告期内交银施罗德多策略回报灵活配置混合型证券投资基金在指定报刊上各项公告的原稿。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FB3C94" w:rsidRPr="007F52FA">
        <w:rPr>
          <w:rFonts w:eastAsiaTheme="minorEastAsia"/>
          <w:b/>
          <w:bCs/>
          <w:color w:val="000000"/>
          <w:kern w:val="0"/>
          <w:sz w:val="24"/>
        </w:rPr>
        <w:t>查阅方式</w:t>
      </w:r>
    </w:p>
    <w:p w:rsidR="001F263A" w:rsidRDefault="004F7A8D">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A8D" w:rsidRDefault="004F7A8D">
      <w:r>
        <w:separator/>
      </w:r>
    </w:p>
  </w:endnote>
  <w:endnote w:type="continuationSeparator" w:id="0">
    <w:p w:rsidR="004F7A8D" w:rsidRDefault="004F7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44ACB">
      <w:rPr>
        <w:noProof/>
        <w:kern w:val="0"/>
        <w:szCs w:val="21"/>
      </w:rPr>
      <w:t>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44ACB">
      <w:rPr>
        <w:noProof/>
        <w:kern w:val="0"/>
        <w:szCs w:val="21"/>
      </w:rPr>
      <w:t>16</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2114A">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A8D" w:rsidRDefault="004F7A8D">
      <w:r>
        <w:separator/>
      </w:r>
    </w:p>
  </w:footnote>
  <w:footnote w:type="continuationSeparator" w:id="0">
    <w:p w:rsidR="004F7A8D" w:rsidRDefault="004F7A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交银施罗德多策略回报灵活配置混合型证券投资基金</w:t>
    </w:r>
    <w:r w:rsidRPr="00D3445F">
      <w:rPr>
        <w:rFonts w:eastAsiaTheme="minorEastAsia"/>
        <w:sz w:val="24"/>
      </w:rPr>
      <w:t>2020</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4ACB"/>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63A"/>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4F7A8D"/>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EEF712-0517-4E5B-A6B1-FBAB8C428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1</Pages>
  <Words>1419</Words>
  <Characters>8089</Characters>
  <Application>Microsoft Office Word</Application>
  <DocSecurity>0</DocSecurity>
  <Lines>67</Lines>
  <Paragraphs>18</Paragraphs>
  <ScaleCrop>false</ScaleCrop>
  <Company>TRT. Ltd. Co.</Company>
  <LinksUpToDate>false</LinksUpToDate>
  <CharactersWithSpaces>9490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荣华</cp:lastModifiedBy>
  <cp:revision>406</cp:revision>
  <cp:lastPrinted>2007-07-19T00:46:00Z</cp:lastPrinted>
  <dcterms:created xsi:type="dcterms:W3CDTF">2014-01-17T06:19:00Z</dcterms:created>
  <dcterms:modified xsi:type="dcterms:W3CDTF">2020-07-17T05:41:00Z</dcterms:modified>
</cp:coreProperties>
</file>