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交银施罗德增强收益债券型证券投资基金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2016年12月30日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13,790,776.42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90%×中证综合债券指数收益率+10%×沪深300指数收益率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本基金为债券型证券投资基金，其长期平均的预期收益和风险高于货币市场基金，低于混合型基金和股票型基金，属于证券投资基金中中等风险品种。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251,056.75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221,694.67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0.0153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19,744,442.71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1.432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1.13%</w:t>
            </w:r>
          </w:p>
        </w:tc>
        <w:tc>
          <w:tcPr>
            <w:vAlign w:val="center"/>
          </w:tcPr>
          <w:p>
            <w:pPr>
              <w:jc w:val="center"/>
            </w:pPr>
            <w:r>
              <w:rPr>
                <w:color w:val="000000"/>
                <w:sz w:val="24"/>
                <w:szCs w:val="24"/>
              </w:rPr>
              <w:t>0.15%</w:t>
            </w:r>
          </w:p>
        </w:tc>
        <w:tc>
          <w:tcPr>
            <w:vAlign w:val="center"/>
          </w:tcPr>
          <w:p>
            <w:pPr>
              <w:jc w:val="center"/>
            </w:pPr>
            <w:r>
              <w:rPr>
                <w:color w:val="000000"/>
                <w:sz w:val="24"/>
                <w:szCs w:val="24"/>
              </w:rPr>
              <w:t>1.02%</w:t>
            </w:r>
          </w:p>
        </w:tc>
        <w:tc>
          <w:tcPr>
            <w:vAlign w:val="center"/>
          </w:tcPr>
          <w:p>
            <w:pPr>
              <w:jc w:val="center"/>
            </w:pPr>
            <w:r>
              <w:rPr>
                <w:color w:val="000000"/>
                <w:sz w:val="24"/>
                <w:szCs w:val="24"/>
              </w:rPr>
              <w:t>0.13%</w:t>
            </w:r>
          </w:p>
        </w:tc>
        <w:tc>
          <w:tcPr>
            <w:vAlign w:val="center"/>
          </w:tcPr>
          <w:p>
            <w:pPr>
              <w:jc w:val="center"/>
            </w:pPr>
            <w:r>
              <w:rPr>
                <w:color w:val="000000"/>
                <w:sz w:val="24"/>
                <w:szCs w:val="24"/>
              </w:rPr>
              <w:t>0.11%</w:t>
            </w:r>
          </w:p>
        </w:tc>
        <w:tc>
          <w:tcPr>
            <w:vAlign w:val="center"/>
          </w:tcPr>
          <w:p>
            <w:pPr>
              <w:jc w:val="center"/>
            </w:pPr>
            <w:r>
              <w:rPr>
                <w:color w:val="000000"/>
                <w:sz w:val="24"/>
                <w:szCs w:val="24"/>
              </w:rPr>
              <w:t>0.02%</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3.02%</w:t>
            </w:r>
          </w:p>
        </w:tc>
        <w:tc>
          <w:tcPr>
            <w:vAlign w:val="center"/>
          </w:tcPr>
          <w:p>
            <w:pPr>
              <w:jc w:val="center"/>
            </w:pPr>
            <w:r>
              <w:rPr>
                <w:color w:val="000000"/>
                <w:sz w:val="24"/>
                <w:szCs w:val="24"/>
              </w:rPr>
              <w:t>0.22%</w:t>
            </w:r>
          </w:p>
        </w:tc>
        <w:tc>
          <w:tcPr>
            <w:vAlign w:val="center"/>
          </w:tcPr>
          <w:p>
            <w:pPr>
              <w:jc w:val="center"/>
            </w:pPr>
            <w:r>
              <w:rPr>
                <w:color w:val="000000"/>
                <w:sz w:val="24"/>
                <w:szCs w:val="24"/>
              </w:rPr>
              <w:t>2.39%</w:t>
            </w:r>
          </w:p>
        </w:tc>
        <w:tc>
          <w:tcPr>
            <w:vAlign w:val="center"/>
          </w:tcPr>
          <w:p>
            <w:pPr>
              <w:jc w:val="center"/>
            </w:pPr>
            <w:r>
              <w:rPr>
                <w:color w:val="000000"/>
                <w:sz w:val="24"/>
                <w:szCs w:val="24"/>
              </w:rPr>
              <w:t>0.15%</w:t>
            </w:r>
          </w:p>
        </w:tc>
        <w:tc>
          <w:tcPr>
            <w:vAlign w:val="center"/>
          </w:tcPr>
          <w:p>
            <w:pPr>
              <w:jc w:val="center"/>
            </w:pPr>
            <w:r>
              <w:rPr>
                <w:color w:val="000000"/>
                <w:sz w:val="24"/>
                <w:szCs w:val="24"/>
              </w:rPr>
              <w:t>0.63%</w:t>
            </w:r>
          </w:p>
        </w:tc>
        <w:tc>
          <w:tcPr>
            <w:vAlign w:val="center"/>
          </w:tcPr>
          <w:p>
            <w:pPr>
              <w:jc w:val="center"/>
            </w:pPr>
            <w:r>
              <w:rPr>
                <w:color w:val="000000"/>
                <w:sz w:val="24"/>
                <w:szCs w:val="24"/>
              </w:rPr>
              <w:t>0.07%</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7.99%</w:t>
            </w:r>
          </w:p>
        </w:tc>
        <w:tc>
          <w:tcPr>
            <w:vAlign w:val="center"/>
          </w:tcPr>
          <w:p>
            <w:pPr>
              <w:jc w:val="center"/>
            </w:pPr>
            <w:r>
              <w:rPr>
                <w:color w:val="000000"/>
                <w:sz w:val="24"/>
                <w:szCs w:val="24"/>
              </w:rPr>
              <w:t>0.21%</w:t>
            </w:r>
          </w:p>
        </w:tc>
        <w:tc>
          <w:tcPr>
            <w:vAlign w:val="center"/>
          </w:tcPr>
          <w:p>
            <w:pPr>
              <w:jc w:val="center"/>
            </w:pPr>
            <w:r>
              <w:rPr>
                <w:color w:val="000000"/>
                <w:sz w:val="24"/>
                <w:szCs w:val="24"/>
              </w:rPr>
              <w:t>5.56%</w:t>
            </w:r>
          </w:p>
        </w:tc>
        <w:tc>
          <w:tcPr>
            <w:vAlign w:val="center"/>
          </w:tcPr>
          <w:p>
            <w:pPr>
              <w:jc w:val="center"/>
            </w:pPr>
            <w:r>
              <w:rPr>
                <w:color w:val="000000"/>
                <w:sz w:val="24"/>
                <w:szCs w:val="24"/>
              </w:rPr>
              <w:t>0.12%</w:t>
            </w:r>
          </w:p>
        </w:tc>
        <w:tc>
          <w:tcPr>
            <w:vAlign w:val="center"/>
          </w:tcPr>
          <w:p>
            <w:pPr>
              <w:jc w:val="center"/>
            </w:pPr>
            <w:r>
              <w:rPr>
                <w:color w:val="000000"/>
                <w:sz w:val="24"/>
                <w:szCs w:val="24"/>
              </w:rPr>
              <w:t>2.43%</w:t>
            </w:r>
          </w:p>
        </w:tc>
        <w:tc>
          <w:tcPr>
            <w:vAlign w:val="center"/>
          </w:tcPr>
          <w:p>
            <w:pPr>
              <w:jc w:val="center"/>
            </w:pPr>
            <w:r>
              <w:rPr>
                <w:color w:val="000000"/>
                <w:sz w:val="24"/>
                <w:szCs w:val="24"/>
              </w:rPr>
              <w:t>0.09%</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12.58%</w:t>
            </w:r>
          </w:p>
        </w:tc>
        <w:tc>
          <w:tcPr>
            <w:vAlign w:val="center"/>
          </w:tcPr>
          <w:p>
            <w:pPr>
              <w:jc w:val="center"/>
            </w:pPr>
            <w:r>
              <w:rPr>
                <w:color w:val="000000"/>
                <w:sz w:val="24"/>
                <w:szCs w:val="24"/>
              </w:rPr>
              <w:t>0.27%</w:t>
            </w:r>
          </w:p>
        </w:tc>
        <w:tc>
          <w:tcPr>
            <w:vAlign w:val="center"/>
          </w:tcPr>
          <w:p>
            <w:pPr>
              <w:jc w:val="center"/>
            </w:pPr>
            <w:r>
              <w:rPr>
                <w:color w:val="000000"/>
                <w:sz w:val="24"/>
                <w:szCs w:val="24"/>
              </w:rPr>
              <w:t>16.36%</w:t>
            </w:r>
          </w:p>
        </w:tc>
        <w:tc>
          <w:tcPr>
            <w:vAlign w:val="center"/>
          </w:tcPr>
          <w:p>
            <w:pPr>
              <w:jc w:val="center"/>
            </w:pPr>
            <w:r>
              <w:rPr>
                <w:color w:val="000000"/>
                <w:sz w:val="24"/>
                <w:szCs w:val="24"/>
              </w:rPr>
              <w:t>0.13%</w:t>
            </w:r>
          </w:p>
        </w:tc>
        <w:tc>
          <w:tcPr>
            <w:vAlign w:val="center"/>
          </w:tcPr>
          <w:p>
            <w:pPr>
              <w:jc w:val="center"/>
            </w:pPr>
            <w:r>
              <w:rPr>
                <w:color w:val="000000"/>
                <w:sz w:val="24"/>
                <w:szCs w:val="24"/>
              </w:rPr>
              <w:t>-3.78%</w:t>
            </w:r>
          </w:p>
        </w:tc>
        <w:tc>
          <w:tcPr>
            <w:vAlign w:val="center"/>
          </w:tcPr>
          <w:p>
            <w:pPr>
              <w:jc w:val="center"/>
            </w:pPr>
            <w:r>
              <w:rPr>
                <w:color w:val="000000"/>
                <w:sz w:val="24"/>
                <w:szCs w:val="24"/>
              </w:rPr>
              <w:t>0.14%</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12.76%</w:t>
            </w:r>
          </w:p>
        </w:tc>
        <w:tc>
          <w:tcPr>
            <w:vAlign w:val="center"/>
          </w:tcPr>
          <w:p>
            <w:pPr>
              <w:jc w:val="center"/>
            </w:pPr>
            <w:r>
              <w:rPr>
                <w:color w:val="000000"/>
                <w:sz w:val="24"/>
                <w:szCs w:val="24"/>
              </w:rPr>
              <w:t>0.25%</w:t>
            </w:r>
          </w:p>
        </w:tc>
        <w:tc>
          <w:tcPr>
            <w:vAlign w:val="center"/>
          </w:tcPr>
          <w:p>
            <w:pPr>
              <w:jc w:val="center"/>
            </w:pPr>
            <w:r>
              <w:rPr>
                <w:color w:val="000000"/>
                <w:sz w:val="24"/>
                <w:szCs w:val="24"/>
              </w:rPr>
              <w:t>17.95%</w:t>
            </w:r>
          </w:p>
        </w:tc>
        <w:tc>
          <w:tcPr>
            <w:vAlign w:val="center"/>
          </w:tcPr>
          <w:p>
            <w:pPr>
              <w:jc w:val="center"/>
            </w:pPr>
            <w:r>
              <w:rPr>
                <w:color w:val="000000"/>
                <w:sz w:val="24"/>
                <w:szCs w:val="24"/>
              </w:rPr>
              <w:t>0.12%</w:t>
            </w:r>
          </w:p>
        </w:tc>
        <w:tc>
          <w:tcPr>
            <w:vAlign w:val="center"/>
          </w:tcPr>
          <w:p>
            <w:pPr>
              <w:jc w:val="center"/>
            </w:pPr>
            <w:r>
              <w:rPr>
                <w:color w:val="000000"/>
                <w:sz w:val="24"/>
                <w:szCs w:val="24"/>
              </w:rPr>
              <w:t>-5.19%</w:t>
            </w:r>
          </w:p>
        </w:tc>
        <w:tc>
          <w:tcPr>
            <w:vAlign w:val="center"/>
          </w:tcPr>
          <w:p>
            <w:pPr>
              <w:jc w:val="center"/>
            </w:pPr>
            <w:r>
              <w:rPr>
                <w:color w:val="000000"/>
                <w:sz w:val="24"/>
                <w:szCs w:val="24"/>
              </w:rPr>
              <w:t>0.13%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交银施罗德增强收益债券型证券投资基金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2016年12月30日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泰保本混合型证券投资基金转型而来。基金转型日为2016年12月30日。本基金的投资转型期为交银施罗德荣泰保本混合型证券投资基金保本周期到期期间截止日的次日（即2016年12月30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szCs w:val="24"/>
              </w:rPr>
              <w:t>2018-02-13</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初期走势仍然较为火热，但随着后期资金面利率水平上行、央行货币政策防空转及经济逐步复苏的影响，收益率呈现先下后上的V型走势。四月，因市场资金面仍然相对宽裕，国外新冠病情持续发酵，受悲观预期影响，债市仍在持续火热。但步入五月伊始，国内疫情逐步控制，经济逐步恢复企稳，央行开始关注资金空转的影响，引导资金利率水平上行，政策开始趋向精准投放以提高信用派生的针对性和有效性，债券收益率开始触底回升；进入六月，经济持续恢复，资金利率水平维持在高位，信用派生政策持续发力，债券利率持续上行后，逐步进入高位震荡状态。</w:t>
      </w:r>
    </w:p>
    <w:p>
      <w:pPr>
        <w:spacing w:before="29" w:line="288" w:lineRule="auto"/>
        <w:ind w:firstLine="480" w:firstLineChars="200"/>
        <w:rPr>
          <w:color w:val="000000"/>
          <w:sz w:val="24"/>
          <w:szCs w:val="24"/>
        </w:rPr>
      </w:pPr>
      <w:r>
        <w:rPr>
          <w:color w:val="000000"/>
          <w:sz w:val="24"/>
          <w:szCs w:val="24"/>
        </w:rPr>
        <w:t>二季度，权益市场走势较为良好，在经济逐步企稳恢复、全球流动性同时宽裕的背景下，主要指数表现趋势上涨的势头，特别是创业板指数更是持续上行并创出年内新高。在四月，市场逐步企稳恢复，消费医药和业绩较好的科技类个股表现突出，五月国内经济逐步恢复，经济托底相关政策也不断出台，市场出现进一步回暖，医药消费、消费电子龙头品种、新能源汽车产业链等品种均表现亮眼。步入六月之后，虽然国外疫情仍然持续，但各国主要股指均进一步回升，部分指数甚至接近大跌之前的位置。A股主要指数也大幅恢复，创业板指数更是创下年内新高。</w:t>
      </w:r>
    </w:p>
    <w:p>
      <w:pPr>
        <w:spacing w:before="29" w:line="288" w:lineRule="auto"/>
        <w:ind w:firstLine="480" w:firstLineChars="200"/>
        <w:rPr>
          <w:color w:val="000000"/>
          <w:sz w:val="24"/>
          <w:szCs w:val="24"/>
        </w:rPr>
      </w:pPr>
      <w:r>
        <w:rPr>
          <w:color w:val="000000"/>
          <w:sz w:val="24"/>
          <w:szCs w:val="24"/>
        </w:rPr>
        <w:t>因此在基金操作中，债券部分我们利率债底仓基本维持中短久期没有变化。权益方面，保持中上水平的仓位，参与了医药消费、新能源车和科技类等主流板块的投资机会。随着相关行业的不断上涨，在季末对组合行业配置进行了一定调整，使之更趋于平衡，以提高配置结构的稳定性。</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随着经济的逐步复苏，新冠疫情影响的逐步趋弱，债券预期将维持震荡的格局。目前来看，政策带来的经济复苏更多是出于对冲经济下滑幅度和就业维持稳定的良好状态，在不出现政策大幅度向投资转向的背景下，经济向上弹性较弱，债券收益率暂时看不到太大上行空间。由于经济目前仍在复苏过程之中，货币政策短期进一步宽松的可能性下降，债市在目前收益率水平下趋于震荡的概率偏大。权益方面，在增量资金不断涌入市场的背景下，仍然较为看好市场的表现，关注景气度较好和政策受益板块的相关投资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本基金本报告期内连续二十个工作日以上出现基金资产净值低于5000万元的情形，截至本报告期末，本基金基金资产净值仍低于5000万元。</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2,830,265.00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13.83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2,830,265.00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13.83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16,120,800.20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16,120,800.20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1,262,797.47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248,508.73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20,462,371.40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1,365,571.00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6.92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202,390.00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615,504.00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451,200.00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195,600.00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2,830,265.00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002314</w:t>
            </w:r>
          </w:p>
        </w:tc>
        <w:tc>
          <w:tcPr>
            <w:vAlign w:val="center"/>
          </w:tcPr>
          <w:p>
            <w:pPr>
              <w:jc w:val="center"/>
            </w:pPr>
            <w:r>
              <w:rPr>
                <w:color w:val="000000"/>
                <w:sz w:val="24"/>
                <w:szCs w:val="24"/>
              </w:rPr>
              <w:t>南山控股</w:t>
            </w:r>
          </w:p>
        </w:tc>
        <w:tc>
          <w:tcPr>
            <w:vAlign w:val="center"/>
          </w:tcPr>
          <w:p>
            <w:pPr>
              <w:jc w:val="right"/>
            </w:pPr>
            <w:r>
              <w:rPr>
                <w:color w:val="000000"/>
                <w:sz w:val="24"/>
                <w:szCs w:val="24"/>
              </w:rPr>
              <w:t>120,000</w:t>
            </w:r>
          </w:p>
        </w:tc>
        <w:tc>
          <w:tcPr>
            <w:vAlign w:val="center"/>
          </w:tcPr>
          <w:p>
            <w:pPr>
              <w:jc w:val="right"/>
            </w:pPr>
            <w:r>
              <w:rPr>
                <w:color w:val="000000"/>
                <w:sz w:val="24"/>
                <w:szCs w:val="24"/>
              </w:rPr>
              <w:t>451,200.00</w:t>
            </w:r>
          </w:p>
        </w:tc>
        <w:tc>
          <w:tcPr>
            <w:vAlign w:val="center"/>
          </w:tcPr>
          <w:p>
            <w:pPr>
              <w:jc w:val="right"/>
            </w:pPr>
            <w:r>
              <w:rPr>
                <w:color w:val="000000"/>
                <w:sz w:val="24"/>
                <w:szCs w:val="24"/>
              </w:rPr>
              <w:t>2.29</w:t>
            </w:r>
          </w:p>
        </w:tc>
      </w:tr>
      <w:tr>
        <w:tc>
          <w:tcPr>
            <w:vAlign w:val="center"/>
          </w:tcPr>
          <w:p>
            <w:pPr>
              <w:jc w:val="center"/>
            </w:pPr>
            <w:r>
              <w:rPr>
                <w:color w:val="000000"/>
                <w:sz w:val="24"/>
                <w:szCs w:val="24"/>
              </w:rPr>
              <w:t>2</w:t>
            </w:r>
          </w:p>
        </w:tc>
        <w:tc>
          <w:tcPr>
            <w:vAlign w:val="center"/>
          </w:tcPr>
          <w:p>
            <w:pPr>
              <w:jc w:val="center"/>
            </w:pPr>
            <w:r>
              <w:rPr>
                <w:color w:val="000000"/>
                <w:sz w:val="24"/>
                <w:szCs w:val="24"/>
              </w:rPr>
              <w:t>002028</w:t>
            </w:r>
          </w:p>
        </w:tc>
        <w:tc>
          <w:tcPr>
            <w:vAlign w:val="center"/>
          </w:tcPr>
          <w:p>
            <w:pPr>
              <w:jc w:val="center"/>
            </w:pPr>
            <w:r>
              <w:rPr>
                <w:color w:val="000000"/>
                <w:sz w:val="24"/>
                <w:szCs w:val="24"/>
              </w:rPr>
              <w:t>思源电气</w:t>
            </w:r>
          </w:p>
        </w:tc>
        <w:tc>
          <w:tcPr>
            <w:vAlign w:val="center"/>
          </w:tcPr>
          <w:p>
            <w:pPr>
              <w:jc w:val="right"/>
            </w:pPr>
            <w:r>
              <w:rPr>
                <w:color w:val="000000"/>
                <w:sz w:val="24"/>
                <w:szCs w:val="24"/>
              </w:rPr>
              <w:t>14,600</w:t>
            </w:r>
          </w:p>
        </w:tc>
        <w:tc>
          <w:tcPr>
            <w:vAlign w:val="center"/>
          </w:tcPr>
          <w:p>
            <w:pPr>
              <w:jc w:val="right"/>
            </w:pPr>
            <w:r>
              <w:rPr>
                <w:color w:val="000000"/>
                <w:sz w:val="24"/>
                <w:szCs w:val="24"/>
              </w:rPr>
              <w:t>298,716.00</w:t>
            </w:r>
          </w:p>
        </w:tc>
        <w:tc>
          <w:tcPr>
            <w:vAlign w:val="center"/>
          </w:tcPr>
          <w:p>
            <w:pPr>
              <w:jc w:val="right"/>
            </w:pPr>
            <w:r>
              <w:rPr>
                <w:color w:val="000000"/>
                <w:sz w:val="24"/>
                <w:szCs w:val="24"/>
              </w:rPr>
              <w:t>1.51</w:t>
            </w:r>
          </w:p>
        </w:tc>
      </w:tr>
      <w:tr>
        <w:tc>
          <w:tcPr>
            <w:vAlign w:val="center"/>
          </w:tcPr>
          <w:p>
            <w:pPr>
              <w:jc w:val="center"/>
            </w:pPr>
            <w:r>
              <w:rPr>
                <w:color w:val="000000"/>
                <w:sz w:val="24"/>
                <w:szCs w:val="24"/>
              </w:rPr>
              <w:t>3</w:t>
            </w:r>
          </w:p>
        </w:tc>
        <w:tc>
          <w:tcPr>
            <w:vAlign w:val="center"/>
          </w:tcPr>
          <w:p>
            <w:pPr>
              <w:jc w:val="center"/>
            </w:pPr>
            <w:r>
              <w:rPr>
                <w:color w:val="000000"/>
                <w:sz w:val="24"/>
                <w:szCs w:val="24"/>
              </w:rPr>
              <w:t>603416</w:t>
            </w:r>
          </w:p>
        </w:tc>
        <w:tc>
          <w:tcPr>
            <w:vAlign w:val="center"/>
          </w:tcPr>
          <w:p>
            <w:pPr>
              <w:jc w:val="center"/>
            </w:pPr>
            <w:r>
              <w:rPr>
                <w:color w:val="000000"/>
                <w:sz w:val="24"/>
                <w:szCs w:val="24"/>
              </w:rPr>
              <w:t>信捷电气</w:t>
            </w:r>
          </w:p>
        </w:tc>
        <w:tc>
          <w:tcPr>
            <w:vAlign w:val="center"/>
          </w:tcPr>
          <w:p>
            <w:pPr>
              <w:jc w:val="right"/>
            </w:pPr>
            <w:r>
              <w:rPr>
                <w:color w:val="000000"/>
                <w:sz w:val="24"/>
                <w:szCs w:val="24"/>
              </w:rPr>
              <w:t>7,300</w:t>
            </w:r>
          </w:p>
        </w:tc>
        <w:tc>
          <w:tcPr>
            <w:vAlign w:val="center"/>
          </w:tcPr>
          <w:p>
            <w:pPr>
              <w:jc w:val="right"/>
            </w:pPr>
            <w:r>
              <w:rPr>
                <w:color w:val="000000"/>
                <w:sz w:val="24"/>
                <w:szCs w:val="24"/>
              </w:rPr>
              <w:t>290,978.00</w:t>
            </w:r>
          </w:p>
        </w:tc>
        <w:tc>
          <w:tcPr>
            <w:vAlign w:val="center"/>
          </w:tcPr>
          <w:p>
            <w:pPr>
              <w:jc w:val="right"/>
            </w:pPr>
            <w:r>
              <w:rPr>
                <w:color w:val="000000"/>
                <w:sz w:val="24"/>
                <w:szCs w:val="24"/>
              </w:rPr>
              <w:t>1.47</w:t>
            </w:r>
          </w:p>
        </w:tc>
      </w:tr>
      <w:tr>
        <w:tc>
          <w:tcPr>
            <w:vAlign w:val="center"/>
          </w:tcPr>
          <w:p>
            <w:pPr>
              <w:jc w:val="center"/>
            </w:pPr>
            <w:r>
              <w:rPr>
                <w:color w:val="000000"/>
                <w:sz w:val="24"/>
                <w:szCs w:val="24"/>
              </w:rPr>
              <w:t>4</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4,500</w:t>
            </w:r>
          </w:p>
        </w:tc>
        <w:tc>
          <w:tcPr>
            <w:vAlign w:val="center"/>
          </w:tcPr>
          <w:p>
            <w:pPr>
              <w:jc w:val="right"/>
            </w:pPr>
            <w:r>
              <w:rPr>
                <w:color w:val="000000"/>
                <w:sz w:val="24"/>
                <w:szCs w:val="24"/>
              </w:rPr>
              <w:t>210,600.00</w:t>
            </w:r>
          </w:p>
        </w:tc>
        <w:tc>
          <w:tcPr>
            <w:vAlign w:val="center"/>
          </w:tcPr>
          <w:p>
            <w:pPr>
              <w:jc w:val="right"/>
            </w:pPr>
            <w:r>
              <w:rPr>
                <w:color w:val="000000"/>
                <w:sz w:val="24"/>
                <w:szCs w:val="24"/>
              </w:rPr>
              <w:t>1.07</w:t>
            </w:r>
          </w:p>
        </w:tc>
      </w:tr>
      <w:tr>
        <w:tc>
          <w:tcPr>
            <w:vAlign w:val="center"/>
          </w:tcPr>
          <w:p>
            <w:pPr>
              <w:jc w:val="center"/>
            </w:pPr>
            <w:r>
              <w:rPr>
                <w:color w:val="000000"/>
                <w:sz w:val="24"/>
                <w:szCs w:val="24"/>
              </w:rPr>
              <w:t>5</w:t>
            </w:r>
          </w:p>
        </w:tc>
        <w:tc>
          <w:tcPr>
            <w:vAlign w:val="center"/>
          </w:tcPr>
          <w:p>
            <w:pPr>
              <w:jc w:val="center"/>
            </w:pPr>
            <w:r>
              <w:rPr>
                <w:color w:val="000000"/>
                <w:sz w:val="24"/>
                <w:szCs w:val="24"/>
              </w:rPr>
              <w:t>300451</w:t>
            </w:r>
          </w:p>
        </w:tc>
        <w:tc>
          <w:tcPr>
            <w:vAlign w:val="center"/>
          </w:tcPr>
          <w:p>
            <w:pPr>
              <w:jc w:val="center"/>
            </w:pPr>
            <w:r>
              <w:rPr>
                <w:color w:val="000000"/>
                <w:sz w:val="24"/>
                <w:szCs w:val="24"/>
              </w:rPr>
              <w:t>创业慧康</w:t>
            </w:r>
          </w:p>
        </w:tc>
        <w:tc>
          <w:tcPr>
            <w:vAlign w:val="center"/>
          </w:tcPr>
          <w:p>
            <w:pPr>
              <w:jc w:val="right"/>
            </w:pPr>
            <w:r>
              <w:rPr>
                <w:color w:val="000000"/>
                <w:sz w:val="24"/>
                <w:szCs w:val="24"/>
              </w:rPr>
              <w:t>11,200</w:t>
            </w:r>
          </w:p>
        </w:tc>
        <w:tc>
          <w:tcPr>
            <w:vAlign w:val="center"/>
          </w:tcPr>
          <w:p>
            <w:pPr>
              <w:jc w:val="right"/>
            </w:pPr>
            <w:r>
              <w:rPr>
                <w:color w:val="000000"/>
                <w:sz w:val="24"/>
                <w:szCs w:val="24"/>
              </w:rPr>
              <w:t>207,088.00</w:t>
            </w:r>
          </w:p>
        </w:tc>
        <w:tc>
          <w:tcPr>
            <w:vAlign w:val="center"/>
          </w:tcPr>
          <w:p>
            <w:pPr>
              <w:jc w:val="right"/>
            </w:pPr>
            <w:r>
              <w:rPr>
                <w:color w:val="000000"/>
                <w:sz w:val="24"/>
                <w:szCs w:val="24"/>
              </w:rPr>
              <w:t>1.05</w:t>
            </w:r>
          </w:p>
        </w:tc>
      </w:tr>
      <w:tr>
        <w:tc>
          <w:tcPr>
            <w:vAlign w:val="center"/>
          </w:tcPr>
          <w:p>
            <w:pPr>
              <w:jc w:val="center"/>
            </w:pPr>
            <w:r>
              <w:rPr>
                <w:color w:val="000000"/>
                <w:sz w:val="24"/>
                <w:szCs w:val="24"/>
              </w:rPr>
              <w:t>6</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3,700</w:t>
            </w:r>
          </w:p>
        </w:tc>
        <w:tc>
          <w:tcPr>
            <w:vAlign w:val="center"/>
          </w:tcPr>
          <w:p>
            <w:pPr>
              <w:jc w:val="right"/>
            </w:pPr>
            <w:r>
              <w:rPr>
                <w:color w:val="000000"/>
                <w:sz w:val="24"/>
                <w:szCs w:val="24"/>
              </w:rPr>
              <w:t>202,390.00</w:t>
            </w:r>
          </w:p>
        </w:tc>
        <w:tc>
          <w:tcPr>
            <w:vAlign w:val="center"/>
          </w:tcPr>
          <w:p>
            <w:pPr>
              <w:jc w:val="right"/>
            </w:pPr>
            <w:r>
              <w:rPr>
                <w:color w:val="000000"/>
                <w:sz w:val="24"/>
                <w:szCs w:val="24"/>
              </w:rPr>
              <w:t>1.03</w:t>
            </w:r>
          </w:p>
        </w:tc>
      </w:tr>
      <w:tr>
        <w:tc>
          <w:tcPr>
            <w:vAlign w:val="center"/>
          </w:tcPr>
          <w:p>
            <w:pPr>
              <w:jc w:val="center"/>
            </w:pPr>
            <w:r>
              <w:rPr>
                <w:color w:val="000000"/>
                <w:sz w:val="24"/>
                <w:szCs w:val="24"/>
              </w:rPr>
              <w:t>7</w:t>
            </w:r>
          </w:p>
        </w:tc>
        <w:tc>
          <w:tcPr>
            <w:vAlign w:val="center"/>
          </w:tcPr>
          <w:p>
            <w:pPr>
              <w:jc w:val="center"/>
            </w:pPr>
            <w:r>
              <w:rPr>
                <w:color w:val="000000"/>
                <w:sz w:val="24"/>
                <w:szCs w:val="24"/>
              </w:rPr>
              <w:t>600885</w:t>
            </w:r>
          </w:p>
        </w:tc>
        <w:tc>
          <w:tcPr>
            <w:vAlign w:val="center"/>
          </w:tcPr>
          <w:p>
            <w:pPr>
              <w:jc w:val="center"/>
            </w:pPr>
            <w:r>
              <w:rPr>
                <w:color w:val="000000"/>
                <w:sz w:val="24"/>
                <w:szCs w:val="24"/>
              </w:rPr>
              <w:t>宏发股份</w:t>
            </w:r>
          </w:p>
        </w:tc>
        <w:tc>
          <w:tcPr>
            <w:vAlign w:val="center"/>
          </w:tcPr>
          <w:p>
            <w:pPr>
              <w:jc w:val="right"/>
            </w:pPr>
            <w:r>
              <w:rPr>
                <w:color w:val="000000"/>
                <w:sz w:val="24"/>
                <w:szCs w:val="24"/>
              </w:rPr>
              <w:t>5,000</w:t>
            </w:r>
          </w:p>
        </w:tc>
        <w:tc>
          <w:tcPr>
            <w:vAlign w:val="center"/>
          </w:tcPr>
          <w:p>
            <w:pPr>
              <w:jc w:val="right"/>
            </w:pPr>
            <w:r>
              <w:rPr>
                <w:color w:val="000000"/>
                <w:sz w:val="24"/>
                <w:szCs w:val="24"/>
              </w:rPr>
              <w:t>200,600.00</w:t>
            </w:r>
          </w:p>
        </w:tc>
        <w:tc>
          <w:tcPr>
            <w:vAlign w:val="center"/>
          </w:tcPr>
          <w:p>
            <w:pPr>
              <w:jc w:val="right"/>
            </w:pPr>
            <w:r>
              <w:rPr>
                <w:color w:val="000000"/>
                <w:sz w:val="24"/>
                <w:szCs w:val="24"/>
              </w:rPr>
              <w:t>1.02</w:t>
            </w:r>
          </w:p>
        </w:tc>
      </w:tr>
      <w:tr>
        <w:tc>
          <w:tcPr>
            <w:vAlign w:val="center"/>
          </w:tcPr>
          <w:p>
            <w:pPr>
              <w:jc w:val="center"/>
            </w:pPr>
            <w:r>
              <w:rPr>
                <w:color w:val="000000"/>
                <w:sz w:val="24"/>
                <w:szCs w:val="24"/>
              </w:rPr>
              <w:t>8</w:t>
            </w:r>
          </w:p>
        </w:tc>
        <w:tc>
          <w:tcPr>
            <w:vAlign w:val="center"/>
          </w:tcPr>
          <w:p>
            <w:pPr>
              <w:jc w:val="center"/>
            </w:pPr>
            <w:r>
              <w:rPr>
                <w:color w:val="000000"/>
                <w:sz w:val="24"/>
                <w:szCs w:val="24"/>
              </w:rPr>
              <w:t>300227</w:t>
            </w:r>
          </w:p>
        </w:tc>
        <w:tc>
          <w:tcPr>
            <w:vAlign w:val="center"/>
          </w:tcPr>
          <w:p>
            <w:pPr>
              <w:jc w:val="center"/>
            </w:pPr>
            <w:r>
              <w:rPr>
                <w:color w:val="000000"/>
                <w:sz w:val="24"/>
                <w:szCs w:val="24"/>
              </w:rPr>
              <w:t>光韵达</w:t>
            </w:r>
          </w:p>
        </w:tc>
        <w:tc>
          <w:tcPr>
            <w:vAlign w:val="center"/>
          </w:tcPr>
          <w:p>
            <w:pPr>
              <w:jc w:val="right"/>
            </w:pPr>
            <w:r>
              <w:rPr>
                <w:color w:val="000000"/>
                <w:sz w:val="24"/>
                <w:szCs w:val="24"/>
              </w:rPr>
              <w:t>18,900</w:t>
            </w:r>
          </w:p>
        </w:tc>
        <w:tc>
          <w:tcPr>
            <w:vAlign w:val="center"/>
          </w:tcPr>
          <w:p>
            <w:pPr>
              <w:jc w:val="right"/>
            </w:pPr>
            <w:r>
              <w:rPr>
                <w:color w:val="000000"/>
                <w:sz w:val="24"/>
                <w:szCs w:val="24"/>
              </w:rPr>
              <w:t>198,261.00</w:t>
            </w:r>
          </w:p>
        </w:tc>
        <w:tc>
          <w:tcPr>
            <w:vAlign w:val="center"/>
          </w:tcPr>
          <w:p>
            <w:pPr>
              <w:jc w:val="right"/>
            </w:pPr>
            <w:r>
              <w:rPr>
                <w:color w:val="000000"/>
                <w:sz w:val="24"/>
                <w:szCs w:val="24"/>
              </w:rPr>
              <w:t>1.00</w:t>
            </w:r>
          </w:p>
        </w:tc>
      </w:tr>
      <w:tr>
        <w:tc>
          <w:tcPr>
            <w:vAlign w:val="center"/>
          </w:tcPr>
          <w:p>
            <w:pPr>
              <w:jc w:val="center"/>
            </w:pPr>
            <w:r>
              <w:rPr>
                <w:color w:val="000000"/>
                <w:sz w:val="24"/>
                <w:szCs w:val="24"/>
              </w:rPr>
              <w:t>9</w:t>
            </w:r>
          </w:p>
        </w:tc>
        <w:tc>
          <w:tcPr>
            <w:vAlign w:val="center"/>
          </w:tcPr>
          <w:p>
            <w:pPr>
              <w:jc w:val="center"/>
            </w:pPr>
            <w:r>
              <w:rPr>
                <w:color w:val="000000"/>
                <w:sz w:val="24"/>
                <w:szCs w:val="24"/>
              </w:rPr>
              <w:t>002409</w:t>
            </w:r>
          </w:p>
        </w:tc>
        <w:tc>
          <w:tcPr>
            <w:vAlign w:val="center"/>
          </w:tcPr>
          <w:p>
            <w:pPr>
              <w:jc w:val="center"/>
            </w:pPr>
            <w:r>
              <w:rPr>
                <w:color w:val="000000"/>
                <w:sz w:val="24"/>
                <w:szCs w:val="24"/>
              </w:rPr>
              <w:t>雅克科技</w:t>
            </w:r>
          </w:p>
        </w:tc>
        <w:tc>
          <w:tcPr>
            <w:vAlign w:val="center"/>
          </w:tcPr>
          <w:p>
            <w:pPr>
              <w:jc w:val="right"/>
            </w:pPr>
            <w:r>
              <w:rPr>
                <w:color w:val="000000"/>
                <w:sz w:val="24"/>
                <w:szCs w:val="24"/>
              </w:rPr>
              <w:t>3,800</w:t>
            </w:r>
          </w:p>
        </w:tc>
        <w:tc>
          <w:tcPr>
            <w:vAlign w:val="center"/>
          </w:tcPr>
          <w:p>
            <w:pPr>
              <w:jc w:val="right"/>
            </w:pPr>
            <w:r>
              <w:rPr>
                <w:color w:val="000000"/>
                <w:sz w:val="24"/>
                <w:szCs w:val="24"/>
              </w:rPr>
              <w:t>198,246.00</w:t>
            </w:r>
          </w:p>
        </w:tc>
        <w:tc>
          <w:tcPr>
            <w:vAlign w:val="center"/>
          </w:tcPr>
          <w:p>
            <w:pPr>
              <w:jc w:val="right"/>
            </w:pPr>
            <w:r>
              <w:rPr>
                <w:color w:val="000000"/>
                <w:sz w:val="24"/>
                <w:szCs w:val="24"/>
              </w:rPr>
              <w:t>1.00</w:t>
            </w:r>
          </w:p>
        </w:tc>
      </w:tr>
      <w:tr>
        <w:tc>
          <w:tcPr>
            <w:vAlign w:val="center"/>
          </w:tcPr>
          <w:p>
            <w:pPr>
              <w:jc w:val="center"/>
            </w:pPr>
            <w:r>
              <w:rPr>
                <w:color w:val="000000"/>
                <w:sz w:val="24"/>
                <w:szCs w:val="24"/>
              </w:rPr>
              <w:t>10</w:t>
            </w:r>
          </w:p>
        </w:tc>
        <w:tc>
          <w:tcPr>
            <w:vAlign w:val="center"/>
          </w:tcPr>
          <w:p>
            <w:pPr>
              <w:jc w:val="center"/>
            </w:pPr>
            <w:r>
              <w:rPr>
                <w:color w:val="000000"/>
                <w:sz w:val="24"/>
                <w:szCs w:val="24"/>
              </w:rPr>
              <w:t>300031</w:t>
            </w:r>
          </w:p>
        </w:tc>
        <w:tc>
          <w:tcPr>
            <w:vAlign w:val="center"/>
          </w:tcPr>
          <w:p>
            <w:pPr>
              <w:jc w:val="center"/>
            </w:pPr>
            <w:r>
              <w:rPr>
                <w:color w:val="000000"/>
                <w:sz w:val="24"/>
                <w:szCs w:val="24"/>
              </w:rPr>
              <w:t>宝通科技</w:t>
            </w:r>
          </w:p>
        </w:tc>
        <w:tc>
          <w:tcPr>
            <w:vAlign w:val="center"/>
          </w:tcPr>
          <w:p>
            <w:pPr>
              <w:jc w:val="right"/>
            </w:pPr>
            <w:r>
              <w:rPr>
                <w:color w:val="000000"/>
                <w:sz w:val="24"/>
                <w:szCs w:val="24"/>
              </w:rPr>
              <w:t>7,900</w:t>
            </w:r>
          </w:p>
        </w:tc>
        <w:tc>
          <w:tcPr>
            <w:vAlign w:val="center"/>
          </w:tcPr>
          <w:p>
            <w:pPr>
              <w:jc w:val="right"/>
            </w:pPr>
            <w:r>
              <w:rPr>
                <w:color w:val="000000"/>
                <w:sz w:val="24"/>
                <w:szCs w:val="24"/>
              </w:rPr>
              <w:t>197,816.00</w:t>
            </w:r>
          </w:p>
        </w:tc>
        <w:tc>
          <w:tcPr>
            <w:vAlign w:val="center"/>
          </w:tcPr>
          <w:p>
            <w:pPr>
              <w:jc w:val="right"/>
            </w:pPr>
            <w:r>
              <w:rPr>
                <w:color w:val="000000"/>
                <w:sz w:val="24"/>
                <w:szCs w:val="24"/>
              </w:rPr>
              <w:t>1.00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8,556,551.00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43.34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7,564,249.20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38.31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7,564,249.20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38.31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16,120,800.20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81.65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018006</w:t>
            </w:r>
          </w:p>
        </w:tc>
        <w:tc>
          <w:tcPr>
            <w:vAlign w:val="center"/>
          </w:tcPr>
          <w:p>
            <w:pPr>
              <w:jc w:val="center"/>
            </w:pPr>
            <w:r>
              <w:rPr>
                <w:color w:val="000000"/>
                <w:sz w:val="24"/>
                <w:szCs w:val="24"/>
              </w:rPr>
              <w:t>国开1702</w:t>
            </w:r>
          </w:p>
        </w:tc>
        <w:tc>
          <w:tcPr>
            <w:vAlign w:val="center"/>
          </w:tcPr>
          <w:p>
            <w:pPr>
              <w:jc w:val="right"/>
            </w:pPr>
            <w:r>
              <w:rPr>
                <w:color w:val="000000"/>
                <w:sz w:val="24"/>
                <w:szCs w:val="24"/>
              </w:rPr>
              <w:t>73,740</w:t>
            </w:r>
          </w:p>
        </w:tc>
        <w:tc>
          <w:tcPr>
            <w:vAlign w:val="center"/>
          </w:tcPr>
          <w:p>
            <w:pPr>
              <w:jc w:val="right"/>
            </w:pPr>
            <w:r>
              <w:rPr>
                <w:color w:val="000000"/>
                <w:sz w:val="24"/>
                <w:szCs w:val="24"/>
              </w:rPr>
              <w:t>7,564,249.20</w:t>
            </w:r>
          </w:p>
        </w:tc>
        <w:tc>
          <w:tcPr>
            <w:vAlign w:val="center"/>
          </w:tcPr>
          <w:p>
            <w:pPr>
              <w:jc w:val="right"/>
            </w:pPr>
            <w:r>
              <w:rPr>
                <w:color w:val="000000"/>
                <w:sz w:val="24"/>
                <w:szCs w:val="24"/>
              </w:rPr>
              <w:t>38.31</w:t>
            </w:r>
          </w:p>
        </w:tc>
      </w:tr>
      <w:tr>
        <w:tc>
          <w:tcPr>
            <w:vAlign w:val="center"/>
          </w:tcPr>
          <w:p>
            <w:pPr>
              <w:jc w:val="center"/>
            </w:pPr>
            <w:r>
              <w:rPr>
                <w:color w:val="000000"/>
                <w:sz w:val="24"/>
                <w:szCs w:val="24"/>
              </w:rPr>
              <w:t>2</w:t>
            </w:r>
          </w:p>
        </w:tc>
        <w:tc>
          <w:tcPr>
            <w:vAlign w:val="center"/>
          </w:tcPr>
          <w:p>
            <w:pPr>
              <w:jc w:val="center"/>
            </w:pPr>
            <w:r>
              <w:rPr>
                <w:color w:val="000000"/>
                <w:sz w:val="24"/>
                <w:szCs w:val="24"/>
              </w:rPr>
              <w:t>010107</w:t>
            </w:r>
          </w:p>
        </w:tc>
        <w:tc>
          <w:tcPr>
            <w:vAlign w:val="center"/>
          </w:tcPr>
          <w:p>
            <w:pPr>
              <w:jc w:val="center"/>
            </w:pPr>
            <w:r>
              <w:rPr>
                <w:color w:val="000000"/>
                <w:sz w:val="24"/>
                <w:szCs w:val="24"/>
              </w:rPr>
              <w:t>21国债⑺</w:t>
            </w:r>
          </w:p>
        </w:tc>
        <w:tc>
          <w:tcPr>
            <w:vAlign w:val="center"/>
          </w:tcPr>
          <w:p>
            <w:pPr>
              <w:jc w:val="right"/>
            </w:pPr>
            <w:r>
              <w:rPr>
                <w:color w:val="000000"/>
                <w:sz w:val="24"/>
                <w:szCs w:val="24"/>
              </w:rPr>
              <w:t>72,800</w:t>
            </w:r>
          </w:p>
        </w:tc>
        <w:tc>
          <w:tcPr>
            <w:vAlign w:val="center"/>
          </w:tcPr>
          <w:p>
            <w:pPr>
              <w:jc w:val="right"/>
            </w:pPr>
            <w:r>
              <w:rPr>
                <w:color w:val="000000"/>
                <w:sz w:val="24"/>
                <w:szCs w:val="24"/>
              </w:rPr>
              <w:t>7,470,008.00</w:t>
            </w:r>
          </w:p>
        </w:tc>
        <w:tc>
          <w:tcPr>
            <w:vAlign w:val="center"/>
          </w:tcPr>
          <w:p>
            <w:pPr>
              <w:jc w:val="right"/>
            </w:pPr>
            <w:r>
              <w:rPr>
                <w:color w:val="000000"/>
                <w:sz w:val="24"/>
                <w:szCs w:val="24"/>
              </w:rPr>
              <w:t>37.83</w:t>
            </w:r>
          </w:p>
        </w:tc>
      </w:tr>
      <w:tr>
        <w:tc>
          <w:tcPr>
            <w:vAlign w:val="center"/>
          </w:tcPr>
          <w:p>
            <w:pPr>
              <w:jc w:val="center"/>
            </w:pPr>
            <w:r>
              <w:rPr>
                <w:color w:val="000000"/>
                <w:sz w:val="24"/>
                <w:szCs w:val="24"/>
              </w:rPr>
              <w:t>3</w:t>
            </w:r>
          </w:p>
        </w:tc>
        <w:tc>
          <w:tcPr>
            <w:vAlign w:val="center"/>
          </w:tcPr>
          <w:p>
            <w:pPr>
              <w:jc w:val="center"/>
            </w:pPr>
            <w:r>
              <w:rPr>
                <w:color w:val="000000"/>
                <w:sz w:val="24"/>
                <w:szCs w:val="24"/>
              </w:rPr>
              <w:t>019627</w:t>
            </w:r>
          </w:p>
        </w:tc>
        <w:tc>
          <w:tcPr>
            <w:vAlign w:val="center"/>
          </w:tcPr>
          <w:p>
            <w:pPr>
              <w:jc w:val="center"/>
            </w:pPr>
            <w:r>
              <w:rPr>
                <w:color w:val="000000"/>
                <w:sz w:val="24"/>
                <w:szCs w:val="24"/>
              </w:rPr>
              <w:t>20国债01</w:t>
            </w:r>
          </w:p>
        </w:tc>
        <w:tc>
          <w:tcPr>
            <w:vAlign w:val="center"/>
          </w:tcPr>
          <w:p>
            <w:pPr>
              <w:jc w:val="right"/>
            </w:pPr>
            <w:r>
              <w:rPr>
                <w:color w:val="000000"/>
                <w:sz w:val="24"/>
                <w:szCs w:val="24"/>
              </w:rPr>
              <w:t>10,860</w:t>
            </w:r>
          </w:p>
        </w:tc>
        <w:tc>
          <w:tcPr>
            <w:vAlign w:val="center"/>
          </w:tcPr>
          <w:p>
            <w:pPr>
              <w:jc w:val="right"/>
            </w:pPr>
            <w:r>
              <w:rPr>
                <w:color w:val="000000"/>
                <w:sz w:val="24"/>
                <w:szCs w:val="24"/>
              </w:rPr>
              <w:t>1,086,543.00</w:t>
            </w:r>
          </w:p>
        </w:tc>
        <w:tc>
          <w:tcPr>
            <w:vAlign w:val="center"/>
          </w:tcPr>
          <w:p>
            <w:pPr>
              <w:jc w:val="right"/>
            </w:pPr>
            <w:r>
              <w:rPr>
                <w:color w:val="000000"/>
                <w:sz w:val="24"/>
                <w:szCs w:val="24"/>
              </w:rPr>
              <w:t>5.50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20,033.40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208,156.59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20,318.74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248,508.73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15,112,635.19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179,888.56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1,501,747.33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13,790,776.42</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2020/4/1-2020/6/30</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w:t>
            </w:r>
          </w:p>
        </w:tc>
        <w:tc>
          <w:tcPr>
            <w:vAlign w:val="center"/>
          </w:tcPr>
          <w:p>
            <w:pPr>
              <w:jc w:val="center"/>
            </w:pPr>
            <w:r>
              <w:rPr>
                <w:rFonts w:ascii="宋体" w:hAnsi="宋体"/>
                <w:kern w:val="0"/>
              </w:rPr>
              <w:t>-</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36.26%</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1、中国证监会批准交银施罗德荣泰保本混合型证券投资基金募集的文件； </w:t>
      </w:r>
    </w:p>
    <w:p>
      <w:pPr>
        <w:spacing w:before="29" w:line="288" w:lineRule="auto"/>
        <w:ind w:firstLine="480" w:firstLineChars="200"/>
        <w:rPr>
          <w:color w:val="000000"/>
          <w:sz w:val="24"/>
          <w:szCs w:val="24"/>
        </w:rPr>
      </w:pPr>
      <w:r>
        <w:rPr>
          <w:color w:val="000000"/>
          <w:sz w:val="24"/>
          <w:szCs w:val="24"/>
        </w:rPr>
        <w:t>2、《交银施罗德增强收益债券型证券投资基金基金合同》；</w:t>
      </w:r>
    </w:p>
    <w:p>
      <w:pPr>
        <w:spacing w:before="29" w:line="288" w:lineRule="auto"/>
        <w:ind w:firstLine="480" w:firstLineChars="200"/>
        <w:rPr>
          <w:color w:val="000000"/>
          <w:sz w:val="24"/>
          <w:szCs w:val="24"/>
        </w:rPr>
      </w:pPr>
      <w:r>
        <w:rPr>
          <w:color w:val="000000"/>
          <w:sz w:val="24"/>
          <w:szCs w:val="24"/>
        </w:rPr>
        <w:t>3、《交银施罗德增强收益债券型证券投资基金招募说明书》；</w:t>
      </w:r>
    </w:p>
    <w:p>
      <w:pPr>
        <w:spacing w:before="29" w:line="288" w:lineRule="auto"/>
        <w:ind w:firstLine="480" w:firstLineChars="200"/>
        <w:rPr>
          <w:color w:val="000000"/>
          <w:sz w:val="24"/>
          <w:szCs w:val="24"/>
        </w:rPr>
      </w:pPr>
      <w:r>
        <w:rPr>
          <w:color w:val="000000"/>
          <w:sz w:val="24"/>
          <w:szCs w:val="24"/>
        </w:rPr>
        <w:t>4、《交银施罗德增强收益债券型证券投资基金托管协议》；</w:t>
      </w:r>
    </w:p>
    <w:p>
      <w:pPr>
        <w:spacing w:before="29" w:line="288" w:lineRule="auto"/>
        <w:ind w:firstLine="480" w:firstLineChars="200"/>
        <w:rPr>
          <w:color w:val="000000"/>
          <w:sz w:val="24"/>
          <w:szCs w:val="24"/>
        </w:rPr>
      </w:pPr>
      <w:r>
        <w:rPr>
          <w:color w:val="000000"/>
          <w:sz w:val="24"/>
          <w:szCs w:val="24"/>
        </w:rPr>
        <w:t>5、《交银施罗德荣泰保本混合型证券投资基金基金合同》；</w:t>
      </w:r>
    </w:p>
    <w:p>
      <w:pPr>
        <w:spacing w:before="29" w:line="288" w:lineRule="auto"/>
        <w:ind w:firstLine="480" w:firstLineChars="200"/>
        <w:rPr>
          <w:color w:val="000000"/>
          <w:sz w:val="24"/>
          <w:szCs w:val="24"/>
        </w:rPr>
      </w:pPr>
      <w:r>
        <w:rPr>
          <w:color w:val="000000"/>
          <w:sz w:val="24"/>
          <w:szCs w:val="24"/>
        </w:rPr>
        <w:t>6、《交银施罗德荣泰保本混合型证券投资基金招募说明书》；</w:t>
      </w:r>
    </w:p>
    <w:p>
      <w:pPr>
        <w:spacing w:before="29" w:line="288" w:lineRule="auto"/>
        <w:ind w:firstLine="480" w:firstLineChars="200"/>
        <w:rPr>
          <w:color w:val="000000"/>
          <w:sz w:val="24"/>
          <w:szCs w:val="24"/>
        </w:rPr>
      </w:pPr>
      <w:r>
        <w:rPr>
          <w:color w:val="000000"/>
          <w:sz w:val="24"/>
          <w:szCs w:val="24"/>
        </w:rPr>
        <w:t>7、《交银施罗德荣泰保本混合型证券投资基金托管协议》；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8、《交银施罗德荣泰保本混合型证券投资基金保证合同》；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11、关于申请募集交银施罗德荣泰保本混合型证券投资基金之法律意见书；</w:t>
      </w:r>
    </w:p>
    <w:p>
      <w:pPr>
        <w:spacing w:before="29" w:line="288" w:lineRule="auto"/>
        <w:ind w:firstLine="480" w:firstLineChars="200"/>
        <w:rPr>
          <w:color w:val="000000"/>
          <w:sz w:val="24"/>
          <w:szCs w:val="24"/>
        </w:rPr>
      </w:pPr>
      <w:r>
        <w:rPr>
          <w:color w:val="000000"/>
          <w:sz w:val="24"/>
          <w:szCs w:val="24"/>
        </w:rPr>
        <w:t>12、关于交银施罗德荣泰保本混合型证券投资基金保本周期到期转型及基金合同修改的法律意见；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13、报告期内交银施罗德增强收益债券型证券投资基金、交银施罗德荣泰保本混合型证券投资基金在指定报刊上各项公告的原稿。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交银施罗德增强收益债券型证券投资基金2020年第2季度报告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