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交银施罗德增强收益债券型证券投资基金</w:t>
      </w:r>
    </w:p>
    <w:p w:rsidP="00C15CAC" w:rsidR="002279D3" w:rsidRDefault="002279D3" w:rsidRPr="0081286B">
      <w:pPr>
        <w:spacing w:before="29" w:line="288" w:lineRule="auto"/>
        <w:jc w:val="center"/>
        <w:rPr>
          <w:b/>
          <w:sz w:val="36"/>
          <w:szCs w:val="36"/>
        </w:rPr>
      </w:pPr>
      <w:r w:rsidRPr="0081286B">
        <w:rPr>
          <w:b/>
          <w:sz w:val="36"/>
          <w:szCs w:val="36"/>
        </w:rPr>
        <w:t>2020年第2季度报告</w:t>
      </w:r>
    </w:p>
    <w:p w:rsidP="00C15CAC" w:rsidR="004061AC" w:rsidRDefault="00655CD8" w:rsidRPr="0081286B">
      <w:pPr>
        <w:spacing w:before="29" w:line="288" w:lineRule="auto"/>
        <w:jc w:val="center"/>
        <w:rPr>
          <w:b/>
          <w:sz w:val="36"/>
          <w:szCs w:val="36"/>
        </w:rPr>
      </w:pPr>
      <w:r w:rsidRPr="0081286B">
        <w:rPr>
          <w:b/>
          <w:sz w:val="36"/>
          <w:szCs w:val="36"/>
        </w:rPr>
        <w:t>2020年6月30日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中国建设银行股份有限公司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二〇二〇年七月二十一日</w:t>
      </w:r>
    </w:p>
    <w:p w:rsidP="0011537B" w:rsidR="004061AC" w:rsidRDefault="004061AC" w:rsidRPr="00414345">
      <w:pPr>
        <w:pStyle w:val="1"/>
        <w:spacing w:after="312" w:afterLines="100" w:before="312"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基金托管人中国建设银行股份有限公司根据本基金合同规定，于2020年7月20日复核了本报告中的财务指标、净值表现和投资组合报告等内容，保证复核内容不存在虚假记载、误导性陈述或者重大遗漏。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本报告期自2020年4月1日起至6月30日止。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交银增强收益债券</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519729</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5845"/>
            <w:gridSpan w:val="2"/>
            <w:tcBorders>
              <w:top w:color="auto" w:space="0" w:sz="4" w:val="single"/>
              <w:left w:color="auto" w:space="0" w:sz="4" w:val="single"/>
              <w:bottom w:color="auto" w:space="0" w:sz="4" w:val="single"/>
              <w:right w:color="auto" w:space="0" w:sz="4" w:val="single"/>
            </w:tcBorders>
            <w:vAlign w:val="center"/>
          </w:tcPr>
          <w:p w:rsidP="00C15CAC" w:rsidR="001B2F35" w:rsidRDefault="00C5218C" w:rsidRPr="00414345">
            <w:pPr>
              <w:adjustRightInd w:val="0"/>
              <w:spacing w:before="29" w:line="288" w:lineRule="auto"/>
              <w:ind w:left="17"/>
              <w:jc w:val="left"/>
              <w:rPr>
                <w:color w:val="000000"/>
                <w:kern w:val="0"/>
                <w:sz w:val="24"/>
                <w:szCs w:val="24"/>
              </w:rPr>
            </w:pPr>
            <w:r w:rsidRPr="00414345">
              <w:rPr>
                <w:kern w:val="0"/>
                <w:sz w:val="24"/>
              </w:rPr>
              <w:t>519729</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2016年12月30日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13,790,776.42</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在严格控制投资风险的基础上，力争实现基金资产的长期稳定增值。</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将依据宏观经济数据和金融运行数据、货币政策、财政政策、以及债券市场和股票市场风险收益特征，分析判断市场利率水平变动趋势和股票市场走势。并根据宏观经济、基准利率水平、股票市场整体估值水平，预测债券、可转债、新股申购等大类资产下一阶段的预期收益率水平，结合各类别资产的波动性以及流动性状况分析，进行大类资产配置。</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90%×中证综合债券指数收益率+10%×沪深300指数收益率</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本基金为债券型证券投资基金，其长期平均的预期收益和风险高于货币市场基金，低于混合型基金和股票型基金，属于证券投资基金中中等风险品种。</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(2020年4月1日-2020年6月30日)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251,056.75</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221,694.67</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0.0153</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19,744,442.71</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1.432</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注：1、上述基金业绩指标不包括持有人认购或交易基金的各项费用，计入费用后的实际收益水平要低于所列数字；</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xml:space="preserve">    2、本期已实现收益指基金本期利息收入、投资收益、其他收入（不含公允价值变动收益）扣除相关费用后的余额，本期利润为本期已实现收益加上本期公允价值变动收益。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firstColumn="1" w:firstRow="1" w:lastColumn="0" w:lastRow="0" w:noHBand="0" w:noVBand="1"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1.13%</w:t>
            </w:r>
          </w:p>
        </w:tc>
        <w:tc>
          <w:tcPr>
            <w:vAlign w:val="center"/>
          </w:tcPr>
          <w:p>
            <w:pPr>
              <w:jc w:val="center"/>
            </w:pPr>
            <w:r>
              <w:rPr>
                <w:color w:val="000000"/>
                <w:sz w:val="24"/>
                <w:szCs w:val="24"/>
              </w:rPr>
              <w:t>0.15%</w:t>
            </w:r>
          </w:p>
        </w:tc>
        <w:tc>
          <w:tcPr>
            <w:vAlign w:val="center"/>
          </w:tcPr>
          <w:p>
            <w:pPr>
              <w:jc w:val="center"/>
            </w:pPr>
            <w:r>
              <w:rPr>
                <w:color w:val="000000"/>
                <w:sz w:val="24"/>
                <w:szCs w:val="24"/>
              </w:rPr>
              <w:t>1.02%</w:t>
            </w:r>
          </w:p>
        </w:tc>
        <w:tc>
          <w:tcPr>
            <w:vAlign w:val="center"/>
          </w:tcPr>
          <w:p>
            <w:pPr>
              <w:jc w:val="center"/>
            </w:pPr>
            <w:r>
              <w:rPr>
                <w:color w:val="000000"/>
                <w:sz w:val="24"/>
                <w:szCs w:val="24"/>
              </w:rPr>
              <w:t>0.13%</w:t>
            </w:r>
          </w:p>
        </w:tc>
        <w:tc>
          <w:tcPr>
            <w:vAlign w:val="center"/>
          </w:tcPr>
          <w:p>
            <w:pPr>
              <w:jc w:val="center"/>
            </w:pPr>
            <w:r>
              <w:rPr>
                <w:color w:val="000000"/>
                <w:sz w:val="24"/>
                <w:szCs w:val="24"/>
              </w:rPr>
              <w:t>0.11%</w:t>
            </w:r>
          </w:p>
        </w:tc>
        <w:tc>
          <w:tcPr>
            <w:vAlign w:val="center"/>
          </w:tcPr>
          <w:p>
            <w:pPr>
              <w:jc w:val="center"/>
            </w:pPr>
            <w:r>
              <w:rPr>
                <w:color w:val="000000"/>
                <w:sz w:val="24"/>
                <w:szCs w:val="24"/>
              </w:rPr>
              <w:t>0.02%</w:t>
            </w:r>
          </w:p>
        </w:tc>
      </w:tr>
      <w:tr>
        <w:tc>
          <w:tcPr>
            <w:vAlign w:val="center"/>
          </w:tcPr>
          <w:p>
            <w:pPr>
              <w:jc w:val="left"/>
            </w:pPr>
            <w:r>
              <w:rPr>
                <w:color w:val="000000"/>
                <w:sz w:val="24"/>
                <w:szCs w:val="24"/>
              </w:rPr>
              <w:t>过去六个月</w:t>
            </w:r>
          </w:p>
        </w:tc>
        <w:tc>
          <w:tcPr>
            <w:vAlign w:val="center"/>
          </w:tcPr>
          <w:p>
            <w:pPr>
              <w:jc w:val="center"/>
            </w:pPr>
            <w:r>
              <w:rPr>
                <w:color w:val="000000"/>
                <w:sz w:val="24"/>
                <w:szCs w:val="24"/>
              </w:rPr>
              <w:t>3.02%</w:t>
            </w:r>
          </w:p>
        </w:tc>
        <w:tc>
          <w:tcPr>
            <w:vAlign w:val="center"/>
          </w:tcPr>
          <w:p>
            <w:pPr>
              <w:jc w:val="center"/>
            </w:pPr>
            <w:r>
              <w:rPr>
                <w:color w:val="000000"/>
                <w:sz w:val="24"/>
                <w:szCs w:val="24"/>
              </w:rPr>
              <w:t>0.22%</w:t>
            </w:r>
          </w:p>
        </w:tc>
        <w:tc>
          <w:tcPr>
            <w:vAlign w:val="center"/>
          </w:tcPr>
          <w:p>
            <w:pPr>
              <w:jc w:val="center"/>
            </w:pPr>
            <w:r>
              <w:rPr>
                <w:color w:val="000000"/>
                <w:sz w:val="24"/>
                <w:szCs w:val="24"/>
              </w:rPr>
              <w:t>2.39%</w:t>
            </w:r>
          </w:p>
        </w:tc>
        <w:tc>
          <w:tcPr>
            <w:vAlign w:val="center"/>
          </w:tcPr>
          <w:p>
            <w:pPr>
              <w:jc w:val="center"/>
            </w:pPr>
            <w:r>
              <w:rPr>
                <w:color w:val="000000"/>
                <w:sz w:val="24"/>
                <w:szCs w:val="24"/>
              </w:rPr>
              <w:t>0.15%</w:t>
            </w:r>
          </w:p>
        </w:tc>
        <w:tc>
          <w:tcPr>
            <w:vAlign w:val="center"/>
          </w:tcPr>
          <w:p>
            <w:pPr>
              <w:jc w:val="center"/>
            </w:pPr>
            <w:r>
              <w:rPr>
                <w:color w:val="000000"/>
                <w:sz w:val="24"/>
                <w:szCs w:val="24"/>
              </w:rPr>
              <w:t>0.63%</w:t>
            </w:r>
          </w:p>
        </w:tc>
        <w:tc>
          <w:tcPr>
            <w:vAlign w:val="center"/>
          </w:tcPr>
          <w:p>
            <w:pPr>
              <w:jc w:val="center"/>
            </w:pPr>
            <w:r>
              <w:rPr>
                <w:color w:val="000000"/>
                <w:sz w:val="24"/>
                <w:szCs w:val="24"/>
              </w:rPr>
              <w:t>0.07%</w:t>
            </w:r>
          </w:p>
        </w:tc>
      </w:tr>
      <w:tr>
        <w:tc>
          <w:tcPr>
            <w:vAlign w:val="center"/>
          </w:tcPr>
          <w:p>
            <w:pPr>
              <w:jc w:val="left"/>
            </w:pPr>
            <w:r>
              <w:rPr>
                <w:color w:val="000000"/>
                <w:sz w:val="24"/>
                <w:szCs w:val="24"/>
              </w:rPr>
              <w:t>过去一年</w:t>
            </w:r>
          </w:p>
        </w:tc>
        <w:tc>
          <w:tcPr>
            <w:vAlign w:val="center"/>
          </w:tcPr>
          <w:p>
            <w:pPr>
              <w:jc w:val="center"/>
            </w:pPr>
            <w:r>
              <w:rPr>
                <w:color w:val="000000"/>
                <w:sz w:val="24"/>
                <w:szCs w:val="24"/>
              </w:rPr>
              <w:t>7.99%</w:t>
            </w:r>
          </w:p>
        </w:tc>
        <w:tc>
          <w:tcPr>
            <w:vAlign w:val="center"/>
          </w:tcPr>
          <w:p>
            <w:pPr>
              <w:jc w:val="center"/>
            </w:pPr>
            <w:r>
              <w:rPr>
                <w:color w:val="000000"/>
                <w:sz w:val="24"/>
                <w:szCs w:val="24"/>
              </w:rPr>
              <w:t>0.21%</w:t>
            </w:r>
          </w:p>
        </w:tc>
        <w:tc>
          <w:tcPr>
            <w:vAlign w:val="center"/>
          </w:tcPr>
          <w:p>
            <w:pPr>
              <w:jc w:val="center"/>
            </w:pPr>
            <w:r>
              <w:rPr>
                <w:color w:val="000000"/>
                <w:sz w:val="24"/>
                <w:szCs w:val="24"/>
              </w:rPr>
              <w:t>5.56%</w:t>
            </w:r>
          </w:p>
        </w:tc>
        <w:tc>
          <w:tcPr>
            <w:vAlign w:val="center"/>
          </w:tcPr>
          <w:p>
            <w:pPr>
              <w:jc w:val="center"/>
            </w:pPr>
            <w:r>
              <w:rPr>
                <w:color w:val="000000"/>
                <w:sz w:val="24"/>
                <w:szCs w:val="24"/>
              </w:rPr>
              <w:t>0.12%</w:t>
            </w:r>
          </w:p>
        </w:tc>
        <w:tc>
          <w:tcPr>
            <w:vAlign w:val="center"/>
          </w:tcPr>
          <w:p>
            <w:pPr>
              <w:jc w:val="center"/>
            </w:pPr>
            <w:r>
              <w:rPr>
                <w:color w:val="000000"/>
                <w:sz w:val="24"/>
                <w:szCs w:val="24"/>
              </w:rPr>
              <w:t>2.43%</w:t>
            </w:r>
          </w:p>
        </w:tc>
        <w:tc>
          <w:tcPr>
            <w:vAlign w:val="center"/>
          </w:tcPr>
          <w:p>
            <w:pPr>
              <w:jc w:val="center"/>
            </w:pPr>
            <w:r>
              <w:rPr>
                <w:color w:val="000000"/>
                <w:sz w:val="24"/>
                <w:szCs w:val="24"/>
              </w:rPr>
              <w:t>0.09%</w:t>
            </w:r>
          </w:p>
        </w:tc>
      </w:tr>
      <w:tr>
        <w:tc>
          <w:tcPr>
            <w:vAlign w:val="center"/>
          </w:tcPr>
          <w:p>
            <w:pPr>
              <w:jc w:val="left"/>
            </w:pPr>
            <w:r>
              <w:rPr>
                <w:color w:val="000000"/>
                <w:sz w:val="24"/>
                <w:szCs w:val="24"/>
              </w:rPr>
              <w:t>过去三年</w:t>
            </w:r>
          </w:p>
        </w:tc>
        <w:tc>
          <w:tcPr>
            <w:vAlign w:val="center"/>
          </w:tcPr>
          <w:p>
            <w:pPr>
              <w:jc w:val="center"/>
            </w:pPr>
            <w:r>
              <w:rPr>
                <w:color w:val="000000"/>
                <w:sz w:val="24"/>
                <w:szCs w:val="24"/>
              </w:rPr>
              <w:t>12.58%</w:t>
            </w:r>
          </w:p>
        </w:tc>
        <w:tc>
          <w:tcPr>
            <w:vAlign w:val="center"/>
          </w:tcPr>
          <w:p>
            <w:pPr>
              <w:jc w:val="center"/>
            </w:pPr>
            <w:r>
              <w:rPr>
                <w:color w:val="000000"/>
                <w:sz w:val="24"/>
                <w:szCs w:val="24"/>
              </w:rPr>
              <w:t>0.27%</w:t>
            </w:r>
          </w:p>
        </w:tc>
        <w:tc>
          <w:tcPr>
            <w:vAlign w:val="center"/>
          </w:tcPr>
          <w:p>
            <w:pPr>
              <w:jc w:val="center"/>
            </w:pPr>
            <w:r>
              <w:rPr>
                <w:color w:val="000000"/>
                <w:sz w:val="24"/>
                <w:szCs w:val="24"/>
              </w:rPr>
              <w:t>16.36%</w:t>
            </w:r>
          </w:p>
        </w:tc>
        <w:tc>
          <w:tcPr>
            <w:vAlign w:val="center"/>
          </w:tcPr>
          <w:p>
            <w:pPr>
              <w:jc w:val="center"/>
            </w:pPr>
            <w:r>
              <w:rPr>
                <w:color w:val="000000"/>
                <w:sz w:val="24"/>
                <w:szCs w:val="24"/>
              </w:rPr>
              <w:t>0.13%</w:t>
            </w:r>
          </w:p>
        </w:tc>
        <w:tc>
          <w:tcPr>
            <w:vAlign w:val="center"/>
          </w:tcPr>
          <w:p>
            <w:pPr>
              <w:jc w:val="center"/>
            </w:pPr>
            <w:r>
              <w:rPr>
                <w:color w:val="000000"/>
                <w:sz w:val="24"/>
                <w:szCs w:val="24"/>
              </w:rPr>
              <w:t>-3.78%</w:t>
            </w:r>
          </w:p>
        </w:tc>
        <w:tc>
          <w:tcPr>
            <w:vAlign w:val="center"/>
          </w:tcPr>
          <w:p>
            <w:pPr>
              <w:jc w:val="center"/>
            </w:pPr>
            <w:r>
              <w:rPr>
                <w:color w:val="000000"/>
                <w:sz w:val="24"/>
                <w:szCs w:val="24"/>
              </w:rPr>
              <w:t>0.14%</w:t>
            </w:r>
          </w:p>
        </w:tc>
      </w:tr>
      <w:tr>
        <w:tc>
          <w:tcPr>
            <w:vAlign w:val="center"/>
          </w:tcPr>
          <w:p>
            <w:pPr>
              <w:jc w:val="left"/>
            </w:pPr>
            <w:r>
              <w:rPr>
                <w:color w:val="000000"/>
                <w:sz w:val="24"/>
                <w:szCs w:val="24"/>
              </w:rPr>
              <w:t>自基金合同生效起至今</w:t>
            </w:r>
          </w:p>
        </w:tc>
        <w:tc>
          <w:tcPr>
            <w:vAlign w:val="center"/>
          </w:tcPr>
          <w:p>
            <w:pPr>
              <w:jc w:val="center"/>
            </w:pPr>
            <w:r>
              <w:rPr>
                <w:color w:val="000000"/>
                <w:sz w:val="24"/>
                <w:szCs w:val="24"/>
              </w:rPr>
              <w:t>12.76%</w:t>
            </w:r>
          </w:p>
        </w:tc>
        <w:tc>
          <w:tcPr>
            <w:vAlign w:val="center"/>
          </w:tcPr>
          <w:p>
            <w:pPr>
              <w:jc w:val="center"/>
            </w:pPr>
            <w:r>
              <w:rPr>
                <w:color w:val="000000"/>
                <w:sz w:val="24"/>
                <w:szCs w:val="24"/>
              </w:rPr>
              <w:t>0.25%</w:t>
            </w:r>
          </w:p>
        </w:tc>
        <w:tc>
          <w:tcPr>
            <w:vAlign w:val="center"/>
          </w:tcPr>
          <w:p>
            <w:pPr>
              <w:jc w:val="center"/>
            </w:pPr>
            <w:r>
              <w:rPr>
                <w:color w:val="000000"/>
                <w:sz w:val="24"/>
                <w:szCs w:val="24"/>
              </w:rPr>
              <w:t>17.95%</w:t>
            </w:r>
          </w:p>
        </w:tc>
        <w:tc>
          <w:tcPr>
            <w:vAlign w:val="center"/>
          </w:tcPr>
          <w:p>
            <w:pPr>
              <w:jc w:val="center"/>
            </w:pPr>
            <w:r>
              <w:rPr>
                <w:color w:val="000000"/>
                <w:sz w:val="24"/>
                <w:szCs w:val="24"/>
              </w:rPr>
              <w:t>0.12%</w:t>
            </w:r>
          </w:p>
        </w:tc>
        <w:tc>
          <w:tcPr>
            <w:vAlign w:val="center"/>
          </w:tcPr>
          <w:p>
            <w:pPr>
              <w:jc w:val="center"/>
            </w:pPr>
            <w:r>
              <w:rPr>
                <w:color w:val="000000"/>
                <w:sz w:val="24"/>
                <w:szCs w:val="24"/>
              </w:rPr>
              <w:t>-5.19%</w:t>
            </w:r>
          </w:p>
        </w:tc>
        <w:tc>
          <w:tcPr>
            <w:vAlign w:val="center"/>
          </w:tcPr>
          <w:p>
            <w:pPr>
              <w:jc w:val="center"/>
            </w:pPr>
            <w:r>
              <w:rPr>
                <w:color w:val="000000"/>
                <w:sz w:val="24"/>
                <w:szCs w:val="24"/>
              </w:rPr>
              <w:t>0.13%</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自基金转型以来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交银施罗德增强收益债券型证券投资基金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2016年12月30日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2020年6月30日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由交银施罗德荣泰保本混合型证券投资基金转型而来。基金转型日为2016年12月30日。本基金的投资转型期为交银施罗德荣泰保本混合型证券投资基金保本周期到期期间截止日的次日（即2016年12月30日）起的3个月。截至投资转型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0"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凌超</w:t>
            </w:r>
          </w:p>
        </w:tc>
        <w:tc>
          <w:tcPr>
            <w:vAlign w:val="center"/>
          </w:tcPr>
          <w:p>
            <w:pPr>
              <w:jc w:val="center"/>
            </w:pPr>
            <w:r>
              <w:rPr>
                <w:color w:val="000000"/>
                <w:sz w:val="24"/>
                <w:szCs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公募)投资副总监</w:t>
            </w:r>
          </w:p>
        </w:tc>
        <w:tc>
          <w:tcPr>
            <w:vAlign w:val="center"/>
          </w:tcPr>
          <w:p>
            <w:pPr>
              <w:jc w:val="center"/>
            </w:pPr>
            <w:r>
              <w:rPr>
                <w:color w:val="000000"/>
                <w:sz w:val="24"/>
                <w:szCs w:val="24"/>
              </w:rPr>
              <w:t>2018-02-13</w:t>
            </w:r>
          </w:p>
        </w:tc>
        <w:tc>
          <w:tcPr>
            <w:vAlign w:val="center"/>
          </w:tcPr>
          <w:p>
            <w:pPr>
              <w:jc w:val="center"/>
            </w:pPr>
            <w:r>
              <w:rPr>
                <w:color w:val="000000"/>
                <w:sz w:val="24"/>
                <w:szCs w:val="24"/>
              </w:rPr>
              <w:t>-</w:t>
            </w:r>
          </w:p>
        </w:tc>
        <w:tc>
          <w:tcPr>
            <w:vAlign w:val="center"/>
          </w:tcPr>
          <w:p>
            <w:pPr>
              <w:jc w:val="center"/>
            </w:pPr>
            <w:r>
              <w:rPr>
                <w:color w:val="000000"/>
                <w:sz w:val="24"/>
                <w:szCs w:val="24"/>
              </w:rPr>
              <w:t>14年</w:t>
            </w:r>
          </w:p>
        </w:tc>
        <w:tc>
          <w:tcPr>
            <w:vAlign w:val="center"/>
          </w:tcPr>
          <w:p>
            <w:pPr>
              <w:jc w:val="both"/>
            </w:pPr>
            <w:r>
              <w:rPr>
                <w:color w:val="000000"/>
                <w:sz w:val="24"/>
                <w:szCs w:val="24"/>
              </w:rPr>
              <w:t>凌超先生，华中科技大学数量经济学硕士、武汉科技大学信息与计算科学学士。2006年至2009年任长江证券股份有限公司研究员、投资经理，2009年至2012年任光大保德信基金有限管理公司研究员、基金助理、基金经理，2012年至2016年任海富通基金管理有限公司投资顾问、基金经理，2016年至2017年任天弘基金管理有限公司固定收益部副总经理、基金经理。2010年8月31日至2012年3月1日任光大保德信货币市场基金基金经理，2013年12月19日至2016年1月12日任海富通一年定期开放债券型证券投资基金基金经理，2014年4月2日至2016年1月12日任海富通纯债债券型证券投资基金基金经理，2014年12月1日至2016年1月12日任海富通稳固收益债券型证券投资基金基金经理，2016年5月14日至2017年7月13日任天弘弘利债券型证券投资基金基金经理，2016年5月14日至2017年7月13日任天弘裕利灵活配置混合型证券投资基金基金经理，2016年5月14日至2017年7月13日任天弘债券型发起式证券投资基金基金经理。2017年7月加入交银施罗德基金管理有限公司。2019年2月28日至2019年5月30日担任转型前的交银施罗德荣祥保本混合型证券投资基金的基金经理。</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本报告期内，债券市场初期走势仍然较为火热，但随着后期资金面利率水平上行、央行货币政策防空转及经济逐步复苏的影响，收益率呈现先下后上的V型走势。四月，因市场资金面仍然相对宽裕，国外新冠病情持续发酵，受悲观预期影响，债市仍在持续火热。但步入五月伊始，国内疫情逐步控制，经济逐步恢复企稳，央行开始关注资金空转的影响，引导资金利率水平上行，政策开始趋向精准投放以提高信用派生的针对性和有效性，债券收益率开始触底回升；进入六月，经济持续恢复，资金利率水平维持在高位，信用派生政策持续发力，债券利率持续上行后，逐步进入高位震荡状态。</w:t>
      </w:r>
    </w:p>
    <w:p>
      <w:pPr>
        <w:spacing w:before="29" w:line="288" w:lineRule="auto"/>
        <w:ind w:firstLine="480" w:firstLineChars="200"/>
        <w:rPr>
          <w:color w:val="000000"/>
          <w:sz w:val="24"/>
          <w:szCs w:val="24"/>
        </w:rPr>
      </w:pPr>
      <w:r>
        <w:rPr>
          <w:color w:val="000000"/>
          <w:sz w:val="24"/>
          <w:szCs w:val="24"/>
        </w:rPr>
        <w:t>二季度，权益市场走势较为良好，在经济逐步企稳恢复、全球流动性同时宽裕的背景下，主要指数表现趋势上涨的势头，特别是创业板指数更是持续上行并创出年内新高。在四月，市场逐步企稳恢复，消费医药和业绩较好的科技类个股表现突出，五月国内经济逐步恢复，经济托底相关政策也不断出台，市场出现进一步回暖，医药消费、消费电子龙头品种、新能源汽车产业链等品种均表现亮眼。步入六月之后，虽然国外疫情仍然持续，但各国主要股指均进一步回升，部分指数甚至接近大跌之前的位置。A股主要指数也大幅恢复，创业板指数更是创下年内新高。</w:t>
      </w:r>
    </w:p>
    <w:p>
      <w:pPr>
        <w:spacing w:before="29" w:line="288" w:lineRule="auto"/>
        <w:ind w:firstLine="480" w:firstLineChars="200"/>
        <w:rPr>
          <w:color w:val="000000"/>
          <w:sz w:val="24"/>
          <w:szCs w:val="24"/>
        </w:rPr>
      </w:pPr>
      <w:r>
        <w:rPr>
          <w:color w:val="000000"/>
          <w:sz w:val="24"/>
          <w:szCs w:val="24"/>
        </w:rPr>
        <w:t>因此在基金操作中，债券部分我们利率债底仓基本维持中短久期没有变化。权益方面，保持中上水平的仓位，参与了医药消费、新能源车和科技类等主流板块的投资机会。随着相关行业的不断上涨，在季末对组合行业配置进行了一定调整，使之更趋于平衡，以提高配置结构的稳定性。</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展望2020年三季度，随着经济的逐步复苏，新冠疫情影响的逐步趋弱，债券预期将维持震荡的格局。目前来看，政策带来的经济复苏更多是出于对冲经济下滑幅度和就业维持稳定的良好状态，在不出现政策大幅度向投资转向的背景下，经济向上弹性较弱，债券收益率暂时看不到太大上行空间。由于经济目前仍在复苏过程之中，货币政策短期进一步宽松的可能性下降，债市在目前收益率水平下趋于震荡的概率偏大。权益方面，在增量资金不断涌入市场的背景下，仍然较为看好市场的表现，关注景气度较好和政策受益板块的相关投资机会。</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本基金（各类）份额净值及业绩表现请见“3.1主要财务指标” 及“3.2.1 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本基金本报告期内连续二十个工作日以上出现基金资产净值低于5000万元的情形，截至本报告期末，本基金基金资产净值仍低于5000万元。</w:t>
      </w:r>
    </w:p>
    <w:p w:rsidP="0011537B" w:rsidR="004061AC" w:rsidRDefault="004061AC" w:rsidRPr="00414345">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p w:rsidP="009C1009" w:rsidR="006B5F69" w:rsidRDefault="009C1009" w:rsidRPr="007B5F21">
      <w:pPr>
        <w:autoSpaceDE w:val="0"/>
        <w:autoSpaceDN w:val="0"/>
        <w:adjustRightInd w:val="0"/>
        <w:spacing w:line="360" w:lineRule="auto"/>
        <w:jc w:val="right"/>
        <w:rPr>
          <w:rFonts w:eastAsiaTheme="minorEastAsia"/>
          <w:b/>
          <w:color w:themeColor="text1" w:val="000000"/>
          <w:kern w:val="0"/>
          <w:sz w:val="24"/>
          <w:szCs w:val="24"/>
        </w:rPr>
      </w:pPr>
      <w:r w:rsidRPr="009C1009">
        <w:rPr>
          <w:rFonts w:hint="eastAsia"/>
          <w:color w:val="000000"/>
          <w:kern w:val="0"/>
        </w:rPr>
        <w:t/>
      </w:r>
      <w:r w:rsidRPr="009C1009">
        <w:rPr>
          <w:rFonts w:hint="eastAsia"/>
          <w:color w:val="000000"/>
          <w:kern w:val="0"/>
        </w:rPr>
        <w:t>金额单位：人民币元</w:t>
      </w:r>
    </w:p>
    <w:tbl>
      <w:tblPr>
        <w:tblStyle w:val="af7"/>
        <w:tblW w:type="dxa" w:w="8897"/>
        <w:tblInd w:type="dxa" w:w="108"/>
        <w:tblLayout w:type="fixed"/>
        <w:tblLook w:firstColumn="1" w:firstRow="1" w:lastColumn="0" w:lastRow="0" w:noHBand="0" w:noVBand="1" w:val="04A0"/>
      </w:tblPr>
      <w:tblGrid>
        <w:gridCol w:w="720"/>
        <w:gridCol w:w="2682"/>
        <w:gridCol w:w="2552"/>
        <w:gridCol w:w="2943"/>
      </w:tblGrid>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68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p>
        </w:tc>
        <w:tc>
          <w:tcPr>
            <w:tcW w:type="dxa" w:w="2943"/>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0018138B">
              <w:rPr>
                <w:rFonts w:eastAsiaTheme="minorEastAsia" w:hint="eastAsia"/>
                <w:color w:themeColor="text1" w:val="000000"/>
                <w:sz w:val="24"/>
                <w:szCs w:val="24"/>
              </w:rPr>
              <w:t>(</w:t>
            </w:r>
            <w:r w:rsidR="0018138B">
              <w:rPr>
                <w:rFonts w:eastAsiaTheme="minorEastAsia"/>
                <w:color w:themeColor="text1" w:val="000000"/>
                <w:sz w:val="24"/>
                <w:szCs w:val="24"/>
              </w:rPr>
              <w:t>%</w:t>
            </w:r>
            <w:r w:rsidR="0018138B">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lastRenderedPageBreak/>
              <w:t>1</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2,830,265.00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13.83</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2,830,265.00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13.83</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16,120,800.20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78.78</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16,120,800.20</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78.78</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682"/>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682"/>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1,262,797.47</w:t>
            </w:r>
          </w:p>
        </w:tc>
        <w:tc>
          <w:tcPr>
            <w:tcW w:type="dxa" w:w="2943"/>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6.17</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248,508.73</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1.21</w:t>
            </w:r>
          </w:p>
        </w:tc>
      </w:tr>
      <w:tr w:rsidR="00BF0019" w:rsidRPr="007B5F21" w:rsidTr="00487A40">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682"/>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20,462,371.40</w:t>
            </w:r>
          </w:p>
        </w:tc>
        <w:tc>
          <w:tcPr>
            <w:tcW w:type="dxa" w:w="2943"/>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9C1009" w:rsidR="007B2639" w:rsidRDefault="009C1009" w:rsidRPr="007B2639">
      <w:pPr>
        <w:jc w:val="right"/>
        <w:rPr>
          <w:sz w:val="24"/>
        </w:rPr>
      </w:pPr>
      <w:r w:rsidRPr="009C1009">
        <w:rPr>
          <w:rFonts w:eastAsiaTheme="minorEastAsia" w:hint="eastAsia"/>
          <w:color w:themeColor="text1" w:val="000000"/>
          <w:kern w:val="0"/>
          <w:sz w:val="24"/>
        </w:rPr>
        <w:t/>
      </w:r>
      <w:r w:rsidRPr="009C1009">
        <w:rPr>
          <w:rFonts w:eastAsiaTheme="minorEastAsia" w:hint="eastAsia"/>
          <w:color w:themeColor="text1" w:val="000000"/>
          <w:kern w:val="0"/>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firstColumn="0" w:firstRow="0" w:lastColumn="0" w:lastRow="0" w:noHBand="0" w:noVBand="0"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B11F31" w:rsidRPr="00414345">
            <w:pPr>
              <w:adjustRightInd w:val="0"/>
              <w:snapToGrid w:val="0"/>
              <w:spacing w:before="29" w:line="288" w:lineRule="auto"/>
              <w:jc w:val="center"/>
              <w:rPr>
                <w:sz w:val="24"/>
                <w:szCs w:val="24"/>
              </w:rPr>
            </w:pPr>
            <w:r>
              <w:rPr>
                <w:sz w:val="24"/>
                <w:szCs w:val="24"/>
              </w:rPr>
              <w:t>公允价值</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1,365,571.00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6.92</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202,390.00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1.03</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r w:rsidRPr="00414345">
              <w:rPr>
                <w:sz w:val="24"/>
                <w:szCs w:val="24"/>
              </w:rPr>
              <w:lastRenderedPageBreak/>
              <w:t>-</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615,504.00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3.12</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451,200.00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2.29</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195,600.00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0.99</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2,830,265.00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14.33</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F51C4E" w:rsidR="00F51C4E" w:rsidRDefault="00F51C4E">
      <w:pPr>
        <w:spacing w:before="29" w:line="360" w:lineRule="auto"/>
        <w:ind w:left="17"/>
        <w:rPr>
          <w:color w:val="000000"/>
          <w:sz w:val="24"/>
        </w:rPr>
      </w:pPr>
      <w:r w:rsidRPr="00FF0BBF">
        <w:rPr>
          <w:color w:val="000000"/>
          <w:sz w:val="24"/>
        </w:rPr>
        <w:t>本基金本报告期末未持有通过港股通投资的股票。</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firstColumn="1" w:firstRow="1" w:lastColumn="0" w:lastRow="0" w:noHBand="0" w:noVBand="1"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002314</w:t>
            </w:r>
          </w:p>
        </w:tc>
        <w:tc>
          <w:tcPr>
            <w:vAlign w:val="center"/>
          </w:tcPr>
          <w:p>
            <w:pPr>
              <w:jc w:val="center"/>
            </w:pPr>
            <w:r>
              <w:rPr>
                <w:color w:val="000000"/>
                <w:sz w:val="24"/>
                <w:szCs w:val="24"/>
              </w:rPr>
              <w:t>南山控股</w:t>
            </w:r>
          </w:p>
        </w:tc>
        <w:tc>
          <w:tcPr>
            <w:vAlign w:val="center"/>
          </w:tcPr>
          <w:p>
            <w:pPr>
              <w:jc w:val="right"/>
            </w:pPr>
            <w:r>
              <w:rPr>
                <w:color w:val="000000"/>
                <w:sz w:val="24"/>
                <w:szCs w:val="24"/>
              </w:rPr>
              <w:t>120,000</w:t>
            </w:r>
          </w:p>
        </w:tc>
        <w:tc>
          <w:tcPr>
            <w:vAlign w:val="center"/>
          </w:tcPr>
          <w:p>
            <w:pPr>
              <w:jc w:val="right"/>
            </w:pPr>
            <w:r>
              <w:rPr>
                <w:color w:val="000000"/>
                <w:sz w:val="24"/>
                <w:szCs w:val="24"/>
              </w:rPr>
              <w:t>451,200.00</w:t>
            </w:r>
          </w:p>
        </w:tc>
        <w:tc>
          <w:tcPr>
            <w:vAlign w:val="center"/>
          </w:tcPr>
          <w:p>
            <w:pPr>
              <w:jc w:val="right"/>
            </w:pPr>
            <w:r>
              <w:rPr>
                <w:color w:val="000000"/>
                <w:sz w:val="24"/>
                <w:szCs w:val="24"/>
              </w:rPr>
              <w:t>2.29</w:t>
            </w:r>
          </w:p>
        </w:tc>
      </w:tr>
      <w:tr>
        <w:tc>
          <w:tcPr>
            <w:vAlign w:val="center"/>
          </w:tcPr>
          <w:p>
            <w:pPr>
              <w:jc w:val="center"/>
            </w:pPr>
            <w:r>
              <w:rPr>
                <w:color w:val="000000"/>
                <w:sz w:val="24"/>
                <w:szCs w:val="24"/>
              </w:rPr>
              <w:t>2</w:t>
            </w:r>
          </w:p>
        </w:tc>
        <w:tc>
          <w:tcPr>
            <w:vAlign w:val="center"/>
          </w:tcPr>
          <w:p>
            <w:pPr>
              <w:jc w:val="center"/>
            </w:pPr>
            <w:r>
              <w:rPr>
                <w:color w:val="000000"/>
                <w:sz w:val="24"/>
                <w:szCs w:val="24"/>
              </w:rPr>
              <w:t>002028</w:t>
            </w:r>
          </w:p>
        </w:tc>
        <w:tc>
          <w:tcPr>
            <w:vAlign w:val="center"/>
          </w:tcPr>
          <w:p>
            <w:pPr>
              <w:jc w:val="center"/>
            </w:pPr>
            <w:r>
              <w:rPr>
                <w:color w:val="000000"/>
                <w:sz w:val="24"/>
                <w:szCs w:val="24"/>
              </w:rPr>
              <w:t>思源电气</w:t>
            </w:r>
          </w:p>
        </w:tc>
        <w:tc>
          <w:tcPr>
            <w:vAlign w:val="center"/>
          </w:tcPr>
          <w:p>
            <w:pPr>
              <w:jc w:val="right"/>
            </w:pPr>
            <w:r>
              <w:rPr>
                <w:color w:val="000000"/>
                <w:sz w:val="24"/>
                <w:szCs w:val="24"/>
              </w:rPr>
              <w:t>14,600</w:t>
            </w:r>
          </w:p>
        </w:tc>
        <w:tc>
          <w:tcPr>
            <w:vAlign w:val="center"/>
          </w:tcPr>
          <w:p>
            <w:pPr>
              <w:jc w:val="right"/>
            </w:pPr>
            <w:r>
              <w:rPr>
                <w:color w:val="000000"/>
                <w:sz w:val="24"/>
                <w:szCs w:val="24"/>
              </w:rPr>
              <w:t>298,716.00</w:t>
            </w:r>
          </w:p>
        </w:tc>
        <w:tc>
          <w:tcPr>
            <w:vAlign w:val="center"/>
          </w:tcPr>
          <w:p>
            <w:pPr>
              <w:jc w:val="right"/>
            </w:pPr>
            <w:r>
              <w:rPr>
                <w:color w:val="000000"/>
                <w:sz w:val="24"/>
                <w:szCs w:val="24"/>
              </w:rPr>
              <w:t>1.51</w:t>
            </w:r>
          </w:p>
        </w:tc>
      </w:tr>
      <w:tr>
        <w:tc>
          <w:tcPr>
            <w:vAlign w:val="center"/>
          </w:tcPr>
          <w:p>
            <w:pPr>
              <w:jc w:val="center"/>
            </w:pPr>
            <w:r>
              <w:rPr>
                <w:color w:val="000000"/>
                <w:sz w:val="24"/>
                <w:szCs w:val="24"/>
              </w:rPr>
              <w:t>3</w:t>
            </w:r>
          </w:p>
        </w:tc>
        <w:tc>
          <w:tcPr>
            <w:vAlign w:val="center"/>
          </w:tcPr>
          <w:p>
            <w:pPr>
              <w:jc w:val="center"/>
            </w:pPr>
            <w:r>
              <w:rPr>
                <w:color w:val="000000"/>
                <w:sz w:val="24"/>
                <w:szCs w:val="24"/>
              </w:rPr>
              <w:t>603416</w:t>
            </w:r>
          </w:p>
        </w:tc>
        <w:tc>
          <w:tcPr>
            <w:vAlign w:val="center"/>
          </w:tcPr>
          <w:p>
            <w:pPr>
              <w:jc w:val="center"/>
            </w:pPr>
            <w:r>
              <w:rPr>
                <w:color w:val="000000"/>
                <w:sz w:val="24"/>
                <w:szCs w:val="24"/>
              </w:rPr>
              <w:t>信捷电气</w:t>
            </w:r>
          </w:p>
        </w:tc>
        <w:tc>
          <w:tcPr>
            <w:vAlign w:val="center"/>
          </w:tcPr>
          <w:p>
            <w:pPr>
              <w:jc w:val="right"/>
            </w:pPr>
            <w:r>
              <w:rPr>
                <w:color w:val="000000"/>
                <w:sz w:val="24"/>
                <w:szCs w:val="24"/>
              </w:rPr>
              <w:t>7,300</w:t>
            </w:r>
          </w:p>
        </w:tc>
        <w:tc>
          <w:tcPr>
            <w:vAlign w:val="center"/>
          </w:tcPr>
          <w:p>
            <w:pPr>
              <w:jc w:val="right"/>
            </w:pPr>
            <w:r>
              <w:rPr>
                <w:color w:val="000000"/>
                <w:sz w:val="24"/>
                <w:szCs w:val="24"/>
              </w:rPr>
              <w:t>290,978.00</w:t>
            </w:r>
          </w:p>
        </w:tc>
        <w:tc>
          <w:tcPr>
            <w:vAlign w:val="center"/>
          </w:tcPr>
          <w:p>
            <w:pPr>
              <w:jc w:val="right"/>
            </w:pPr>
            <w:r>
              <w:rPr>
                <w:color w:val="000000"/>
                <w:sz w:val="24"/>
                <w:szCs w:val="24"/>
              </w:rPr>
              <w:t>1.47</w:t>
            </w:r>
          </w:p>
        </w:tc>
      </w:tr>
      <w:tr>
        <w:tc>
          <w:tcPr>
            <w:vAlign w:val="center"/>
          </w:tcPr>
          <w:p>
            <w:pPr>
              <w:jc w:val="center"/>
            </w:pPr>
            <w:r>
              <w:rPr>
                <w:color w:val="000000"/>
                <w:sz w:val="24"/>
                <w:szCs w:val="24"/>
              </w:rPr>
              <w:t>4</w:t>
            </w:r>
          </w:p>
        </w:tc>
        <w:tc>
          <w:tcPr>
            <w:vAlign w:val="center"/>
          </w:tcPr>
          <w:p>
            <w:pPr>
              <w:jc w:val="center"/>
            </w:pPr>
            <w:r>
              <w:rPr>
                <w:color w:val="000000"/>
                <w:sz w:val="24"/>
                <w:szCs w:val="24"/>
              </w:rPr>
              <w:t>002555</w:t>
            </w:r>
          </w:p>
        </w:tc>
        <w:tc>
          <w:tcPr>
            <w:vAlign w:val="center"/>
          </w:tcPr>
          <w:p>
            <w:pPr>
              <w:jc w:val="center"/>
            </w:pPr>
            <w:r>
              <w:rPr>
                <w:color w:val="000000"/>
                <w:sz w:val="24"/>
                <w:szCs w:val="24"/>
              </w:rPr>
              <w:t>三七互娱</w:t>
            </w:r>
          </w:p>
        </w:tc>
        <w:tc>
          <w:tcPr>
            <w:vAlign w:val="center"/>
          </w:tcPr>
          <w:p>
            <w:pPr>
              <w:jc w:val="right"/>
            </w:pPr>
            <w:r>
              <w:rPr>
                <w:color w:val="000000"/>
                <w:sz w:val="24"/>
                <w:szCs w:val="24"/>
              </w:rPr>
              <w:t>4,500</w:t>
            </w:r>
          </w:p>
        </w:tc>
        <w:tc>
          <w:tcPr>
            <w:vAlign w:val="center"/>
          </w:tcPr>
          <w:p>
            <w:pPr>
              <w:jc w:val="right"/>
            </w:pPr>
            <w:r>
              <w:rPr>
                <w:color w:val="000000"/>
                <w:sz w:val="24"/>
                <w:szCs w:val="24"/>
              </w:rPr>
              <w:t>210,600.00</w:t>
            </w:r>
          </w:p>
        </w:tc>
        <w:tc>
          <w:tcPr>
            <w:vAlign w:val="center"/>
          </w:tcPr>
          <w:p>
            <w:pPr>
              <w:jc w:val="right"/>
            </w:pPr>
            <w:r>
              <w:rPr>
                <w:color w:val="000000"/>
                <w:sz w:val="24"/>
                <w:szCs w:val="24"/>
              </w:rPr>
              <w:t>1.07</w:t>
            </w:r>
          </w:p>
        </w:tc>
      </w:tr>
      <w:tr>
        <w:tc>
          <w:tcPr>
            <w:vAlign w:val="center"/>
          </w:tcPr>
          <w:p>
            <w:pPr>
              <w:jc w:val="center"/>
            </w:pPr>
            <w:r>
              <w:rPr>
                <w:color w:val="000000"/>
                <w:sz w:val="24"/>
                <w:szCs w:val="24"/>
              </w:rPr>
              <w:t>5</w:t>
            </w:r>
          </w:p>
        </w:tc>
        <w:tc>
          <w:tcPr>
            <w:vAlign w:val="center"/>
          </w:tcPr>
          <w:p>
            <w:pPr>
              <w:jc w:val="center"/>
            </w:pPr>
            <w:r>
              <w:rPr>
                <w:color w:val="000000"/>
                <w:sz w:val="24"/>
                <w:szCs w:val="24"/>
              </w:rPr>
              <w:t>300451</w:t>
            </w:r>
          </w:p>
        </w:tc>
        <w:tc>
          <w:tcPr>
            <w:vAlign w:val="center"/>
          </w:tcPr>
          <w:p>
            <w:pPr>
              <w:jc w:val="center"/>
            </w:pPr>
            <w:r>
              <w:rPr>
                <w:color w:val="000000"/>
                <w:sz w:val="24"/>
                <w:szCs w:val="24"/>
              </w:rPr>
              <w:t>创业慧康</w:t>
            </w:r>
          </w:p>
        </w:tc>
        <w:tc>
          <w:tcPr>
            <w:vAlign w:val="center"/>
          </w:tcPr>
          <w:p>
            <w:pPr>
              <w:jc w:val="right"/>
            </w:pPr>
            <w:r>
              <w:rPr>
                <w:color w:val="000000"/>
                <w:sz w:val="24"/>
                <w:szCs w:val="24"/>
              </w:rPr>
              <w:t>11,200</w:t>
            </w:r>
          </w:p>
        </w:tc>
        <w:tc>
          <w:tcPr>
            <w:vAlign w:val="center"/>
          </w:tcPr>
          <w:p>
            <w:pPr>
              <w:jc w:val="right"/>
            </w:pPr>
            <w:r>
              <w:rPr>
                <w:color w:val="000000"/>
                <w:sz w:val="24"/>
                <w:szCs w:val="24"/>
              </w:rPr>
              <w:t>207,088.00</w:t>
            </w:r>
          </w:p>
        </w:tc>
        <w:tc>
          <w:tcPr>
            <w:vAlign w:val="center"/>
          </w:tcPr>
          <w:p>
            <w:pPr>
              <w:jc w:val="right"/>
            </w:pPr>
            <w:r>
              <w:rPr>
                <w:color w:val="000000"/>
                <w:sz w:val="24"/>
                <w:szCs w:val="24"/>
              </w:rPr>
              <w:t>1.05</w:t>
            </w:r>
          </w:p>
        </w:tc>
      </w:tr>
      <w:tr>
        <w:tc>
          <w:tcPr>
            <w:vAlign w:val="center"/>
          </w:tcPr>
          <w:p>
            <w:pPr>
              <w:jc w:val="center"/>
            </w:pPr>
            <w:r>
              <w:rPr>
                <w:color w:val="000000"/>
                <w:sz w:val="24"/>
                <w:szCs w:val="24"/>
              </w:rPr>
              <w:t>6</w:t>
            </w:r>
          </w:p>
        </w:tc>
        <w:tc>
          <w:tcPr>
            <w:vAlign w:val="center"/>
          </w:tcPr>
          <w:p>
            <w:pPr>
              <w:jc w:val="center"/>
            </w:pPr>
            <w:r>
              <w:rPr>
                <w:color w:val="000000"/>
                <w:sz w:val="24"/>
                <w:szCs w:val="24"/>
              </w:rPr>
              <w:t>002352</w:t>
            </w:r>
          </w:p>
        </w:tc>
        <w:tc>
          <w:tcPr>
            <w:vAlign w:val="center"/>
          </w:tcPr>
          <w:p>
            <w:pPr>
              <w:jc w:val="center"/>
            </w:pPr>
            <w:r>
              <w:rPr>
                <w:color w:val="000000"/>
                <w:sz w:val="24"/>
                <w:szCs w:val="24"/>
              </w:rPr>
              <w:t>顺丰控股</w:t>
            </w:r>
          </w:p>
        </w:tc>
        <w:tc>
          <w:tcPr>
            <w:vAlign w:val="center"/>
          </w:tcPr>
          <w:p>
            <w:pPr>
              <w:jc w:val="right"/>
            </w:pPr>
            <w:r>
              <w:rPr>
                <w:color w:val="000000"/>
                <w:sz w:val="24"/>
                <w:szCs w:val="24"/>
              </w:rPr>
              <w:t>3,700</w:t>
            </w:r>
          </w:p>
        </w:tc>
        <w:tc>
          <w:tcPr>
            <w:vAlign w:val="center"/>
          </w:tcPr>
          <w:p>
            <w:pPr>
              <w:jc w:val="right"/>
            </w:pPr>
            <w:r>
              <w:rPr>
                <w:color w:val="000000"/>
                <w:sz w:val="24"/>
                <w:szCs w:val="24"/>
              </w:rPr>
              <w:t>202,390.00</w:t>
            </w:r>
          </w:p>
        </w:tc>
        <w:tc>
          <w:tcPr>
            <w:vAlign w:val="center"/>
          </w:tcPr>
          <w:p>
            <w:pPr>
              <w:jc w:val="right"/>
            </w:pPr>
            <w:r>
              <w:rPr>
                <w:color w:val="000000"/>
                <w:sz w:val="24"/>
                <w:szCs w:val="24"/>
              </w:rPr>
              <w:t>1.03</w:t>
            </w:r>
          </w:p>
        </w:tc>
      </w:tr>
      <w:tr>
        <w:tc>
          <w:tcPr>
            <w:vAlign w:val="center"/>
          </w:tcPr>
          <w:p>
            <w:pPr>
              <w:jc w:val="center"/>
            </w:pPr>
            <w:r>
              <w:rPr>
                <w:color w:val="000000"/>
                <w:sz w:val="24"/>
                <w:szCs w:val="24"/>
              </w:rPr>
              <w:t>7</w:t>
            </w:r>
          </w:p>
        </w:tc>
        <w:tc>
          <w:tcPr>
            <w:vAlign w:val="center"/>
          </w:tcPr>
          <w:p>
            <w:pPr>
              <w:jc w:val="center"/>
            </w:pPr>
            <w:r>
              <w:rPr>
                <w:color w:val="000000"/>
                <w:sz w:val="24"/>
                <w:szCs w:val="24"/>
              </w:rPr>
              <w:t>600885</w:t>
            </w:r>
          </w:p>
        </w:tc>
        <w:tc>
          <w:tcPr>
            <w:vAlign w:val="center"/>
          </w:tcPr>
          <w:p>
            <w:pPr>
              <w:jc w:val="center"/>
            </w:pPr>
            <w:r>
              <w:rPr>
                <w:color w:val="000000"/>
                <w:sz w:val="24"/>
                <w:szCs w:val="24"/>
              </w:rPr>
              <w:t>宏发股份</w:t>
            </w:r>
          </w:p>
        </w:tc>
        <w:tc>
          <w:tcPr>
            <w:vAlign w:val="center"/>
          </w:tcPr>
          <w:p>
            <w:pPr>
              <w:jc w:val="right"/>
            </w:pPr>
            <w:r>
              <w:rPr>
                <w:color w:val="000000"/>
                <w:sz w:val="24"/>
                <w:szCs w:val="24"/>
              </w:rPr>
              <w:t>5,000</w:t>
            </w:r>
          </w:p>
        </w:tc>
        <w:tc>
          <w:tcPr>
            <w:vAlign w:val="center"/>
          </w:tcPr>
          <w:p>
            <w:pPr>
              <w:jc w:val="right"/>
            </w:pPr>
            <w:r>
              <w:rPr>
                <w:color w:val="000000"/>
                <w:sz w:val="24"/>
                <w:szCs w:val="24"/>
              </w:rPr>
              <w:t>200,600.00</w:t>
            </w:r>
          </w:p>
        </w:tc>
        <w:tc>
          <w:tcPr>
            <w:vAlign w:val="center"/>
          </w:tcPr>
          <w:p>
            <w:pPr>
              <w:jc w:val="right"/>
            </w:pPr>
            <w:r>
              <w:rPr>
                <w:color w:val="000000"/>
                <w:sz w:val="24"/>
                <w:szCs w:val="24"/>
              </w:rPr>
              <w:t>1.02</w:t>
            </w:r>
          </w:p>
        </w:tc>
      </w:tr>
      <w:tr>
        <w:tc>
          <w:tcPr>
            <w:vAlign w:val="center"/>
          </w:tcPr>
          <w:p>
            <w:pPr>
              <w:jc w:val="center"/>
            </w:pPr>
            <w:r>
              <w:rPr>
                <w:color w:val="000000"/>
                <w:sz w:val="24"/>
                <w:szCs w:val="24"/>
              </w:rPr>
              <w:t>8</w:t>
            </w:r>
          </w:p>
        </w:tc>
        <w:tc>
          <w:tcPr>
            <w:vAlign w:val="center"/>
          </w:tcPr>
          <w:p>
            <w:pPr>
              <w:jc w:val="center"/>
            </w:pPr>
            <w:r>
              <w:rPr>
                <w:color w:val="000000"/>
                <w:sz w:val="24"/>
                <w:szCs w:val="24"/>
              </w:rPr>
              <w:t>300227</w:t>
            </w:r>
          </w:p>
        </w:tc>
        <w:tc>
          <w:tcPr>
            <w:vAlign w:val="center"/>
          </w:tcPr>
          <w:p>
            <w:pPr>
              <w:jc w:val="center"/>
            </w:pPr>
            <w:r>
              <w:rPr>
                <w:color w:val="000000"/>
                <w:sz w:val="24"/>
                <w:szCs w:val="24"/>
              </w:rPr>
              <w:t>光韵达</w:t>
            </w:r>
          </w:p>
        </w:tc>
        <w:tc>
          <w:tcPr>
            <w:vAlign w:val="center"/>
          </w:tcPr>
          <w:p>
            <w:pPr>
              <w:jc w:val="right"/>
            </w:pPr>
            <w:r>
              <w:rPr>
                <w:color w:val="000000"/>
                <w:sz w:val="24"/>
                <w:szCs w:val="24"/>
              </w:rPr>
              <w:t>18,900</w:t>
            </w:r>
          </w:p>
        </w:tc>
        <w:tc>
          <w:tcPr>
            <w:vAlign w:val="center"/>
          </w:tcPr>
          <w:p>
            <w:pPr>
              <w:jc w:val="right"/>
            </w:pPr>
            <w:r>
              <w:rPr>
                <w:color w:val="000000"/>
                <w:sz w:val="24"/>
                <w:szCs w:val="24"/>
              </w:rPr>
              <w:t>198,261.00</w:t>
            </w:r>
          </w:p>
        </w:tc>
        <w:tc>
          <w:tcPr>
            <w:vAlign w:val="center"/>
          </w:tcPr>
          <w:p>
            <w:pPr>
              <w:jc w:val="right"/>
            </w:pPr>
            <w:r>
              <w:rPr>
                <w:color w:val="000000"/>
                <w:sz w:val="24"/>
                <w:szCs w:val="24"/>
              </w:rPr>
              <w:t>1.00</w:t>
            </w:r>
          </w:p>
        </w:tc>
      </w:tr>
      <w:tr>
        <w:tc>
          <w:tcPr>
            <w:vAlign w:val="center"/>
          </w:tcPr>
          <w:p>
            <w:pPr>
              <w:jc w:val="center"/>
            </w:pPr>
            <w:r>
              <w:rPr>
                <w:color w:val="000000"/>
                <w:sz w:val="24"/>
                <w:szCs w:val="24"/>
              </w:rPr>
              <w:t>9</w:t>
            </w:r>
          </w:p>
        </w:tc>
        <w:tc>
          <w:tcPr>
            <w:vAlign w:val="center"/>
          </w:tcPr>
          <w:p>
            <w:pPr>
              <w:jc w:val="center"/>
            </w:pPr>
            <w:r>
              <w:rPr>
                <w:color w:val="000000"/>
                <w:sz w:val="24"/>
                <w:szCs w:val="24"/>
              </w:rPr>
              <w:t>002409</w:t>
            </w:r>
          </w:p>
        </w:tc>
        <w:tc>
          <w:tcPr>
            <w:vAlign w:val="center"/>
          </w:tcPr>
          <w:p>
            <w:pPr>
              <w:jc w:val="center"/>
            </w:pPr>
            <w:r>
              <w:rPr>
                <w:color w:val="000000"/>
                <w:sz w:val="24"/>
                <w:szCs w:val="24"/>
              </w:rPr>
              <w:t>雅克科技</w:t>
            </w:r>
          </w:p>
        </w:tc>
        <w:tc>
          <w:tcPr>
            <w:vAlign w:val="center"/>
          </w:tcPr>
          <w:p>
            <w:pPr>
              <w:jc w:val="right"/>
            </w:pPr>
            <w:r>
              <w:rPr>
                <w:color w:val="000000"/>
                <w:sz w:val="24"/>
                <w:szCs w:val="24"/>
              </w:rPr>
              <w:t>3,800</w:t>
            </w:r>
          </w:p>
        </w:tc>
        <w:tc>
          <w:tcPr>
            <w:vAlign w:val="center"/>
          </w:tcPr>
          <w:p>
            <w:pPr>
              <w:jc w:val="right"/>
            </w:pPr>
            <w:r>
              <w:rPr>
                <w:color w:val="000000"/>
                <w:sz w:val="24"/>
                <w:szCs w:val="24"/>
              </w:rPr>
              <w:t>198,246.00</w:t>
            </w:r>
          </w:p>
        </w:tc>
        <w:tc>
          <w:tcPr>
            <w:vAlign w:val="center"/>
          </w:tcPr>
          <w:p>
            <w:pPr>
              <w:jc w:val="right"/>
            </w:pPr>
            <w:r>
              <w:rPr>
                <w:color w:val="000000"/>
                <w:sz w:val="24"/>
                <w:szCs w:val="24"/>
              </w:rPr>
              <w:t>1.00</w:t>
            </w:r>
          </w:p>
        </w:tc>
      </w:tr>
      <w:tr>
        <w:tc>
          <w:tcPr>
            <w:vAlign w:val="center"/>
          </w:tcPr>
          <w:p>
            <w:pPr>
              <w:jc w:val="center"/>
            </w:pPr>
            <w:r>
              <w:rPr>
                <w:color w:val="000000"/>
                <w:sz w:val="24"/>
                <w:szCs w:val="24"/>
              </w:rPr>
              <w:t>10</w:t>
            </w:r>
          </w:p>
        </w:tc>
        <w:tc>
          <w:tcPr>
            <w:vAlign w:val="center"/>
          </w:tcPr>
          <w:p>
            <w:pPr>
              <w:jc w:val="center"/>
            </w:pPr>
            <w:r>
              <w:rPr>
                <w:color w:val="000000"/>
                <w:sz w:val="24"/>
                <w:szCs w:val="24"/>
              </w:rPr>
              <w:t>300031</w:t>
            </w:r>
          </w:p>
        </w:tc>
        <w:tc>
          <w:tcPr>
            <w:vAlign w:val="center"/>
          </w:tcPr>
          <w:p>
            <w:pPr>
              <w:jc w:val="center"/>
            </w:pPr>
            <w:r>
              <w:rPr>
                <w:color w:val="000000"/>
                <w:sz w:val="24"/>
                <w:szCs w:val="24"/>
              </w:rPr>
              <w:t>宝通科技</w:t>
            </w:r>
          </w:p>
        </w:tc>
        <w:tc>
          <w:tcPr>
            <w:vAlign w:val="center"/>
          </w:tcPr>
          <w:p>
            <w:pPr>
              <w:jc w:val="right"/>
            </w:pPr>
            <w:r>
              <w:rPr>
                <w:color w:val="000000"/>
                <w:sz w:val="24"/>
                <w:szCs w:val="24"/>
              </w:rPr>
              <w:t>7,900</w:t>
            </w:r>
          </w:p>
        </w:tc>
        <w:tc>
          <w:tcPr>
            <w:vAlign w:val="center"/>
          </w:tcPr>
          <w:p>
            <w:pPr>
              <w:jc w:val="right"/>
            </w:pPr>
            <w:r>
              <w:rPr>
                <w:color w:val="000000"/>
                <w:sz w:val="24"/>
                <w:szCs w:val="24"/>
              </w:rPr>
              <w:t>197,816.00</w:t>
            </w:r>
          </w:p>
        </w:tc>
        <w:tc>
          <w:tcPr>
            <w:vAlign w:val="center"/>
          </w:tcPr>
          <w:p>
            <w:pPr>
              <w:jc w:val="right"/>
            </w:pPr>
            <w:r>
              <w:rPr>
                <w:color w:val="000000"/>
                <w:sz w:val="24"/>
                <w:szCs w:val="24"/>
              </w:rPr>
              <w:t>1.00</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P="009C1009" w:rsidR="00CE7169" w:rsidRDefault="009C1009" w:rsidRPr="00CE716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Look w:firstColumn="1" w:firstRow="1" w:lastColumn="0" w:lastRow="0" w:noHBand="0" w:noVBand="1" w:val="04A0"/>
      </w:tblPr>
      <w:tblGrid>
        <w:gridCol w:w="828"/>
        <w:gridCol w:w="3302"/>
        <w:gridCol w:w="2987"/>
        <w:gridCol w:w="1751"/>
      </w:tblGrid>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序号</w:t>
            </w:r>
          </w:p>
        </w:tc>
        <w:tc>
          <w:tcPr>
            <w:tcW w:type="dxa" w:w="3302"/>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债券品种</w:t>
            </w:r>
            <w:r w:rsidR="00F71057" w:rsidRPr="00414345">
              <w:rPr>
                <w:color w:val="000000"/>
                <w:sz w:val="24"/>
                <w:szCs w:val="24"/>
              </w:rPr>
              <w:t/>
            </w:r>
          </w:p>
        </w:tc>
        <w:tc>
          <w:tcPr>
            <w:tcW w:type="dxa" w:w="2987"/>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公允价值</w:t>
            </w:r>
          </w:p>
        </w:tc>
        <w:tc>
          <w:tcPr>
            <w:tcW w:type="dxa" w:w="1751"/>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占基金资产净值比例</w:t>
            </w:r>
            <w:r w:rsidR="003F0956">
              <w:rPr>
                <w:rFonts w:hint="eastAsia"/>
                <w:color w:val="000000"/>
                <w:sz w:val="24"/>
              </w:rPr>
              <w:t>(</w:t>
            </w:r>
            <w:r w:rsidR="003F0956">
              <w:rPr>
                <w:color w:val="000000"/>
                <w:sz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1</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国家债券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8,556,551.00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43.34</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lastRenderedPageBreak/>
              <w:t>2</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央行票据</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3</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金融债券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7,564,249.20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38.31</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其中：政策性金融债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7,564,249.20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38.31</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4</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5</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type="dxa" w:w="828"/>
            <w:vAlign w:val="center"/>
          </w:tcPr>
          <w:p w:rsidP="00C15CAC" w:rsidR="00FB41D3" w:rsidRDefault="00FB41D3" w:rsidRPr="00414345">
            <w:pPr>
              <w:spacing w:before="29" w:line="288" w:lineRule="auto"/>
              <w:ind w:left="17"/>
              <w:jc w:val="center"/>
              <w:rPr>
                <w:color w:val="000000"/>
                <w:sz w:val="24"/>
                <w:szCs w:val="24"/>
              </w:rPr>
            </w:pPr>
            <w:r w:rsidRPr="00414345">
              <w:rPr>
                <w:color w:val="000000"/>
                <w:sz w:val="24"/>
                <w:szCs w:val="24"/>
              </w:rPr>
              <w:t>6</w:t>
            </w:r>
          </w:p>
        </w:tc>
        <w:tc>
          <w:tcPr>
            <w:tcW w:type="dxa" w:w="3302"/>
            <w:vAlign w:val="center"/>
          </w:tcPr>
          <w:p w:rsidP="00C15CAC" w:rsidR="00FB41D3" w:rsidRDefault="00FB41D3" w:rsidRPr="00414345">
            <w:pPr>
              <w:spacing w:before="29" w:line="288" w:lineRule="auto"/>
              <w:ind w:left="17"/>
              <w:jc w:val="left"/>
              <w:rPr>
                <w:color w:val="000000"/>
                <w:sz w:val="24"/>
                <w:szCs w:val="24"/>
              </w:rPr>
            </w:pPr>
            <w:r w:rsidRPr="00414345">
              <w:rPr>
                <w:color w:val="000000"/>
                <w:sz w:val="24"/>
                <w:szCs w:val="24"/>
              </w:rPr>
              <w:t>中期票据</w:t>
            </w:r>
          </w:p>
        </w:tc>
        <w:tc>
          <w:tcPr>
            <w:tcW w:type="dxa" w:w="2987"/>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FB41D3" w:rsidRPr="00414345">
            <w:pPr>
              <w:spacing w:before="29" w:line="288" w:lineRule="auto"/>
              <w:ind w:left="17"/>
              <w:jc w:val="center"/>
              <w:rPr>
                <w:color w:val="000000"/>
                <w:sz w:val="24"/>
                <w:szCs w:val="24"/>
              </w:rPr>
            </w:pPr>
            <w:r w:rsidRPr="00414345">
              <w:rPr>
                <w:color w:val="000000"/>
                <w:sz w:val="24"/>
                <w:szCs w:val="24"/>
              </w:rPr>
              <w:lastRenderedPageBreak/>
              <w:t>7</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type="dxa" w:w="828"/>
            <w:vAlign w:val="center"/>
          </w:tcPr>
          <w:p w:rsidP="0006711A" w:rsidR="00F323FF" w:rsidRDefault="00F323FF" w:rsidRPr="007A70C2">
            <w:pPr>
              <w:spacing w:before="29" w:line="288" w:lineRule="auto"/>
              <w:ind w:left="17"/>
              <w:jc w:val="center"/>
              <w:rPr>
                <w:color w:val="000000"/>
                <w:sz w:val="24"/>
                <w:szCs w:val="24"/>
              </w:rPr>
            </w:pPr>
            <w:r w:rsidRPr="007A70C2">
              <w:rPr>
                <w:rFonts w:hint="eastAsia"/>
                <w:color w:val="000000"/>
                <w:sz w:val="24"/>
                <w:szCs w:val="24"/>
              </w:rPr>
              <w:t>8</w:t>
            </w:r>
          </w:p>
        </w:tc>
        <w:tc>
          <w:tcPr>
            <w:tcW w:type="dxa" w:w="3302"/>
            <w:vAlign w:val="center"/>
          </w:tcPr>
          <w:p w:rsidP="0006711A" w:rsidR="00F323FF" w:rsidRDefault="00F323FF" w:rsidRPr="007A70C2">
            <w:pPr>
              <w:spacing w:before="29" w:line="288" w:lineRule="auto"/>
              <w:ind w:left="17"/>
              <w:jc w:val="left"/>
              <w:rPr>
                <w:color w:val="000000"/>
                <w:sz w:val="24"/>
                <w:szCs w:val="24"/>
              </w:rPr>
            </w:pPr>
            <w:r w:rsidRPr="007A70C2">
              <w:rPr>
                <w:rFonts w:hint="eastAsia"/>
                <w:color w:val="000000"/>
                <w:sz w:val="24"/>
                <w:szCs w:val="24"/>
              </w:rPr>
              <w:t>同业存单</w:t>
            </w:r>
          </w:p>
        </w:tc>
        <w:tc>
          <w:tcPr>
            <w:tcW w:type="dxa" w:w="2987"/>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c>
          <w:tcPr>
            <w:tcW w:type="dxa" w:w="1751"/>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9</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其他</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10</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合计</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16,120,800.20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81.65</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P="009C1009" w:rsidR="005B4C8F" w:rsidRDefault="009C1009" w:rsidRPr="005B4C8F">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
      </w:r>
      <w:r w:rsidRPr="009C1009">
        <w:rPr>
          <w:rFonts w:hint="eastAsia"/>
          <w:bCs/>
          <w:color w:val="000000"/>
          <w:kern w:val="0"/>
          <w:sz w:val="24"/>
          <w:szCs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850"/>
        <w:gridCol w:w="1475"/>
        <w:gridCol w:w="1769"/>
        <w:gridCol w:w="1387"/>
        <w:gridCol w:w="2150"/>
        <w:gridCol w:w="1237"/>
      </w:tblGrid>
      <w:tr w:rsidR="00D57B7C" w:rsidRPr="00414345" w:rsidTr="00A324F4">
        <w:trPr>
          <w:jc w:val="center"/>
        </w:trPr>
        <w:tc>
          <w:tcPr>
            <w:tcW w:type="dxa" w:w="81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41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债券代码</w:t>
            </w:r>
          </w:p>
        </w:tc>
        <w:tc>
          <w:tcPr>
            <w:tcW w:type="dxa" w:w="170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债券名称</w:t>
            </w:r>
          </w:p>
        </w:tc>
        <w:tc>
          <w:tcPr>
            <w:tcW w:type="dxa" w:w="1334"/>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type="dxa" w:w="206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公允价值</w:t>
            </w:r>
          </w:p>
        </w:tc>
        <w:tc>
          <w:tcPr>
            <w:tcW w:type="dxa" w:w="1190"/>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w:t>
            </w:r>
            <w:r w:rsidRPr="00414345">
              <w:rPr>
                <w:color w:val="000000"/>
                <w:sz w:val="24"/>
                <w:szCs w:val="24"/>
              </w:rPr>
              <w:lastRenderedPageBreak/>
              <w:t>例</w:t>
            </w:r>
            <w:r w:rsidR="003B3494"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018006</w:t>
            </w:r>
          </w:p>
        </w:tc>
        <w:tc>
          <w:tcPr>
            <w:vAlign w:val="center"/>
          </w:tcPr>
          <w:p>
            <w:pPr>
              <w:jc w:val="center"/>
            </w:pPr>
            <w:r>
              <w:rPr>
                <w:color w:val="000000"/>
                <w:sz w:val="24"/>
                <w:szCs w:val="24"/>
              </w:rPr>
              <w:t>国开1702</w:t>
            </w:r>
          </w:p>
        </w:tc>
        <w:tc>
          <w:tcPr>
            <w:vAlign w:val="center"/>
          </w:tcPr>
          <w:p>
            <w:pPr>
              <w:jc w:val="right"/>
            </w:pPr>
            <w:r>
              <w:rPr>
                <w:color w:val="000000"/>
                <w:sz w:val="24"/>
                <w:szCs w:val="24"/>
              </w:rPr>
              <w:t>73,740</w:t>
            </w:r>
          </w:p>
        </w:tc>
        <w:tc>
          <w:tcPr>
            <w:vAlign w:val="center"/>
          </w:tcPr>
          <w:p>
            <w:pPr>
              <w:jc w:val="right"/>
            </w:pPr>
            <w:r>
              <w:rPr>
                <w:color w:val="000000"/>
                <w:sz w:val="24"/>
                <w:szCs w:val="24"/>
              </w:rPr>
              <w:t>7,564,249.20</w:t>
            </w:r>
          </w:p>
        </w:tc>
        <w:tc>
          <w:tcPr>
            <w:vAlign w:val="center"/>
          </w:tcPr>
          <w:p>
            <w:pPr>
              <w:jc w:val="right"/>
            </w:pPr>
            <w:r>
              <w:rPr>
                <w:color w:val="000000"/>
                <w:sz w:val="24"/>
                <w:szCs w:val="24"/>
              </w:rPr>
              <w:t>38.31</w:t>
            </w:r>
          </w:p>
        </w:tc>
      </w:tr>
      <w:tr>
        <w:tc>
          <w:tcPr>
            <w:vAlign w:val="center"/>
          </w:tcPr>
          <w:p>
            <w:pPr>
              <w:jc w:val="center"/>
            </w:pPr>
            <w:r>
              <w:rPr>
                <w:color w:val="000000"/>
                <w:sz w:val="24"/>
                <w:szCs w:val="24"/>
              </w:rPr>
              <w:t>2</w:t>
            </w:r>
          </w:p>
        </w:tc>
        <w:tc>
          <w:tcPr>
            <w:vAlign w:val="center"/>
          </w:tcPr>
          <w:p>
            <w:pPr>
              <w:jc w:val="center"/>
            </w:pPr>
            <w:r>
              <w:rPr>
                <w:color w:val="000000"/>
                <w:sz w:val="24"/>
                <w:szCs w:val="24"/>
              </w:rPr>
              <w:t>010107</w:t>
            </w:r>
          </w:p>
        </w:tc>
        <w:tc>
          <w:tcPr>
            <w:vAlign w:val="center"/>
          </w:tcPr>
          <w:p>
            <w:pPr>
              <w:jc w:val="center"/>
            </w:pPr>
            <w:r>
              <w:rPr>
                <w:color w:val="000000"/>
                <w:sz w:val="24"/>
                <w:szCs w:val="24"/>
              </w:rPr>
              <w:t>21国债⑺</w:t>
            </w:r>
          </w:p>
        </w:tc>
        <w:tc>
          <w:tcPr>
            <w:vAlign w:val="center"/>
          </w:tcPr>
          <w:p>
            <w:pPr>
              <w:jc w:val="right"/>
            </w:pPr>
            <w:r>
              <w:rPr>
                <w:color w:val="000000"/>
                <w:sz w:val="24"/>
                <w:szCs w:val="24"/>
              </w:rPr>
              <w:t>72,800</w:t>
            </w:r>
          </w:p>
        </w:tc>
        <w:tc>
          <w:tcPr>
            <w:vAlign w:val="center"/>
          </w:tcPr>
          <w:p>
            <w:pPr>
              <w:jc w:val="right"/>
            </w:pPr>
            <w:r>
              <w:rPr>
                <w:color w:val="000000"/>
                <w:sz w:val="24"/>
                <w:szCs w:val="24"/>
              </w:rPr>
              <w:t>7,470,008.00</w:t>
            </w:r>
          </w:p>
        </w:tc>
        <w:tc>
          <w:tcPr>
            <w:vAlign w:val="center"/>
          </w:tcPr>
          <w:p>
            <w:pPr>
              <w:jc w:val="right"/>
            </w:pPr>
            <w:r>
              <w:rPr>
                <w:color w:val="000000"/>
                <w:sz w:val="24"/>
                <w:szCs w:val="24"/>
              </w:rPr>
              <w:t>37.83</w:t>
            </w:r>
          </w:p>
        </w:tc>
      </w:tr>
      <w:tr>
        <w:tc>
          <w:tcPr>
            <w:vAlign w:val="center"/>
          </w:tcPr>
          <w:p>
            <w:pPr>
              <w:jc w:val="center"/>
            </w:pPr>
            <w:r>
              <w:rPr>
                <w:color w:val="000000"/>
                <w:sz w:val="24"/>
                <w:szCs w:val="24"/>
              </w:rPr>
              <w:t>3</w:t>
            </w:r>
          </w:p>
        </w:tc>
        <w:tc>
          <w:tcPr>
            <w:vAlign w:val="center"/>
          </w:tcPr>
          <w:p>
            <w:pPr>
              <w:jc w:val="center"/>
            </w:pPr>
            <w:r>
              <w:rPr>
                <w:color w:val="000000"/>
                <w:sz w:val="24"/>
                <w:szCs w:val="24"/>
              </w:rPr>
              <w:t>019627</w:t>
            </w:r>
          </w:p>
        </w:tc>
        <w:tc>
          <w:tcPr>
            <w:vAlign w:val="center"/>
          </w:tcPr>
          <w:p>
            <w:pPr>
              <w:jc w:val="center"/>
            </w:pPr>
            <w:r>
              <w:rPr>
                <w:color w:val="000000"/>
                <w:sz w:val="24"/>
                <w:szCs w:val="24"/>
              </w:rPr>
              <w:t>20国债01</w:t>
            </w:r>
          </w:p>
        </w:tc>
        <w:tc>
          <w:tcPr>
            <w:vAlign w:val="center"/>
          </w:tcPr>
          <w:p>
            <w:pPr>
              <w:jc w:val="right"/>
            </w:pPr>
            <w:r>
              <w:rPr>
                <w:color w:val="000000"/>
                <w:sz w:val="24"/>
                <w:szCs w:val="24"/>
              </w:rPr>
              <w:t>10,860</w:t>
            </w:r>
          </w:p>
        </w:tc>
        <w:tc>
          <w:tcPr>
            <w:vAlign w:val="center"/>
          </w:tcPr>
          <w:p>
            <w:pPr>
              <w:jc w:val="right"/>
            </w:pPr>
            <w:r>
              <w:rPr>
                <w:color w:val="000000"/>
                <w:sz w:val="24"/>
                <w:szCs w:val="24"/>
              </w:rPr>
              <w:t>1,086,543.00</w:t>
            </w:r>
          </w:p>
        </w:tc>
        <w:tc>
          <w:tcPr>
            <w:vAlign w:val="center"/>
          </w:tcPr>
          <w:p>
            <w:pPr>
              <w:jc w:val="right"/>
            </w:pPr>
            <w:r>
              <w:rPr>
                <w:color w:val="000000"/>
                <w:sz w:val="24"/>
                <w:szCs w:val="24"/>
              </w:rPr>
              <w:t>5.50</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34FB5">
      <w:pPr>
        <w:autoSpaceDE w:val="0"/>
        <w:autoSpaceDN w:val="0"/>
        <w:adjustRightInd w:val="0"/>
        <w:spacing w:before="29" w:line="288" w:lineRule="auto"/>
        <w:jc w:val="left"/>
        <w:rPr>
          <w:b/>
          <w:bCs/>
          <w:color w:val="000000"/>
          <w:kern w:val="0"/>
          <w:sz w:val="24"/>
          <w:szCs w:val="24"/>
        </w:rPr>
      </w:pPr>
      <w:r w:rsidRPr="00B34FB5">
        <w:rPr>
          <w:b/>
          <w:bCs/>
          <w:color w:val="000000"/>
          <w:kern w:val="0"/>
          <w:sz w:val="24"/>
          <w:szCs w:val="24"/>
        </w:rPr>
        <w:t>5.11.1</w:t>
      </w:r>
      <w:r w:rsidRPr="00AA3969">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P="00E40D31" w:rsidR="00BE5388" w:rsidRDefault="00BE5388" w:rsidRPr="00AA3969">
      <w:pPr>
        <w:autoSpaceDE w:val="0"/>
        <w:autoSpaceDN w:val="0"/>
        <w:adjustRightInd w:val="0"/>
        <w:spacing w:before="29" w:line="288" w:lineRule="auto"/>
        <w:jc w:val="left"/>
        <w:rPr>
          <w:bCs/>
          <w:color w:val="000000"/>
          <w:kern w:val="0"/>
          <w:sz w:val="24"/>
          <w:szCs w:val="24"/>
        </w:rPr>
      </w:pPr>
      <w:r w:rsidRPr="00B34FB5">
        <w:rPr>
          <w:b/>
          <w:bCs/>
          <w:color w:val="000000"/>
          <w:kern w:val="0"/>
          <w:sz w:val="24"/>
          <w:szCs w:val="24"/>
        </w:rPr>
        <w:t>5.11.2</w:t>
      </w:r>
      <w:bookmarkStart w:id="2" w:name="_GoBack"/>
      <w:r w:rsidRPr="00AA3969">
        <w:rPr>
          <w:bCs/>
          <w:color w:val="000000"/>
          <w:kern w:val="0"/>
          <w:sz w:val="24"/>
          <w:szCs w:val="24"/>
        </w:rPr>
        <w:t>本基金投资的前十名股票中，没有超出基金合同规定的备选股票库之外的股票。</w:t>
      </w:r>
    </w:p>
    <w:bookmarkEnd w:id="2"/>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P="00DD7A00" w:rsidR="00DD7A00" w:rsidRDefault="004A0AA9" w:rsidRPr="00414345">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
      </w:r>
      <w:r w:rsidRPr="004A0AA9">
        <w:rPr>
          <w:rFonts w:hint="eastAsia"/>
          <w:bCs/>
          <w:color w:val="000000"/>
          <w:kern w:val="0"/>
          <w:sz w:val="24"/>
          <w:szCs w:val="24"/>
        </w:rPr>
        <w:t>金额单位：人民币元</w:t>
      </w:r>
    </w:p>
    <w:tbl>
      <w:tblPr>
        <w:tblStyle w:val="af7"/>
        <w:tblpPr w:horzAnchor="margin" w:leftFromText="180" w:rightFromText="180" w:tblpXSpec="center" w:tblpY="265" w:vertAnchor="text"/>
        <w:tblW w:type="dxa" w:w="8868"/>
        <w:jc w:val="center"/>
        <w:tblLayout w:type="fixed"/>
        <w:tblCellMar>
          <w:top w:type="dxa" w:w="-1"/>
          <w:bottom w:type="dxa" w:w="-1"/>
        </w:tblCellMar>
        <w:tblLook w:firstColumn="1" w:firstRow="1" w:lastColumn="0" w:lastRow="0" w:noHBand="0" w:noVBand="1"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20,033.40</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lastRenderedPageBreak/>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208,156.59</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20,318.74</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248,508.73</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P="00C15CAC" w:rsidR="004061AC" w:rsidRDefault="003259C8"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lastRenderedPageBreak/>
        <w:t/>
      </w:r>
      <w:r w:rsidR="004061AC" w:rsidRPr="00414345">
        <w:rPr>
          <w:color w:val="000000"/>
          <w:sz w:val="24"/>
          <w:szCs w:val="24"/>
        </w:rPr>
        <w:t/>
      </w:r>
      <w:r w:rsidR="008E326D" w:rsidRPr="00414345">
        <w:rPr>
          <w:color w:val="000000"/>
          <w:sz w:val="24"/>
          <w:szCs w:val="24"/>
        </w:rPr>
        <w:t/>
      </w:r>
      <w:r w:rsidR="004061AC" w:rsidRPr="00414345">
        <w:rPr>
          <w:color w:val="000000"/>
          <w:sz w:val="24"/>
          <w:szCs w:val="24"/>
        </w:rPr>
        <w:t>本基金本报告期末前十名股票中不存在流通受限情况。</w:t>
      </w:r>
    </w:p>
    <w:p w:rsidP="00C15CAC" w:rsidR="004061AC" w:rsidRDefault="00D02347" w:rsidRPr="006B0D08">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
      </w:r>
      <w:r w:rsidR="003259C8"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312" w:afterLines="100" w:before="312" w:beforeLines="100" w:line="360" w:lineRule="auto"/>
        <w:jc w:val="center"/>
        <w:rPr>
          <w:rFonts w:eastAsiaTheme="minorEastAsia"/>
          <w:color w:themeColor="text1" w:val="000000"/>
          <w:kern w:val="0"/>
          <w:sz w:val="24"/>
          <w:szCs w:val="24"/>
        </w:rPr>
      </w:pPr>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6</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firstColumn="0" w:firstRow="0" w:lastColumn="0" w:lastRow="0" w:noHBand="0" w:noVBand="0"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15,112,635.19</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179,888.56</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1,501,747.33</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13,790,776.42</w:t>
            </w:r>
          </w:p>
        </w:tc>
      </w:tr>
    </w:tbl>
    <w:p>
      <w:pPr>
        <w:autoSpaceDE w:val="0"/>
        <w:autoSpaceDN w:val="0"/>
        <w:adjustRightInd w:val="0"/>
        <w:spacing w:before="29" w:line="288" w:lineRule="auto"/>
        <w:jc w:val="left"/>
        <w:rPr>
          <w:color w:val="000000"/>
          <w:sz w:val="24"/>
          <w:szCs w:val="24"/>
        </w:rPr>
      </w:pPr>
      <w:r>
        <w:rPr>
          <w:color w:val="000000"/>
          <w:sz w:val="24"/>
          <w:szCs w:val="24"/>
        </w:rPr>
        <w:t>注：1、如果本报告期间发生转换入、红利再投业务，则总申购份额中包含该业务；</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312" w:afterLines="100" w:before="312"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7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7.1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3C50AD" w:rsidRDefault="003C50AD" w:rsidRPr="00220C32">
      <w:pPr>
        <w:pStyle w:val="1"/>
        <w:spacing w:after="312" w:afterLines="100" w:before="312"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§8</w:t>
      </w:r>
      <w:r w:rsidRPr="00220C32">
        <w:rPr>
          <w:rFonts w:asciiTheme="minorEastAsia" w:eastAsiaTheme="minorEastAsia" w:hAnsiTheme="minorEastAsia"/>
          <w:color w:themeColor="text1" w:val="000000"/>
          <w:kern w:val="0"/>
          <w:sz w:val="24"/>
          <w:szCs w:val="24"/>
        </w:rPr>
        <w:t xml:space="preserve">  </w:t>
      </w:r>
      <w:r w:rsidRPr="00220C32">
        <w:rPr>
          <w:rFonts w:asciiTheme="minorEastAsia" w:eastAsiaTheme="minorEastAsia" w:hAnsiTheme="minorEastAsia" w:hint="eastAsia"/>
          <w:color w:themeColor="text1" w:val="000000"/>
          <w:kern w:val="0"/>
          <w:sz w:val="24"/>
          <w:szCs w:val="24"/>
        </w:rPr>
        <w:t>影响投资者决策的其他重要信息</w:t>
      </w:r>
    </w:p>
    <w:p w:rsidP="003C50AD" w:rsidR="003C50AD" w:rsidRDefault="003C50AD" w:rsidRPr="009A5C99">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3"/>
        <w:gridCol w:w="992"/>
        <w:gridCol w:w="1843"/>
        <w:gridCol w:w="851"/>
        <w:gridCol w:w="850"/>
        <w:gridCol w:w="1134"/>
        <w:gridCol w:w="1419"/>
        <w:gridCol w:w="1130"/>
      </w:tblGrid>
      <w:tr w:rsidR="003C50AD" w:rsidRPr="004F4D27" w:rsidTr="00424D30">
        <w:tc>
          <w:tcPr>
            <w:tcW w:type="dxa" w:w="993"/>
            <w:vMerge w:val="restart"/>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w:r>
            <w:r w:rsidRPr="004F4D27">
              <w:rPr>
                <w:rFonts w:ascii="宋体" w:hAnsi="宋体"/>
                <w:color w:val="000000"/>
                <w:kern w:val="0"/>
              </w:rPr>
              <w:lastRenderedPageBreak/>
              <w:t xml:space="preserve">  </w:t>
            </w:r>
          </w:p>
        </w:tc>
        <w:tc>
          <w:tcPr>
            <w:tcW w:type="dxa" w:w="5670"/>
            <w:gridSpan w:val="5"/>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lastRenderedPageBreak/>
              <w:t>报告期内持有基金份额变化情况</w:t>
            </w:r>
          </w:p>
        </w:tc>
        <w:tc>
          <w:tcPr>
            <w:tcW w:type="dxa" w:w="2549"/>
            <w:gridSpan w:val="2"/>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type="dxa" w:w="993"/>
            <w:vMerge/>
            <w:vAlign w:val="center"/>
          </w:tcPr>
          <w:p w:rsidP="00424D30" w:rsidR="003C50AD" w:rsidRDefault="003C50AD" w:rsidRPr="004F4D27">
            <w:pPr>
              <w:autoSpaceDE w:val="0"/>
              <w:autoSpaceDN w:val="0"/>
              <w:adjustRightInd w:val="0"/>
              <w:jc w:val="center"/>
              <w:rPr>
                <w:rFonts w:ascii="宋体" w:hAnsi="宋体"/>
                <w:b/>
                <w:bCs/>
                <w:color w:val="000000"/>
                <w:kern w:val="0"/>
              </w:rPr>
            </w:pPr>
          </w:p>
        </w:tc>
        <w:tc>
          <w:tcPr>
            <w:tcW w:type="dxa" w:w="992"/>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type="dxa" w:w="1843"/>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type="dxa" w:w="851"/>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期初份额</w:t>
            </w:r>
          </w:p>
        </w:tc>
        <w:tc>
          <w:tcPr>
            <w:tcW w:type="dxa" w:w="850"/>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申购份额</w:t>
            </w:r>
          </w:p>
        </w:tc>
        <w:tc>
          <w:tcPr>
            <w:tcW w:type="dxa" w:w="1134"/>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赎回份额</w:t>
            </w:r>
          </w:p>
        </w:tc>
        <w:tc>
          <w:tcPr>
            <w:tcW w:type="dxa" w:w="1419"/>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type="dxa" w:w="1130"/>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tc>
          <w:tcPr>
            <w:vMerge w:val="restart"/>
          </w:tcPr>
          <w:p/>
          <w:p>
            <w:r>
              <w:rPr>
                <w:rFonts w:ascii="宋体" w:hAnsi="宋体" w:hint="eastAsia"/>
                <w:bCs/>
                <w:color w:val="000000"/>
                <w:kern w:val="0"/>
              </w:rPr>
              <w:t>个人</w:t>
            </w:r>
          </w:p>
        </w:tc>
        <w:tc>
          <w:tcPr>
            <w:vAlign w:val="center"/>
          </w:tcPr>
          <w:p>
            <w:pPr>
              <w:jc w:val="center"/>
            </w:pPr>
            <w:r>
              <w:rPr>
                <w:rFonts w:ascii="宋体" w:hAnsi="宋体"/>
                <w:kern w:val="0"/>
              </w:rPr>
              <w:t>1</w:t>
            </w:r>
          </w:p>
        </w:tc>
        <w:tc>
          <w:tcPr>
            <w:vAlign w:val="center"/>
          </w:tcPr>
          <w:p>
            <w:pPr>
              <w:jc w:val="center"/>
            </w:pPr>
            <w:r>
              <w:rPr>
                <w:rFonts w:ascii="宋体" w:hAnsi="宋体"/>
                <w:kern w:val="0"/>
              </w:rPr>
              <w:t>2020/4/1-2020/6/30</w:t>
            </w:r>
          </w:p>
        </w:tc>
        <w:tc>
          <w:tcPr>
            <w:vAlign w:val="center"/>
          </w:tcPr>
          <w:p>
            <w:pPr>
              <w:jc w:val="center"/>
            </w:pPr>
            <w:r>
              <w:rPr>
                <w:rFonts w:ascii="宋体" w:hAnsi="宋体"/>
                <w:kern w:val="0"/>
              </w:rPr>
              <w:t>5,000,575.00</w:t>
            </w:r>
          </w:p>
        </w:tc>
        <w:tc>
          <w:tcPr>
            <w:vAlign w:val="center"/>
          </w:tcPr>
          <w:p>
            <w:pPr>
              <w:jc w:val="center"/>
            </w:pPr>
            <w:r>
              <w:rPr>
                <w:rFonts w:ascii="宋体" w:hAnsi="宋体"/>
                <w:kern w:val="0"/>
              </w:rPr>
              <w:t>-</w:t>
            </w:r>
          </w:p>
        </w:tc>
        <w:tc>
          <w:tcPr>
            <w:vAlign w:val="center"/>
          </w:tcPr>
          <w:p>
            <w:pPr>
              <w:jc w:val="center"/>
            </w:pPr>
            <w:r>
              <w:rPr>
                <w:rFonts w:ascii="宋体" w:hAnsi="宋体"/>
                <w:kern w:val="0"/>
              </w:rPr>
              <w:t>-</w:t>
            </w:r>
          </w:p>
        </w:tc>
        <w:tc>
          <w:tcPr>
            <w:vAlign w:val="center"/>
          </w:tcPr>
          <w:p>
            <w:pPr>
              <w:jc w:val="center"/>
            </w:pPr>
            <w:r>
              <w:rPr>
                <w:rFonts w:ascii="宋体" w:hAnsi="宋体"/>
                <w:kern w:val="0"/>
              </w:rPr>
              <w:t>5,000,575.00</w:t>
            </w:r>
          </w:p>
        </w:tc>
        <w:tc>
          <w:tcPr>
            <w:vAlign w:val="center"/>
          </w:tcPr>
          <w:p>
            <w:pPr>
              <w:jc w:val="center"/>
            </w:pPr>
            <w:r>
              <w:rPr>
                <w:rFonts w:ascii="宋体" w:hAnsi="宋体"/>
                <w:kern w:val="0"/>
              </w:rPr>
              <w:t>36.26%</w:t>
            </w:r>
          </w:p>
        </w:tc>
      </w:tr>
    </w:tbl>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2"/>
      </w:tblGrid>
      <w:tr w:rsidR="003C50AD" w:rsidRPr="004F4D27" w:rsidTr="00424D30">
        <w:tc>
          <w:tcPr>
            <w:tcW w:type="dxa" w:w="9212"/>
            <w:vAlign w:val="center"/>
          </w:tcPr>
          <w:p w:rsidP="00424D30" w:rsidR="003C50AD" w:rsidRDefault="003C50AD" w:rsidRPr="004F4D27">
            <w:pPr>
              <w:autoSpaceDE w:val="0"/>
              <w:autoSpaceDN w:val="0"/>
              <w:adjustRightInd w:val="0"/>
              <w:jc w:val="center"/>
              <w:rPr>
                <w:rFonts w:ascii="宋体" w:hAnsi="宋体"/>
                <w:kern w:val="0"/>
              </w:rPr>
            </w:pPr>
            <w:r w:rsidRPr="004F4D27">
              <w:rPr>
                <w:rFonts w:ascii="宋体" w:hAnsi="宋体"/>
                <w:color w:val="000000"/>
                <w:kern w:val="0"/>
              </w:rPr>
              <w:t>产品特有风险</w:t>
            </w:r>
            <w:r w:rsidRPr="004F4D27">
              <w:rPr>
                <w:rFonts w:ascii="宋体" w:hAnsi="宋体"/>
                <w:kern w:val="0"/>
              </w:rPr>
              <w:t/>
            </w:r>
            <w:r w:rsidRPr="004F4D27">
              <w:rPr>
                <w:rFonts w:ascii="宋体" w:hAnsi="宋体" w:hint="eastAsia"/>
                <w:kern w:val="0"/>
              </w:rPr>
              <w:t/>
            </w:r>
            <w:r w:rsidRPr="004F4D27">
              <w:rPr>
                <w:rFonts w:ascii="宋体" w:hAnsi="宋体"/>
                <w:kern w:val="0"/>
              </w:rPr>
              <w:t/>
            </w:r>
          </w:p>
        </w:tc>
      </w:tr>
      <w:tr w:rsidR="003C50AD" w:rsidRPr="004F4D27" w:rsidTr="00424D30">
        <w:tc>
          <w:tcPr>
            <w:tcW w:type="dxa" w:w="9212"/>
            <w:vAlign w:val="center"/>
          </w:tcPr>
          <w:p w:rsidP="00424D30" w:rsidR="003C50AD" w:rsidRDefault="003C50AD" w:rsidRPr="004F4D27">
            <w:pPr>
              <w:autoSpaceDE w:val="0"/>
              <w:autoSpaceDN w:val="0"/>
              <w:adjustRightInd w:val="0"/>
              <w:jc w:val="left"/>
              <w:rPr>
                <w:rFonts w:ascii="宋体" w:hAnsi="宋体"/>
                <w:kern w:val="0"/>
              </w:rPr>
            </w:pPr>
            <w:r w:rsidRPr="004F4D27">
              <w:rPr>
                <w:rFonts w:ascii="宋体" w:hAnsi="宋体" w:hint="eastAsia"/>
                <w:kern w:val="0"/>
              </w:rPr>
              <w:t/>
            </w:r>
            <w:r w:rsidRPr="004F4D27">
              <w:rPr>
                <w:rFonts w:ascii="宋体" w:hAnsi="宋体"/>
                <w:kern w:val="0"/>
              </w:rPr>
              <w:t/>
            </w: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r w:rsidRPr="004F4D27">
              <w:rPr>
                <w:rFonts w:ascii="宋体" w:hAnsi="宋体"/>
                <w:kern w:val="0"/>
              </w:rPr>
              <w:t/>
            </w:r>
          </w:p>
        </w:tc>
      </w:tr>
    </w:tbl>
    <w:p w:rsidP="0011537B" w:rsidR="00B22DEE" w:rsidRDefault="004061AC" w:rsidRPr="00E02660">
      <w:pPr>
        <w:pStyle w:val="1"/>
        <w:spacing w:after="312" w:afterLines="100" w:before="312"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1、中国证监会批准交银施罗德荣泰保本混合型证券投资基金募集的文件； </w:t>
      </w:r>
    </w:p>
    <w:p>
      <w:pPr>
        <w:spacing w:before="29" w:line="288" w:lineRule="auto"/>
        <w:ind w:firstLine="480" w:firstLineChars="200"/>
        <w:rPr>
          <w:color w:val="000000"/>
          <w:sz w:val="24"/>
          <w:szCs w:val="24"/>
        </w:rPr>
      </w:pPr>
      <w:r>
        <w:rPr>
          <w:color w:val="000000"/>
          <w:sz w:val="24"/>
          <w:szCs w:val="24"/>
        </w:rPr>
        <w:t>2、《交银施罗德增强收益债券型证券投资基金基金合同》；</w:t>
      </w:r>
    </w:p>
    <w:p>
      <w:pPr>
        <w:spacing w:before="29" w:line="288" w:lineRule="auto"/>
        <w:ind w:firstLine="480" w:firstLineChars="200"/>
        <w:rPr>
          <w:color w:val="000000"/>
          <w:sz w:val="24"/>
          <w:szCs w:val="24"/>
        </w:rPr>
      </w:pPr>
      <w:r>
        <w:rPr>
          <w:color w:val="000000"/>
          <w:sz w:val="24"/>
          <w:szCs w:val="24"/>
        </w:rPr>
        <w:t>3、《交银施罗德增强收益债券型证券投资基金招募说明书》；</w:t>
      </w:r>
    </w:p>
    <w:p>
      <w:pPr>
        <w:spacing w:before="29" w:line="288" w:lineRule="auto"/>
        <w:ind w:firstLine="480" w:firstLineChars="200"/>
        <w:rPr>
          <w:color w:val="000000"/>
          <w:sz w:val="24"/>
          <w:szCs w:val="24"/>
        </w:rPr>
      </w:pPr>
      <w:r>
        <w:rPr>
          <w:color w:val="000000"/>
          <w:sz w:val="24"/>
          <w:szCs w:val="24"/>
        </w:rPr>
        <w:t>4、《交银施罗德增强收益债券型证券投资基金托管协议》；</w:t>
      </w:r>
    </w:p>
    <w:p>
      <w:pPr>
        <w:spacing w:before="29" w:line="288" w:lineRule="auto"/>
        <w:ind w:firstLine="480" w:firstLineChars="200"/>
        <w:rPr>
          <w:color w:val="000000"/>
          <w:sz w:val="24"/>
          <w:szCs w:val="24"/>
        </w:rPr>
      </w:pPr>
      <w:r>
        <w:rPr>
          <w:color w:val="000000"/>
          <w:sz w:val="24"/>
          <w:szCs w:val="24"/>
        </w:rPr>
        <w:t>5、《交银施罗德荣泰保本混合型证券投资基金基金合同》；</w:t>
      </w:r>
    </w:p>
    <w:p>
      <w:pPr>
        <w:spacing w:before="29" w:line="288" w:lineRule="auto"/>
        <w:ind w:firstLine="480" w:firstLineChars="200"/>
        <w:rPr>
          <w:color w:val="000000"/>
          <w:sz w:val="24"/>
          <w:szCs w:val="24"/>
        </w:rPr>
      </w:pPr>
      <w:r>
        <w:rPr>
          <w:color w:val="000000"/>
          <w:sz w:val="24"/>
          <w:szCs w:val="24"/>
        </w:rPr>
        <w:t>6、《交银施罗德荣泰保本混合型证券投资基金招募说明书》；</w:t>
      </w:r>
    </w:p>
    <w:p>
      <w:pPr>
        <w:spacing w:before="29" w:line="288" w:lineRule="auto"/>
        <w:ind w:firstLine="480" w:firstLineChars="200"/>
        <w:rPr>
          <w:color w:val="000000"/>
          <w:sz w:val="24"/>
          <w:szCs w:val="24"/>
        </w:rPr>
      </w:pPr>
      <w:r>
        <w:rPr>
          <w:color w:val="000000"/>
          <w:sz w:val="24"/>
          <w:szCs w:val="24"/>
        </w:rPr>
        <w:t>7、《交银施罗德荣泰保本混合型证券投资基金托管协议》；</w:t>
      </w:r>
    </w:p>
    <w:p>
      <w:pPr>
        <w:spacing w:before="29" w:line="288" w:lineRule="auto"/>
        <w:ind w:firstLine="480" w:firstLineChars="200"/>
        <w:rPr>
          <w:color w:val="000000"/>
          <w:sz w:val="24"/>
          <w:szCs w:val="24"/>
        </w:rPr>
      </w:pPr>
      <w:r>
        <w:rPr>
          <w:color w:val="000000"/>
          <w:sz w:val="24"/>
          <w:szCs w:val="24"/>
        </w:rPr>
        <w:t xml:space="preserve">8、《交银施罗德荣泰保本混合型证券投资基金保证合同》； </w:t>
      </w:r>
    </w:p>
    <w:p>
      <w:pPr>
        <w:spacing w:before="29" w:line="288" w:lineRule="auto"/>
        <w:ind w:firstLine="480" w:firstLineChars="200"/>
        <w:rPr>
          <w:color w:val="000000"/>
          <w:sz w:val="24"/>
          <w:szCs w:val="24"/>
        </w:rPr>
      </w:pPr>
      <w:r>
        <w:rPr>
          <w:color w:val="000000"/>
          <w:sz w:val="24"/>
          <w:szCs w:val="24"/>
        </w:rPr>
        <w:t>9、基金管理人业务资格批件、营业执照；</w:t>
      </w:r>
    </w:p>
    <w:p>
      <w:pPr>
        <w:spacing w:before="29" w:line="288" w:lineRule="auto"/>
        <w:ind w:firstLine="480" w:firstLineChars="200"/>
        <w:rPr>
          <w:color w:val="000000"/>
          <w:sz w:val="24"/>
          <w:szCs w:val="24"/>
        </w:rPr>
      </w:pPr>
      <w:r>
        <w:rPr>
          <w:color w:val="000000"/>
          <w:sz w:val="24"/>
          <w:szCs w:val="24"/>
        </w:rPr>
        <w:t>10、基金托管人业务资格批件、营业执照；</w:t>
      </w:r>
    </w:p>
    <w:p>
      <w:pPr>
        <w:spacing w:before="29" w:line="288" w:lineRule="auto"/>
        <w:ind w:firstLine="480" w:firstLineChars="200"/>
        <w:rPr>
          <w:color w:val="000000"/>
          <w:sz w:val="24"/>
          <w:szCs w:val="24"/>
        </w:rPr>
      </w:pPr>
      <w:r>
        <w:rPr>
          <w:color w:val="000000"/>
          <w:sz w:val="24"/>
          <w:szCs w:val="24"/>
        </w:rPr>
        <w:t>11、关于申请募集交银施罗德荣泰保本混合型证券投资基金之法律意见书；</w:t>
      </w:r>
    </w:p>
    <w:p>
      <w:pPr>
        <w:spacing w:before="29" w:line="288" w:lineRule="auto"/>
        <w:ind w:firstLine="480" w:firstLineChars="200"/>
        <w:rPr>
          <w:color w:val="000000"/>
          <w:sz w:val="24"/>
          <w:szCs w:val="24"/>
        </w:rPr>
      </w:pPr>
      <w:r>
        <w:rPr>
          <w:color w:val="000000"/>
          <w:sz w:val="24"/>
          <w:szCs w:val="24"/>
        </w:rPr>
        <w:t>12、关于交银施罗德荣泰保本混合型证券投资基金保本周期到期转型及基金合同修改的法律意见；</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13、报告期内交银施罗德增强收益债券型证券投资基金、交银施罗德荣泰保本混合型证券投资基金在指定报刊上各项公告的原稿。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A1" w:rsidRDefault="00C11AA1" w:rsidP="00876D65">
      <w:r>
        <w:separator/>
      </w:r>
    </w:p>
  </w:endnote>
  <w:endnote w:type="continuationSeparator" w:id="0">
    <w:p w:rsidR="00C11AA1" w:rsidRDefault="00C11AA1"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黑体"/>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AA3969">
      <w:rPr>
        <w:noProof/>
        <w:kern w:val="0"/>
        <w:szCs w:val="21"/>
      </w:rPr>
      <w:t>17</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AA3969">
      <w:rPr>
        <w:noProof/>
        <w:kern w:val="0"/>
        <w:szCs w:val="21"/>
      </w:rPr>
      <w:t>24</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P="00876D65" w:rsidR="00C11AA1" w:rsidRDefault="00C11AA1">
      <w:r>
        <w:separator/>
      </w:r>
    </w:p>
  </w:footnote>
  <w:footnote w:id="0" w:type="continuationSeparator">
    <w:p w:rsidP="00876D65" w:rsidR="00C11AA1" w:rsidRDefault="00C11AA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090A26" w:rsidR="00171EF0" w:rsidRDefault="00DC456F" w:rsidRPr="00DC456F">
    <w:pPr>
      <w:pStyle w:val="a9"/>
      <w:pBdr>
        <w:bottom w:color="auto" w:space="0" w:sz="6" w:val="single"/>
      </w:pBdr>
      <w:jc w:val="right"/>
      <w:rPr>
        <w:sz w:val="24"/>
        <w:szCs w:val="24"/>
      </w:rPr>
    </w:pPr>
    <w:r w:rsidRPr="003E676C">
      <w:rPr>
        <w:sz w:val="24"/>
        <w:szCs w:val="24"/>
      </w:rPr>
      <w:t>交银施罗德增强收益债券型证券投资基金2020年第2季度报告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D9393A" w:rsidRDefault="00D9393A">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56"/>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6731"/>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969"/>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4FB5"/>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1AA1"/>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04FC3"/>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2049" v:ext="edit"/>
    <o:shapelayout v:ext="edit">
      <o:idmap data="1" v:ext="edit"/>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EastAsia" w:hAnsiTheme="minorHAnsi"/>
        <w:kern w:val="2"/>
        <w:sz w:val="21"/>
        <w:szCs w:val="22"/>
        <w:lang w:bidi="ar-SA" w:eastAsia="zh-CN" w:val="en-US"/>
      </w:rPr>
    </w:rPrDefault>
    <w:pPrDefault/>
  </w:docDefaults>
  <w:latentStyles w:count="371" w:defLockedState="0" w:defQFormat="0" w:defSemiHidden="0" w:defUIPriority="99" w:defUnhideWhenUsed="0">
    <w:lsdException w:name="Normal" w:qFormat="1" w:uiPriority="0"/>
    <w:lsdException w:name="heading 1" w:qFormat="1"/>
    <w:lsdException w:name="heading 2" w:qFormat="1" w:semiHidden="1" w:unhideWhenUsed="1"/>
    <w:lsdException w:name="heading 3" w:qFormat="1" w:semiHidden="1"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24F61-935D-4852-8DB9-16A24A12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24</Pages>
  <Words>3807</Words>
  <Characters>21700</Characters>
  <Application>Microsoft Office Word</Application>
  <DocSecurity>0</DocSecurity>
  <Lines>180</Lines>
  <Paragraphs>50</Paragraphs>
  <ScaleCrop>false</ScaleCrop>
  <Company/>
  <LinksUpToDate>false</LinksUpToDate>
  <CharactersWithSpaces>25457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业务系统</cp:lastModifiedBy>
  <dcterms:modified xsi:type="dcterms:W3CDTF">2020-01-17T03:03:00Z</dcterms:modified>
  <cp:revision>600</cp:revision>
</cp:coreProperties>
</file>