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交银施罗德裕盈纯债债券型证券投资基金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2020年第2季度报告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2020年6月30日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兴业银行股份有限公司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二〇二〇年七月二十一日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基金托管人兴业银行股份有限公司根据本基金合同规定，于2020年7月20日复核了本报告中的财务指标、净值表现和投资组合报告等内容，保证复核内容不存在虚假记载、误导性陈述或者重大遗漏。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本报告期自2020年4月1日起至6月30日止。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交银裕盈纯债债券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519776</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2016年11月4日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523,284,398.98</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本基金在严格控制风险和保持资产流动性的基础上，通过积极主动的投资管理，追求基金资产的长期稳健增值，力争实现超越业绩比较基准的投资回报。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基础上，综合考虑不同债券品种的收益率水平、供求关系、信用风险的大小和流动性的好坏等影响因素，深入挖掘价值被低估的标的券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兴业银行股份有限公司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交银裕盈纯债债券A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交银裕盈纯债债券C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519776</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519777</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522,470,620.75</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813,778.23</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(2020年4月1日-2020年6月30日)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交银裕盈纯债债券A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交银裕盈纯债债券C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6,483,821.90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17,942.22</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-2,788,384.17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-33,572.91</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-0.0052</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-0.0232</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576,309,282.51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939,683.22</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1.1030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1.1547</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注：1、上述基金业绩指标不包括持有人认购或交易基金的各项费用，计入费用后的实际收益水平要低于所列数字；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交银裕盈纯债债券A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-0.48%</w:t>
            </w:r>
          </w:p>
        </w:tc>
        <w:tc>
          <w:tcPr>
            <w:vAlign w:val="center"/>
          </w:tcPr>
          <w:p>
            <w:pPr>
              <w:jc w:val="center"/>
            </w:pPr>
            <w:r>
              <w:rPr>
                <w:color w:val="000000"/>
                <w:sz w:val="24"/>
              </w:rPr>
              <w:t>0.16%</w:t>
            </w:r>
          </w:p>
        </w:tc>
        <w:tc>
          <w:tcPr>
            <w:vAlign w:val="center"/>
          </w:tcPr>
          <w:p>
            <w:pPr>
              <w:jc w:val="center"/>
            </w:pPr>
            <w:r>
              <w:rPr>
                <w:color w:val="000000"/>
                <w:sz w:val="24"/>
              </w:rPr>
              <w:t>-1.04%</w:t>
            </w:r>
          </w:p>
        </w:tc>
        <w:tc>
          <w:tcPr>
            <w:vAlign w:val="center"/>
          </w:tcPr>
          <w:p>
            <w:pPr>
              <w:jc w:val="center"/>
            </w:pPr>
            <w:r>
              <w:rPr>
                <w:color w:val="000000"/>
                <w:sz w:val="24"/>
              </w:rPr>
              <w:t>0.12%</w:t>
            </w:r>
          </w:p>
        </w:tc>
        <w:tc>
          <w:tcPr>
            <w:vAlign w:val="center"/>
          </w:tcPr>
          <w:p>
            <w:pPr>
              <w:jc w:val="center"/>
            </w:pPr>
            <w:r>
              <w:rPr>
                <w:color w:val="000000"/>
                <w:sz w:val="24"/>
              </w:rPr>
              <w:t>0.56%</w:t>
            </w:r>
          </w:p>
        </w:tc>
        <w:tc>
          <w:tcPr>
            <w:vAlign w:val="center"/>
          </w:tcPr>
          <w:p>
            <w:pPr>
              <w:jc w:val="center"/>
            </w:pPr>
            <w:r>
              <w:rPr>
                <w:color w:val="000000"/>
                <w:sz w:val="24"/>
              </w:rPr>
              <w:t>0.04%</w:t>
            </w:r>
          </w:p>
        </w:tc>
      </w:tr>
      <w:tr>
        <w:tc>
          <w:tcPr>
            <w:vAlign w:val="center"/>
          </w:tcPr>
          <w:p>
            <w:pPr>
              <w:jc w:val="left"/>
            </w:pPr>
            <w:r>
              <w:rPr>
                <w:color w:val="000000"/>
                <w:sz w:val="24"/>
              </w:rPr>
              <w:t>过去六个月</w:t>
            </w:r>
          </w:p>
        </w:tc>
        <w:tc>
          <w:tcPr>
            <w:vAlign w:val="center"/>
          </w:tcPr>
          <w:p>
            <w:pPr>
              <w:jc w:val="center"/>
            </w:pPr>
            <w:r>
              <w:rPr>
                <w:color w:val="000000"/>
                <w:sz w:val="24"/>
              </w:rPr>
              <w:t>1.78%</w:t>
            </w:r>
          </w:p>
        </w:tc>
        <w:tc>
          <w:tcPr>
            <w:vAlign w:val="center"/>
          </w:tcPr>
          <w:p>
            <w:pPr>
              <w:jc w:val="center"/>
            </w:pPr>
            <w:r>
              <w:rPr>
                <w:color w:val="000000"/>
                <w:sz w:val="24"/>
              </w:rPr>
              <w:t>0.13%</w:t>
            </w:r>
          </w:p>
        </w:tc>
        <w:tc>
          <w:tcPr>
            <w:vAlign w:val="center"/>
          </w:tcPr>
          <w:p>
            <w:pPr>
              <w:jc w:val="center"/>
            </w:pPr>
            <w:r>
              <w:rPr>
                <w:color w:val="000000"/>
                <w:sz w:val="24"/>
              </w:rPr>
              <w:t>0.79%</w:t>
            </w:r>
          </w:p>
        </w:tc>
        <w:tc>
          <w:tcPr>
            <w:vAlign w:val="center"/>
          </w:tcPr>
          <w:p>
            <w:pPr>
              <w:jc w:val="center"/>
            </w:pPr>
            <w:r>
              <w:rPr>
                <w:color w:val="000000"/>
                <w:sz w:val="24"/>
              </w:rPr>
              <w:t>0.11%</w:t>
            </w:r>
          </w:p>
        </w:tc>
        <w:tc>
          <w:tcPr>
            <w:vAlign w:val="center"/>
          </w:tcPr>
          <w:p>
            <w:pPr>
              <w:jc w:val="center"/>
            </w:pPr>
            <w:r>
              <w:rPr>
                <w:color w:val="000000"/>
                <w:sz w:val="24"/>
              </w:rPr>
              <w:t>0.99%</w:t>
            </w:r>
          </w:p>
        </w:tc>
        <w:tc>
          <w:tcPr>
            <w:vAlign w:val="center"/>
          </w:tcPr>
          <w:p>
            <w:pPr>
              <w:jc w:val="center"/>
            </w:pPr>
            <w:r>
              <w:rPr>
                <w:color w:val="000000"/>
                <w:sz w:val="24"/>
              </w:rPr>
              <w:t>0.02%</w:t>
            </w:r>
          </w:p>
        </w:tc>
      </w:tr>
      <w:tr>
        <w:tc>
          <w:tcPr>
            <w:vAlign w:val="center"/>
          </w:tcPr>
          <w:p>
            <w:pPr>
              <w:jc w:val="left"/>
            </w:pPr>
            <w:r>
              <w:rPr>
                <w:color w:val="000000"/>
                <w:sz w:val="24"/>
              </w:rPr>
              <w:t>过去一年</w:t>
            </w:r>
          </w:p>
        </w:tc>
        <w:tc>
          <w:tcPr>
            <w:vAlign w:val="center"/>
          </w:tcPr>
          <w:p>
            <w:pPr>
              <w:jc w:val="center"/>
            </w:pPr>
            <w:r>
              <w:rPr>
                <w:color w:val="000000"/>
                <w:sz w:val="24"/>
              </w:rPr>
              <w:t>3.47%</w:t>
            </w:r>
          </w:p>
        </w:tc>
        <w:tc>
          <w:tcPr>
            <w:vAlign w:val="center"/>
          </w:tcPr>
          <w:p>
            <w:pPr>
              <w:jc w:val="center"/>
            </w:pPr>
            <w:r>
              <w:rPr>
                <w:color w:val="000000"/>
                <w:sz w:val="24"/>
              </w:rPr>
              <w:t>0.09%</w:t>
            </w:r>
          </w:p>
        </w:tc>
        <w:tc>
          <w:tcPr>
            <w:vAlign w:val="center"/>
          </w:tcPr>
          <w:p>
            <w:pPr>
              <w:jc w:val="center"/>
            </w:pPr>
            <w:r>
              <w:rPr>
                <w:color w:val="000000"/>
                <w:sz w:val="24"/>
              </w:rPr>
              <w:t>1.87%</w:t>
            </w:r>
          </w:p>
        </w:tc>
        <w:tc>
          <w:tcPr>
            <w:vAlign w:val="center"/>
          </w:tcPr>
          <w:p>
            <w:pPr>
              <w:jc w:val="center"/>
            </w:pPr>
            <w:r>
              <w:rPr>
                <w:color w:val="000000"/>
                <w:sz w:val="24"/>
              </w:rPr>
              <w:t>0.08%</w:t>
            </w:r>
          </w:p>
        </w:tc>
        <w:tc>
          <w:tcPr>
            <w:vAlign w:val="center"/>
          </w:tcPr>
          <w:p>
            <w:pPr>
              <w:jc w:val="center"/>
            </w:pPr>
            <w:r>
              <w:rPr>
                <w:color w:val="000000"/>
                <w:sz w:val="24"/>
              </w:rPr>
              <w:t>1.60%</w:t>
            </w:r>
          </w:p>
        </w:tc>
        <w:tc>
          <w:tcPr>
            <w:vAlign w:val="center"/>
          </w:tcPr>
          <w:p>
            <w:pPr>
              <w:jc w:val="center"/>
            </w:pPr>
            <w:r>
              <w:rPr>
                <w:color w:val="000000"/>
                <w:sz w:val="24"/>
              </w:rPr>
              <w:t>0.01%</w:t>
            </w:r>
          </w:p>
        </w:tc>
      </w:tr>
      <w:tr>
        <w:tc>
          <w:tcPr>
            <w:vAlign w:val="center"/>
          </w:tcPr>
          <w:p>
            <w:pPr>
              <w:jc w:val="left"/>
            </w:pPr>
            <w:r>
              <w:rPr>
                <w:color w:val="000000"/>
                <w:sz w:val="24"/>
              </w:rPr>
              <w:t>过去三年</w:t>
            </w:r>
          </w:p>
        </w:tc>
        <w:tc>
          <w:tcPr>
            <w:vAlign w:val="center"/>
          </w:tcPr>
          <w:p>
            <w:pPr>
              <w:jc w:val="center"/>
            </w:pPr>
            <w:r>
              <w:rPr>
                <w:color w:val="000000"/>
                <w:sz w:val="24"/>
              </w:rPr>
              <w:t>13.87%</w:t>
            </w:r>
          </w:p>
        </w:tc>
        <w:tc>
          <w:tcPr>
            <w:vAlign w:val="center"/>
          </w:tcPr>
          <w:p>
            <w:pPr>
              <w:jc w:val="center"/>
            </w:pPr>
            <w:r>
              <w:rPr>
                <w:color w:val="000000"/>
                <w:sz w:val="24"/>
              </w:rPr>
              <w:t>0.07%</w:t>
            </w:r>
          </w:p>
        </w:tc>
        <w:tc>
          <w:tcPr>
            <w:vAlign w:val="center"/>
          </w:tcPr>
          <w:p>
            <w:pPr>
              <w:jc w:val="center"/>
            </w:pPr>
            <w:r>
              <w:rPr>
                <w:color w:val="000000"/>
                <w:sz w:val="24"/>
              </w:rPr>
              <w:t>5.61%</w:t>
            </w:r>
          </w:p>
        </w:tc>
        <w:tc>
          <w:tcPr>
            <w:vAlign w:val="center"/>
          </w:tcPr>
          <w:p>
            <w:pPr>
              <w:jc w:val="center"/>
            </w:pPr>
            <w:r>
              <w:rPr>
                <w:color w:val="000000"/>
                <w:sz w:val="24"/>
              </w:rPr>
              <w:t>0.07%</w:t>
            </w:r>
          </w:p>
        </w:tc>
        <w:tc>
          <w:tcPr>
            <w:vAlign w:val="center"/>
          </w:tcPr>
          <w:p>
            <w:pPr>
              <w:jc w:val="center"/>
            </w:pPr>
            <w:r>
              <w:rPr>
                <w:color w:val="000000"/>
                <w:sz w:val="24"/>
              </w:rPr>
              <w:t>8.26%</w:t>
            </w:r>
          </w:p>
        </w:tc>
        <w:tc>
          <w:tcPr>
            <w:vAlign w:val="center"/>
          </w:tcPr>
          <w:p>
            <w:pPr>
              <w:jc w:val="center"/>
            </w:pPr>
            <w:r>
              <w:rPr>
                <w:color w:val="000000"/>
                <w:sz w:val="24"/>
              </w:rPr>
              <w:t>0.00%</w:t>
            </w:r>
          </w:p>
        </w:tc>
      </w:tr>
      <w:tr>
        <w:tc>
          <w:tcPr>
            <w:vAlign w:val="center"/>
          </w:tcPr>
          <w:p>
            <w:pPr>
              <w:jc w:val="left"/>
            </w:pPr>
            <w:r>
              <w:rPr>
                <w:color w:val="000000"/>
                <w:sz w:val="24"/>
              </w:rPr>
              <w:t>自基金合同生效起至今</w:t>
            </w:r>
          </w:p>
        </w:tc>
        <w:tc>
          <w:tcPr>
            <w:vAlign w:val="center"/>
          </w:tcPr>
          <w:p>
            <w:pPr>
              <w:jc w:val="center"/>
            </w:pPr>
            <w:r>
              <w:rPr>
                <w:color w:val="000000"/>
                <w:sz w:val="24"/>
              </w:rPr>
              <w:t>15.58%</w:t>
            </w:r>
          </w:p>
        </w:tc>
        <w:tc>
          <w:tcPr>
            <w:vAlign w:val="center"/>
          </w:tcPr>
          <w:p>
            <w:pPr>
              <w:jc w:val="center"/>
            </w:pPr>
            <w:r>
              <w:rPr>
                <w:color w:val="000000"/>
                <w:sz w:val="24"/>
              </w:rPr>
              <w:t>0.07%</w:t>
            </w:r>
          </w:p>
        </w:tc>
        <w:tc>
          <w:tcPr>
            <w:vAlign w:val="center"/>
          </w:tcPr>
          <w:p>
            <w:pPr>
              <w:jc w:val="center"/>
            </w:pPr>
            <w:r>
              <w:rPr>
                <w:color w:val="000000"/>
                <w:sz w:val="24"/>
              </w:rPr>
              <w:t>0.85%</w:t>
            </w:r>
          </w:p>
        </w:tc>
        <w:tc>
          <w:tcPr>
            <w:vAlign w:val="center"/>
          </w:tcPr>
          <w:p>
            <w:pPr>
              <w:jc w:val="center"/>
            </w:pPr>
            <w:r>
              <w:rPr>
                <w:color w:val="000000"/>
                <w:sz w:val="24"/>
              </w:rPr>
              <w:t>0.08%</w:t>
            </w:r>
          </w:p>
        </w:tc>
        <w:tc>
          <w:tcPr>
            <w:vAlign w:val="center"/>
          </w:tcPr>
          <w:p>
            <w:pPr>
              <w:jc w:val="center"/>
            </w:pPr>
            <w:r>
              <w:rPr>
                <w:color w:val="000000"/>
                <w:sz w:val="24"/>
              </w:rPr>
              <w:t>14.73%</w:t>
            </w:r>
          </w:p>
        </w:tc>
        <w:tc>
          <w:tcPr>
            <w:vAlign w:val="center"/>
          </w:tcPr>
          <w:p>
            <w:pPr>
              <w:jc w:val="center"/>
            </w:pPr>
            <w:r>
              <w:rPr>
                <w:color w:val="000000"/>
                <w:sz w:val="24"/>
              </w:rPr>
              <w:t>-0.01%</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交银裕盈纯债债券C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-0.59%</w:t>
            </w:r>
          </w:p>
        </w:tc>
        <w:tc>
          <w:tcPr>
            <w:vAlign w:val="center"/>
          </w:tcPr>
          <w:p>
            <w:pPr>
              <w:jc w:val="center"/>
            </w:pPr>
            <w:r>
              <w:rPr>
                <w:color w:val="000000"/>
                <w:sz w:val="24"/>
              </w:rPr>
              <w:t>0.16%</w:t>
            </w:r>
          </w:p>
        </w:tc>
        <w:tc>
          <w:tcPr>
            <w:vAlign w:val="center"/>
          </w:tcPr>
          <w:p>
            <w:pPr>
              <w:jc w:val="center"/>
            </w:pPr>
            <w:r>
              <w:rPr>
                <w:color w:val="000000"/>
                <w:sz w:val="24"/>
              </w:rPr>
              <w:t>-1.04%</w:t>
            </w:r>
          </w:p>
        </w:tc>
        <w:tc>
          <w:tcPr>
            <w:vAlign w:val="center"/>
          </w:tcPr>
          <w:p>
            <w:pPr>
              <w:jc w:val="center"/>
            </w:pPr>
            <w:r>
              <w:rPr>
                <w:color w:val="000000"/>
                <w:sz w:val="24"/>
              </w:rPr>
              <w:t>0.12%</w:t>
            </w:r>
          </w:p>
        </w:tc>
        <w:tc>
          <w:tcPr>
            <w:vAlign w:val="center"/>
          </w:tcPr>
          <w:p>
            <w:pPr>
              <w:jc w:val="center"/>
            </w:pPr>
            <w:r>
              <w:rPr>
                <w:color w:val="000000"/>
                <w:sz w:val="24"/>
              </w:rPr>
              <w:t>0.45%</w:t>
            </w:r>
          </w:p>
        </w:tc>
        <w:tc>
          <w:tcPr>
            <w:vAlign w:val="center"/>
          </w:tcPr>
          <w:p>
            <w:pPr>
              <w:jc w:val="center"/>
            </w:pPr>
            <w:r>
              <w:rPr>
                <w:color w:val="000000"/>
                <w:sz w:val="24"/>
              </w:rPr>
              <w:t>0.04%</w:t>
            </w:r>
          </w:p>
        </w:tc>
      </w:tr>
      <w:tr>
        <w:tc>
          <w:tcPr>
            <w:vAlign w:val="center"/>
          </w:tcPr>
          <w:p>
            <w:pPr>
              <w:jc w:val="left"/>
            </w:pPr>
            <w:r>
              <w:rPr>
                <w:color w:val="000000"/>
                <w:sz w:val="24"/>
              </w:rPr>
              <w:t>过去六个月</w:t>
            </w:r>
          </w:p>
        </w:tc>
        <w:tc>
          <w:tcPr>
            <w:vAlign w:val="center"/>
          </w:tcPr>
          <w:p>
            <w:pPr>
              <w:jc w:val="center"/>
            </w:pPr>
            <w:r>
              <w:rPr>
                <w:color w:val="000000"/>
                <w:sz w:val="24"/>
              </w:rPr>
              <w:t>1.57%</w:t>
            </w:r>
          </w:p>
        </w:tc>
        <w:tc>
          <w:tcPr>
            <w:vAlign w:val="center"/>
          </w:tcPr>
          <w:p>
            <w:pPr>
              <w:jc w:val="center"/>
            </w:pPr>
            <w:r>
              <w:rPr>
                <w:color w:val="000000"/>
                <w:sz w:val="24"/>
              </w:rPr>
              <w:t>0.13%</w:t>
            </w:r>
          </w:p>
        </w:tc>
        <w:tc>
          <w:tcPr>
            <w:vAlign w:val="center"/>
          </w:tcPr>
          <w:p>
            <w:pPr>
              <w:jc w:val="center"/>
            </w:pPr>
            <w:r>
              <w:rPr>
                <w:color w:val="000000"/>
                <w:sz w:val="24"/>
              </w:rPr>
              <w:t>0.79%</w:t>
            </w:r>
          </w:p>
        </w:tc>
        <w:tc>
          <w:tcPr>
            <w:vAlign w:val="center"/>
          </w:tcPr>
          <w:p>
            <w:pPr>
              <w:jc w:val="center"/>
            </w:pPr>
            <w:r>
              <w:rPr>
                <w:color w:val="000000"/>
                <w:sz w:val="24"/>
              </w:rPr>
              <w:t>0.11%</w:t>
            </w:r>
          </w:p>
        </w:tc>
        <w:tc>
          <w:tcPr>
            <w:vAlign w:val="center"/>
          </w:tcPr>
          <w:p>
            <w:pPr>
              <w:jc w:val="center"/>
            </w:pPr>
            <w:r>
              <w:rPr>
                <w:color w:val="000000"/>
                <w:sz w:val="24"/>
              </w:rPr>
              <w:t>0.78%</w:t>
            </w:r>
          </w:p>
        </w:tc>
        <w:tc>
          <w:tcPr>
            <w:vAlign w:val="center"/>
          </w:tcPr>
          <w:p>
            <w:pPr>
              <w:jc w:val="center"/>
            </w:pPr>
            <w:r>
              <w:rPr>
                <w:color w:val="000000"/>
                <w:sz w:val="24"/>
              </w:rPr>
              <w:t>0.02%</w:t>
            </w:r>
          </w:p>
        </w:tc>
      </w:tr>
      <w:tr>
        <w:tc>
          <w:tcPr>
            <w:vAlign w:val="center"/>
          </w:tcPr>
          <w:p>
            <w:pPr>
              <w:jc w:val="left"/>
            </w:pPr>
            <w:r>
              <w:rPr>
                <w:color w:val="000000"/>
                <w:sz w:val="24"/>
              </w:rPr>
              <w:t>过去一年</w:t>
            </w:r>
          </w:p>
        </w:tc>
        <w:tc>
          <w:tcPr>
            <w:vAlign w:val="center"/>
          </w:tcPr>
          <w:p>
            <w:pPr>
              <w:jc w:val="center"/>
            </w:pPr>
            <w:r>
              <w:rPr>
                <w:color w:val="000000"/>
                <w:sz w:val="24"/>
              </w:rPr>
              <w:t>3.10%</w:t>
            </w:r>
          </w:p>
        </w:tc>
        <w:tc>
          <w:tcPr>
            <w:vAlign w:val="center"/>
          </w:tcPr>
          <w:p>
            <w:pPr>
              <w:jc w:val="center"/>
            </w:pPr>
            <w:r>
              <w:rPr>
                <w:color w:val="000000"/>
                <w:sz w:val="24"/>
              </w:rPr>
              <w:t>0.09%</w:t>
            </w:r>
          </w:p>
        </w:tc>
        <w:tc>
          <w:tcPr>
            <w:vAlign w:val="center"/>
          </w:tcPr>
          <w:p>
            <w:pPr>
              <w:jc w:val="center"/>
            </w:pPr>
            <w:r>
              <w:rPr>
                <w:color w:val="000000"/>
                <w:sz w:val="24"/>
              </w:rPr>
              <w:t>1.87%</w:t>
            </w:r>
          </w:p>
        </w:tc>
        <w:tc>
          <w:tcPr>
            <w:vAlign w:val="center"/>
          </w:tcPr>
          <w:p>
            <w:pPr>
              <w:jc w:val="center"/>
            </w:pPr>
            <w:r>
              <w:rPr>
                <w:color w:val="000000"/>
                <w:sz w:val="24"/>
              </w:rPr>
              <w:t>0.08%</w:t>
            </w:r>
          </w:p>
        </w:tc>
        <w:tc>
          <w:tcPr>
            <w:vAlign w:val="center"/>
          </w:tcPr>
          <w:p>
            <w:pPr>
              <w:jc w:val="center"/>
            </w:pPr>
            <w:r>
              <w:rPr>
                <w:color w:val="000000"/>
                <w:sz w:val="24"/>
              </w:rPr>
              <w:t>1.23%</w:t>
            </w:r>
          </w:p>
        </w:tc>
        <w:tc>
          <w:tcPr>
            <w:vAlign w:val="center"/>
          </w:tcPr>
          <w:p>
            <w:pPr>
              <w:jc w:val="center"/>
            </w:pPr>
            <w:r>
              <w:rPr>
                <w:color w:val="000000"/>
                <w:sz w:val="24"/>
              </w:rPr>
              <w:t>0.01%</w:t>
            </w:r>
          </w:p>
        </w:tc>
      </w:tr>
      <w:tr>
        <w:tc>
          <w:tcPr>
            <w:vAlign w:val="center"/>
          </w:tcPr>
          <w:p>
            <w:pPr>
              <w:jc w:val="left"/>
            </w:pPr>
            <w:r>
              <w:rPr>
                <w:color w:val="000000"/>
                <w:sz w:val="24"/>
              </w:rPr>
              <w:t>过去三年</w:t>
            </w:r>
          </w:p>
        </w:tc>
        <w:tc>
          <w:tcPr>
            <w:vAlign w:val="center"/>
          </w:tcPr>
          <w:p>
            <w:pPr>
              <w:jc w:val="center"/>
            </w:pPr>
            <w:r>
              <w:rPr>
                <w:color w:val="000000"/>
                <w:sz w:val="24"/>
              </w:rPr>
              <w:t>13.99%</w:t>
            </w:r>
          </w:p>
        </w:tc>
        <w:tc>
          <w:tcPr>
            <w:vAlign w:val="center"/>
          </w:tcPr>
          <w:p>
            <w:pPr>
              <w:jc w:val="center"/>
            </w:pPr>
            <w:r>
              <w:rPr>
                <w:color w:val="000000"/>
                <w:sz w:val="24"/>
              </w:rPr>
              <w:t>0.08%</w:t>
            </w:r>
          </w:p>
        </w:tc>
        <w:tc>
          <w:tcPr>
            <w:vAlign w:val="center"/>
          </w:tcPr>
          <w:p>
            <w:pPr>
              <w:jc w:val="center"/>
            </w:pPr>
            <w:r>
              <w:rPr>
                <w:color w:val="000000"/>
                <w:sz w:val="24"/>
              </w:rPr>
              <w:t>5.61%</w:t>
            </w:r>
          </w:p>
        </w:tc>
        <w:tc>
          <w:tcPr>
            <w:vAlign w:val="center"/>
          </w:tcPr>
          <w:p>
            <w:pPr>
              <w:jc w:val="center"/>
            </w:pPr>
            <w:r>
              <w:rPr>
                <w:color w:val="000000"/>
                <w:sz w:val="24"/>
              </w:rPr>
              <w:t>0.07%</w:t>
            </w:r>
          </w:p>
        </w:tc>
        <w:tc>
          <w:tcPr>
            <w:vAlign w:val="center"/>
          </w:tcPr>
          <w:p>
            <w:pPr>
              <w:jc w:val="center"/>
            </w:pPr>
            <w:r>
              <w:rPr>
                <w:color w:val="000000"/>
                <w:sz w:val="24"/>
              </w:rPr>
              <w:t>8.38%</w:t>
            </w:r>
          </w:p>
        </w:tc>
        <w:tc>
          <w:tcPr>
            <w:vAlign w:val="center"/>
          </w:tcPr>
          <w:p>
            <w:pPr>
              <w:jc w:val="center"/>
            </w:pPr>
            <w:r>
              <w:rPr>
                <w:color w:val="000000"/>
                <w:sz w:val="24"/>
              </w:rPr>
              <w:t>0.01%</w:t>
            </w:r>
          </w:p>
        </w:tc>
      </w:tr>
      <w:tr>
        <w:tc>
          <w:tcPr>
            <w:vAlign w:val="center"/>
          </w:tcPr>
          <w:p>
            <w:pPr>
              <w:jc w:val="left"/>
            </w:pPr>
            <w:r>
              <w:rPr>
                <w:color w:val="000000"/>
                <w:sz w:val="24"/>
              </w:rPr>
              <w:t>自基金合同生效起至今</w:t>
            </w:r>
          </w:p>
        </w:tc>
        <w:tc>
          <w:tcPr>
            <w:vAlign w:val="center"/>
          </w:tcPr>
          <w:p>
            <w:pPr>
              <w:jc w:val="center"/>
            </w:pPr>
            <w:r>
              <w:rPr>
                <w:color w:val="000000"/>
                <w:sz w:val="24"/>
              </w:rPr>
              <w:t>15.47%</w:t>
            </w:r>
          </w:p>
        </w:tc>
        <w:tc>
          <w:tcPr>
            <w:vAlign w:val="center"/>
          </w:tcPr>
          <w:p>
            <w:pPr>
              <w:jc w:val="center"/>
            </w:pPr>
            <w:r>
              <w:rPr>
                <w:color w:val="000000"/>
                <w:sz w:val="24"/>
              </w:rPr>
              <w:t>0.07%</w:t>
            </w:r>
          </w:p>
        </w:tc>
        <w:tc>
          <w:tcPr>
            <w:vAlign w:val="center"/>
          </w:tcPr>
          <w:p>
            <w:pPr>
              <w:jc w:val="center"/>
            </w:pPr>
            <w:r>
              <w:rPr>
                <w:color w:val="000000"/>
                <w:sz w:val="24"/>
              </w:rPr>
              <w:t>0.85%</w:t>
            </w:r>
          </w:p>
        </w:tc>
        <w:tc>
          <w:tcPr>
            <w:vAlign w:val="center"/>
          </w:tcPr>
          <w:p>
            <w:pPr>
              <w:jc w:val="center"/>
            </w:pPr>
            <w:r>
              <w:rPr>
                <w:color w:val="000000"/>
                <w:sz w:val="24"/>
              </w:rPr>
              <w:t>0.08%</w:t>
            </w:r>
          </w:p>
        </w:tc>
        <w:tc>
          <w:tcPr>
            <w:vAlign w:val="center"/>
          </w:tcPr>
          <w:p>
            <w:pPr>
              <w:jc w:val="center"/>
            </w:pPr>
            <w:r>
              <w:rPr>
                <w:color w:val="000000"/>
                <w:sz w:val="24"/>
              </w:rPr>
              <w:t>14.62%</w:t>
            </w:r>
          </w:p>
        </w:tc>
        <w:tc>
          <w:tcPr>
            <w:vAlign w:val="center"/>
          </w:tcPr>
          <w:p>
            <w:pPr>
              <w:jc w:val="center"/>
            </w:pPr>
            <w:r>
              <w:rPr>
                <w:color w:val="000000"/>
                <w:sz w:val="24"/>
              </w:rPr>
              <w:t>-0.01%</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交银施罗德裕盈纯债债券型证券投资基金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2016年11月4日</w:t>
      </w:r>
      <w:r w:rsidR="009A045B" w:rsidRPr="007F52FA">
        <w:rPr>
          <w:rFonts w:ascii="Times New Roman" w:hAnsi="Times New Roman"/>
          <w:sz w:val="24"/>
          <w:szCs w:val="24"/>
        </w:rPr>
        <w:t>至</w:t>
      </w:r>
      <w:r w:rsidRPr="007F52FA">
        <w:rPr>
          <w:rFonts w:ascii="Times New Roman" w:hAnsi="Times New Roman"/>
          <w:sz w:val="24"/>
          <w:szCs w:val="24"/>
        </w:rPr>
        <w:t>2020年6月30日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交银裕盈纯债债券A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交银裕盈纯债债券C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连端清</w:t>
            </w:r>
          </w:p>
        </w:tc>
        <w:tc>
          <w:tcPr>
            <w:vAlign w:val="center"/>
          </w:tcPr>
          <w:p>
            <w:pPr>
              <w:jc w:val="center"/>
            </w:pPr>
            <w:r>
              <w:rPr>
                <w:color w:val="000000"/>
                <w:sz w:val="24"/>
              </w:rPr>
              <w:t>交银理财60天债券、交银丰盈收益债券、交银丰润收益债券、交银活期通货币、交银裕盈纯债债券、交银裕利纯债债券的基金经理</w:t>
            </w:r>
          </w:p>
        </w:tc>
        <w:tc>
          <w:tcPr>
            <w:vAlign w:val="center"/>
          </w:tcPr>
          <w:p>
            <w:pPr>
              <w:jc w:val="center"/>
            </w:pPr>
            <w:r>
              <w:rPr>
                <w:color w:val="000000"/>
                <w:sz w:val="24"/>
              </w:rPr>
              <w:t>2017-03-31</w:t>
            </w:r>
          </w:p>
        </w:tc>
        <w:tc>
          <w:tcPr>
            <w:vAlign w:val="center"/>
          </w:tcPr>
          <w:p>
            <w:pPr>
              <w:jc w:val="center"/>
            </w:pPr>
            <w:r>
              <w:rPr>
                <w:color w:val="000000"/>
                <w:sz w:val="24"/>
              </w:rPr>
              <w:t>-</w:t>
            </w:r>
          </w:p>
        </w:tc>
        <w:tc>
          <w:tcPr>
            <w:vAlign w:val="center"/>
          </w:tcPr>
          <w:p>
            <w:pPr>
              <w:jc w:val="center"/>
            </w:pPr>
            <w:r>
              <w:rPr>
                <w:color w:val="000000"/>
                <w:sz w:val="24"/>
              </w:rPr>
              <w:t>7年</w:t>
            </w:r>
          </w:p>
        </w:tc>
        <w:tc>
          <w:tcPr>
            <w:vAlign w:val="center"/>
          </w:tcPr>
          <w:p>
            <w:pPr>
              <w:jc w:val="both"/>
            </w:pPr>
            <w:r>
              <w:rPr>
                <w:color w:val="000000"/>
                <w:sz w:val="24"/>
              </w:rPr>
              <w:t>连端清先生，复旦大学经济学博士。历任交通银行总行金融市场部、湘财证券研究所研究员、中航信托资产管理部投资经理。2015年加入交银施罗德基金管理有限公司。2017年3月31日至2018年8月23日担任交银施罗德裕兴纯债债券型证券投资基金的基金经理。2015年8月4日至2019年8月2日担任交银施罗德现金宝货币市场基金的基金经理。2015年10月16日至2019年8月2日担任交银施罗德货币市场证券投资基金的基金经理。2016年12月7日至2019年8月2日担任交银施罗德天鑫宝货币市场基金的基金经理。2017年12月29日至2019年8月2日担任交银施罗德天运宝货币市场基金的基金经理。2016年10月19日至2019年9月29日担任交银施罗德天利宝货币市场基金的基金经理。2016年11月28日至2019年9月29日担任交银施罗德裕隆纯债债券型证券投资基金的基金经理。2016年12月20日至2019年9月29日担任交银施罗德天益宝货币市场基金的基金经理。2017年3月3日至2019年9月29日担任交银施罗德境尚收益债券型证券投资基金的基金经理。</w:t>
            </w:r>
          </w:p>
        </w:tc>
      </w:tr>
    </w:tbl>
    <w:p>
      <w:pPr>
        <w:autoSpaceDE w:val="0"/>
        <w:autoSpaceDN w:val="0"/>
        <w:adjustRightInd w:val="0"/>
        <w:spacing w:before="29" w:line="288" w:lineRule="auto"/>
        <w:jc w:val="left"/>
        <w:rPr>
          <w:color w:val="000000"/>
          <w:sz w:val="24"/>
        </w:rPr>
      </w:pPr>
      <w:r>
        <w:rPr>
          <w:color w:val="000000"/>
          <w:sz w:val="24"/>
        </w:rPr>
        <w:t>注：1、本表所列基金经理（助理）任职日期和离职日期均以基金合同生效日或公司作出决定并公告(如适用)之日为准；</w:t>
      </w:r>
    </w:p>
    <w:p>
      <w:pPr>
        <w:autoSpaceDE w:val="0"/>
        <w:autoSpaceDN w:val="0"/>
        <w:adjustRightInd w:val="0"/>
        <w:spacing w:before="29" w:line="288" w:lineRule="auto"/>
        <w:jc w:val="left"/>
        <w:rPr>
          <w:color w:val="000000"/>
          <w:sz w:val="24"/>
        </w:rPr>
      </w:pPr>
      <w:r>
        <w:rPr>
          <w:color w:val="000000"/>
          <w:sz w:val="24"/>
        </w:rPr>
        <w:t xml:space="preserve">2、本表所列基金经理（助理）证券从业年限中的“证券从业”的含义遵从中国证券业协会《证券业从业人员资格管理办法》的相关规定； </w:t>
      </w:r>
    </w:p>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3、基金经理（或基金经理小组）期后变动（如有）敬请关注基金管理人发布的相关公告。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2020年二季度，我国在本土疫情防控取得初步胜利的前提下，国内经济迎来修复期，主要经济指标逐步改善。二季度国内新增新冠病例保持较低水平，为深入开展复工复产提供了较好的支撑。二季度，中采PMI逐月保持在50%以上；FAI也逐月修复，其中房地产与基建投资修复相对较快；出口修复好于预期；社会消费逐步改善；金融条件为实体经济提供有力支持，四至五月M2同比增速均高达11.1%。</w:t>
      </w:r>
    </w:p>
    <w:p>
      <w:pPr>
        <w:spacing w:before="29" w:line="288" w:lineRule="auto"/>
        <w:ind w:firstLine="480" w:firstLineChars="200"/>
        <w:rPr>
          <w:color w:val="000000"/>
          <w:sz w:val="24"/>
        </w:rPr>
      </w:pPr>
      <w:r>
        <w:rPr>
          <w:color w:val="000000"/>
          <w:sz w:val="24"/>
        </w:rPr>
        <w:t>二季度货币政策经历了先密集放松后逐渐收敛的过程，但财政政策刺激力度继续增强。货币政策方面，四月初中国人民银行决定对中小银行定向降准1个百分点，并且下调超额存款准备金利率，四月中旬下调MLF利率20个BP。但自五月以来，随着经济数据边际改善，以及资金套利空转引起监管层重视，央行货币政策操作上呈现边际收敛态势；针对货币市场资金面收紧的状况，央行通过七天与十四天逆回购向公开市场谨慎投放流动性，而且减量续作MLF；二季度央行在公开市场净回笼资金3763亿元。财政政策方面，二季度国债地方债发行量显著提升，财政逆周期刺激力度加强。</w:t>
      </w:r>
    </w:p>
    <w:p>
      <w:pPr>
        <w:spacing w:before="29" w:line="288" w:lineRule="auto"/>
        <w:ind w:firstLine="480" w:firstLineChars="200"/>
        <w:rPr>
          <w:color w:val="000000"/>
          <w:sz w:val="24"/>
        </w:rPr>
      </w:pPr>
      <w:r>
        <w:rPr>
          <w:color w:val="000000"/>
          <w:sz w:val="24"/>
        </w:rPr>
        <w:t>资金面上，二季度受央行货币政策操作边际变化、政府债券发行量上升等影响，市场资金面波动较大。四月货币市场资金面较为宽松，五月中下旬开始资金面持续趋紧，货币品种收益率在四月达到历史低位之后中枢不断抬升；三个月股份制银行存单收益率六月末较三月末上升50个BP以上。主要受国内经济数据改善及货币政策边际收敛等影响，二季度债市大幅波动；在四月份大涨之后，五月开始债市大幅调整；六月末10年期国开债YTM较四月末低位回调约30个BP。</w:t>
      </w:r>
    </w:p>
    <w:p>
      <w:pPr>
        <w:spacing w:before="29" w:line="288" w:lineRule="auto"/>
        <w:ind w:firstLine="480" w:firstLineChars="200"/>
        <w:rPr>
          <w:color w:val="000000"/>
          <w:sz w:val="24"/>
        </w:rPr>
      </w:pPr>
      <w:r>
        <w:rPr>
          <w:color w:val="000000"/>
          <w:sz w:val="24"/>
        </w:rPr>
        <w:t>基金操作方面，报告期内本基金把握资金面与债券市场走势，降低组合久期、杠杆以及持仓券比例，在市场回调中努力控制风险。</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2020年三季度，国内经济修复势头可能将维持一段时间，但力度上有趋弱的风险，来自于海外疫情冲击风险及外需压力可能较大。尽管二季度欧美等重启了经济活动，但由于美国等的疫情形势更加严重，海外经济深度衰退风险在上升。考虑国内外形势的复杂性，预计短期内人行货币政策整体上维持宽松格局的概率较大。我们将密切关注央行货币政策操作边际上的变化，同时积极跟踪全球主要国家疫情防控的进展及其对经济金融的影响。组合管理方面，本基金将跟踪研判宏观经济走势与央行货币政策操作，保持较好的流动性，把握市场波动机会，控制风险，努力为投资者创造稳健的回报。</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554,107,974.40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95.88</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554,107,974.40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95.88</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12,870,126.44</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2.23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2,520,514.82</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0.44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8,435,792.46</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1.46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577,934,408.12</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14,468,649.70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2.51</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539,639,324.70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93.48</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488,614,324.70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84.65</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554,107,974.40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95.99</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190203</w:t>
            </w:r>
          </w:p>
        </w:tc>
        <w:tc>
          <w:tcPr>
            <w:vAlign w:val="center"/>
          </w:tcPr>
          <w:p>
            <w:pPr>
              <w:jc w:val="center"/>
            </w:pPr>
            <w:r>
              <w:rPr>
                <w:color w:val="000000"/>
                <w:sz w:val="24"/>
              </w:rPr>
              <w:t>19国开03</w:t>
            </w:r>
          </w:p>
        </w:tc>
        <w:tc>
          <w:tcPr>
            <w:vAlign w:val="center"/>
          </w:tcPr>
          <w:p>
            <w:pPr>
              <w:jc w:val="right"/>
            </w:pPr>
            <w:r>
              <w:rPr>
                <w:color w:val="000000"/>
                <w:sz w:val="24"/>
              </w:rPr>
              <w:t>800,000</w:t>
            </w:r>
          </w:p>
        </w:tc>
        <w:tc>
          <w:tcPr>
            <w:vAlign w:val="center"/>
          </w:tcPr>
          <w:p>
            <w:pPr>
              <w:jc w:val="right"/>
            </w:pPr>
            <w:r>
              <w:rPr>
                <w:color w:val="000000"/>
                <w:sz w:val="24"/>
              </w:rPr>
              <w:t>81,112,000.00</w:t>
            </w:r>
          </w:p>
        </w:tc>
        <w:tc>
          <w:tcPr>
            <w:vAlign w:val="center"/>
          </w:tcPr>
          <w:p>
            <w:pPr>
              <w:jc w:val="right"/>
            </w:pPr>
            <w:r>
              <w:rPr>
                <w:color w:val="000000"/>
                <w:sz w:val="24"/>
              </w:rPr>
              <w:t>14.05</w:t>
            </w:r>
          </w:p>
        </w:tc>
      </w:tr>
      <w:tr>
        <w:tc>
          <w:tcPr>
            <w:vAlign w:val="center"/>
          </w:tcPr>
          <w:p>
            <w:pPr>
              <w:jc w:val="center"/>
            </w:pPr>
            <w:r>
              <w:rPr>
                <w:color w:val="000000"/>
                <w:sz w:val="24"/>
              </w:rPr>
              <w:t>2</w:t>
            </w:r>
          </w:p>
        </w:tc>
        <w:tc>
          <w:tcPr>
            <w:vAlign w:val="center"/>
          </w:tcPr>
          <w:p>
            <w:pPr>
              <w:jc w:val="center"/>
            </w:pPr>
            <w:r>
              <w:rPr>
                <w:color w:val="000000"/>
                <w:sz w:val="24"/>
              </w:rPr>
              <w:t>190207</w:t>
            </w:r>
          </w:p>
        </w:tc>
        <w:tc>
          <w:tcPr>
            <w:vAlign w:val="center"/>
          </w:tcPr>
          <w:p>
            <w:pPr>
              <w:jc w:val="center"/>
            </w:pPr>
            <w:r>
              <w:rPr>
                <w:color w:val="000000"/>
                <w:sz w:val="24"/>
              </w:rPr>
              <w:t>19国开07</w:t>
            </w:r>
          </w:p>
        </w:tc>
        <w:tc>
          <w:tcPr>
            <w:vAlign w:val="center"/>
          </w:tcPr>
          <w:p>
            <w:pPr>
              <w:jc w:val="right"/>
            </w:pPr>
            <w:r>
              <w:rPr>
                <w:color w:val="000000"/>
                <w:sz w:val="24"/>
              </w:rPr>
              <w:t>800,000</w:t>
            </w:r>
          </w:p>
        </w:tc>
        <w:tc>
          <w:tcPr>
            <w:vAlign w:val="center"/>
          </w:tcPr>
          <w:p>
            <w:pPr>
              <w:jc w:val="right"/>
            </w:pPr>
            <w:r>
              <w:rPr>
                <w:color w:val="000000"/>
                <w:sz w:val="24"/>
              </w:rPr>
              <w:t>80,936,000.00</w:t>
            </w:r>
          </w:p>
        </w:tc>
        <w:tc>
          <w:tcPr>
            <w:vAlign w:val="center"/>
          </w:tcPr>
          <w:p>
            <w:pPr>
              <w:jc w:val="right"/>
            </w:pPr>
            <w:r>
              <w:rPr>
                <w:color w:val="000000"/>
                <w:sz w:val="24"/>
              </w:rPr>
              <w:t>14.02</w:t>
            </w:r>
          </w:p>
        </w:tc>
      </w:tr>
      <w:tr>
        <w:tc>
          <w:tcPr>
            <w:vAlign w:val="center"/>
          </w:tcPr>
          <w:p>
            <w:pPr>
              <w:jc w:val="center"/>
            </w:pPr>
            <w:r>
              <w:rPr>
                <w:color w:val="000000"/>
                <w:sz w:val="24"/>
              </w:rPr>
              <w:t>3</w:t>
            </w:r>
          </w:p>
        </w:tc>
        <w:tc>
          <w:tcPr>
            <w:vAlign w:val="center"/>
          </w:tcPr>
          <w:p>
            <w:pPr>
              <w:jc w:val="center"/>
            </w:pPr>
            <w:r>
              <w:rPr>
                <w:color w:val="000000"/>
                <w:sz w:val="24"/>
              </w:rPr>
              <w:t>1828016</w:t>
            </w:r>
          </w:p>
        </w:tc>
        <w:tc>
          <w:tcPr>
            <w:vAlign w:val="center"/>
          </w:tcPr>
          <w:p>
            <w:pPr>
              <w:jc w:val="center"/>
            </w:pPr>
            <w:r>
              <w:rPr>
                <w:color w:val="000000"/>
                <w:sz w:val="24"/>
              </w:rPr>
              <w:t>18民生银行01</w:t>
            </w:r>
          </w:p>
        </w:tc>
        <w:tc>
          <w:tcPr>
            <w:vAlign w:val="center"/>
          </w:tcPr>
          <w:p>
            <w:pPr>
              <w:jc w:val="right"/>
            </w:pPr>
            <w:r>
              <w:rPr>
                <w:color w:val="000000"/>
                <w:sz w:val="24"/>
              </w:rPr>
              <w:t>500,000</w:t>
            </w:r>
          </w:p>
        </w:tc>
        <w:tc>
          <w:tcPr>
            <w:vAlign w:val="center"/>
          </w:tcPr>
          <w:p>
            <w:pPr>
              <w:jc w:val="right"/>
            </w:pPr>
            <w:r>
              <w:rPr>
                <w:color w:val="000000"/>
                <w:sz w:val="24"/>
              </w:rPr>
              <w:t>51,025,000.00</w:t>
            </w:r>
          </w:p>
        </w:tc>
        <w:tc>
          <w:tcPr>
            <w:vAlign w:val="center"/>
          </w:tcPr>
          <w:p>
            <w:pPr>
              <w:jc w:val="right"/>
            </w:pPr>
            <w:r>
              <w:rPr>
                <w:color w:val="000000"/>
                <w:sz w:val="24"/>
              </w:rPr>
              <w:t>8.84</w:t>
            </w:r>
          </w:p>
        </w:tc>
      </w:tr>
      <w:tr>
        <w:tc>
          <w:tcPr>
            <w:vAlign w:val="center"/>
          </w:tcPr>
          <w:p>
            <w:pPr>
              <w:jc w:val="center"/>
            </w:pPr>
            <w:r>
              <w:rPr>
                <w:color w:val="000000"/>
                <w:sz w:val="24"/>
              </w:rPr>
              <w:t>4</w:t>
            </w:r>
          </w:p>
        </w:tc>
        <w:tc>
          <w:tcPr>
            <w:vAlign w:val="center"/>
          </w:tcPr>
          <w:p>
            <w:pPr>
              <w:jc w:val="center"/>
            </w:pPr>
            <w:r>
              <w:rPr>
                <w:color w:val="000000"/>
                <w:sz w:val="24"/>
              </w:rPr>
              <w:t>190403</w:t>
            </w:r>
          </w:p>
        </w:tc>
        <w:tc>
          <w:tcPr>
            <w:vAlign w:val="center"/>
          </w:tcPr>
          <w:p>
            <w:pPr>
              <w:jc w:val="center"/>
            </w:pPr>
            <w:r>
              <w:rPr>
                <w:color w:val="000000"/>
                <w:sz w:val="24"/>
              </w:rPr>
              <w:t>19农发03</w:t>
            </w:r>
          </w:p>
        </w:tc>
        <w:tc>
          <w:tcPr>
            <w:vAlign w:val="center"/>
          </w:tcPr>
          <w:p>
            <w:pPr>
              <w:jc w:val="right"/>
            </w:pPr>
            <w:r>
              <w:rPr>
                <w:color w:val="000000"/>
                <w:sz w:val="24"/>
              </w:rPr>
              <w:t>500,000</w:t>
            </w:r>
          </w:p>
        </w:tc>
        <w:tc>
          <w:tcPr>
            <w:vAlign w:val="center"/>
          </w:tcPr>
          <w:p>
            <w:pPr>
              <w:jc w:val="right"/>
            </w:pPr>
            <w:r>
              <w:rPr>
                <w:color w:val="000000"/>
                <w:sz w:val="24"/>
              </w:rPr>
              <w:t>50,530,000.00</w:t>
            </w:r>
          </w:p>
        </w:tc>
        <w:tc>
          <w:tcPr>
            <w:vAlign w:val="center"/>
          </w:tcPr>
          <w:p>
            <w:pPr>
              <w:jc w:val="right"/>
            </w:pPr>
            <w:r>
              <w:rPr>
                <w:color w:val="000000"/>
                <w:sz w:val="24"/>
              </w:rPr>
              <w:t>8.75</w:t>
            </w:r>
          </w:p>
        </w:tc>
      </w:tr>
      <w:tr>
        <w:tc>
          <w:tcPr>
            <w:vAlign w:val="center"/>
          </w:tcPr>
          <w:p>
            <w:pPr>
              <w:jc w:val="center"/>
            </w:pPr>
            <w:r>
              <w:rPr>
                <w:color w:val="000000"/>
                <w:sz w:val="24"/>
              </w:rPr>
              <w:t>5</w:t>
            </w:r>
          </w:p>
        </w:tc>
        <w:tc>
          <w:tcPr>
            <w:vAlign w:val="center"/>
          </w:tcPr>
          <w:p>
            <w:pPr>
              <w:jc w:val="center"/>
            </w:pPr>
            <w:r>
              <w:rPr>
                <w:color w:val="000000"/>
                <w:sz w:val="24"/>
              </w:rPr>
              <w:t>190307</w:t>
            </w:r>
          </w:p>
        </w:tc>
        <w:tc>
          <w:tcPr>
            <w:vAlign w:val="center"/>
          </w:tcPr>
          <w:p>
            <w:pPr>
              <w:jc w:val="center"/>
            </w:pPr>
            <w:r>
              <w:rPr>
                <w:color w:val="000000"/>
                <w:sz w:val="24"/>
              </w:rPr>
              <w:t>19进出07</w:t>
            </w:r>
          </w:p>
        </w:tc>
        <w:tc>
          <w:tcPr>
            <w:vAlign w:val="center"/>
          </w:tcPr>
          <w:p>
            <w:pPr>
              <w:jc w:val="right"/>
            </w:pPr>
            <w:r>
              <w:rPr>
                <w:color w:val="000000"/>
                <w:sz w:val="24"/>
              </w:rPr>
              <w:t>500,000</w:t>
            </w:r>
          </w:p>
        </w:tc>
        <w:tc>
          <w:tcPr>
            <w:vAlign w:val="center"/>
          </w:tcPr>
          <w:p>
            <w:pPr>
              <w:jc w:val="right"/>
            </w:pPr>
            <w:r>
              <w:rPr>
                <w:color w:val="000000"/>
                <w:sz w:val="24"/>
              </w:rPr>
              <w:t>50,105,000.00</w:t>
            </w:r>
          </w:p>
        </w:tc>
        <w:tc>
          <w:tcPr>
            <w:vAlign w:val="center"/>
          </w:tcPr>
          <w:p>
            <w:pPr>
              <w:jc w:val="right"/>
            </w:pPr>
            <w:r>
              <w:rPr>
                <w:color w:val="000000"/>
                <w:sz w:val="24"/>
              </w:rPr>
              <w:t>8.68</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bookmarkStart w:id="2" w:name="_GoBack"/>
      <w:r w:rsidRPr="00885AD9">
        <w:rPr>
          <w:b/>
          <w:kern w:val="0"/>
          <w:sz w:val="24"/>
        </w:rPr>
        <w:t>5.11.3</w:t>
      </w:r>
      <w:bookmarkEnd w:id="2"/>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15,291.78</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8,404,226.15</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16,274.53</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8,435,792.46</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交银裕盈纯债债券A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交银裕盈纯债债券C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533,921,096.38</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291,819.10</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14,712,068.65</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2,567,472.29</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26,162,544.28</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2,045,513.16</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522,470,620.75</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813,778.23</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2020/4/1-2020/6/30</w:t>
            </w:r>
          </w:p>
        </w:tc>
        <w:tc>
          <w:tcPr>
            <w:vAlign w:val="center"/>
          </w:tcPr>
          <w:p>
            <w:pPr>
              <w:jc w:val="center"/>
            </w:pPr>
            <w:r>
              <w:rPr>
                <w:rFonts w:ascii="宋体" w:hAnsi="宋体" w:hint="eastAsia"/>
                <w:color w:val="000000"/>
                <w:kern w:val="0"/>
                <w:szCs w:val="21"/>
              </w:rPr>
              <w:t>496,820,252.99</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496,820,252.99</w:t>
            </w:r>
          </w:p>
        </w:tc>
        <w:tc>
          <w:tcPr>
            <w:vAlign w:val="center"/>
          </w:tcPr>
          <w:p>
            <w:pPr>
              <w:jc w:val="center"/>
            </w:pPr>
            <w:r>
              <w:rPr>
                <w:rFonts w:ascii="宋体" w:hAnsi="宋体" w:hint="eastAsia"/>
                <w:color w:val="000000"/>
                <w:kern w:val="0"/>
                <w:szCs w:val="21"/>
              </w:rPr>
              <w:t>94.94%</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1、中国证监会准予交银施罗德裕盈纯债债券型证券投资基金募集注册的文件；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2、《交银施罗德裕盈纯债债券型证券投资基金基金合同》；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3、《交银施罗德裕盈纯债债券型证券投资基金招募说明书》；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4、《交银施罗德裕盈纯债债券型证券投资基金托管协议》；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5、关于申请募集注册交银施罗德裕盈纯债债券型证券投资基金的法律意见书；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8、报告期内交银施罗德裕盈纯债债券型证券投资基金在指定报刊上各项公告的原稿。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885AD9">
      <w:rPr>
        <w:noProof/>
        <w:kern w:val="0"/>
        <w:szCs w:val="21"/>
      </w:rPr>
      <w:t>19</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885AD9">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85AD1" w:rsidRDefault="00685AD1">
      <w:r>
        <w:separator/>
      </w:r>
    </w:p>
  </w:footnote>
  <w:footnote w:id="0" w:type="continuationSeparator">
    <w:p w:rsidR="00685AD1" w:rsidRDefault="00685AD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交银施罗德裕盈纯债债券型证券投资基金2020年第2季度报告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2FB8-C167-4963-8B27-9929FDC0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254</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2020-03-05T08:23:00Z</dcterms:modified>
  <cp:revision>404</cp:revision>
</cp:coreProperties>
</file>