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交银施罗德纯债债券型发起式证券投资基金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2020</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2020</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二〇二〇年七月二十一日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60150D" w:rsidRDefault="007F182B">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60150D" w:rsidRDefault="007F182B">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2020</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60150D" w:rsidRDefault="007F182B">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60150D" w:rsidRDefault="007F182B">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60150D" w:rsidRDefault="007F182B">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2020</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交银纯债债券发起</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519718</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2012</w:t>
            </w:r>
            <w:r w:rsidRPr="007F52FA">
              <w:rPr>
                <w:color w:val="000000"/>
                <w:kern w:val="0"/>
                <w:sz w:val="24"/>
              </w:rPr>
              <w:t>年</w:t>
            </w:r>
            <w:r w:rsidRPr="007F52FA">
              <w:rPr>
                <w:color w:val="000000"/>
                <w:kern w:val="0"/>
                <w:sz w:val="24"/>
              </w:rPr>
              <w:t>12</w:t>
            </w:r>
            <w:r w:rsidRPr="007F52FA">
              <w:rPr>
                <w:color w:val="000000"/>
                <w:kern w:val="0"/>
                <w:sz w:val="24"/>
              </w:rPr>
              <w:t>月</w:t>
            </w:r>
            <w:r w:rsidRPr="007F52FA">
              <w:rPr>
                <w:color w:val="000000"/>
                <w:kern w:val="0"/>
                <w:sz w:val="24"/>
              </w:rPr>
              <w:t>19</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3,810,051,494.38</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本基金为纯债基金，在严格控制投资风险的基础上，追求稳定的当期收益和基金资产的稳健增值。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自下而上地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交银纯债债券发起</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交银纯债债券发起</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519718</w:t>
            </w:r>
            <w:r w:rsidRPr="007F52FA">
              <w:rPr>
                <w:color w:val="000000" w:themeColor="text1"/>
                <w:sz w:val="24"/>
              </w:rPr>
              <w:t>（前端）、</w:t>
            </w:r>
            <w:r w:rsidRPr="007F52FA">
              <w:rPr>
                <w:color w:val="000000" w:themeColor="text1"/>
                <w:sz w:val="24"/>
              </w:rPr>
              <w:t>519719</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519720</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3,452,236,692.75</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357,814,801.63</w:t>
            </w:r>
            <w:r w:rsidRPr="007F52FA">
              <w:rPr>
                <w:color w:val="000000"/>
                <w:kern w:val="0"/>
                <w:sz w:val="24"/>
              </w:rPr>
              <w:t>份</w:t>
            </w:r>
          </w:p>
        </w:tc>
      </w:tr>
    </w:tbl>
    <w:p w:rsidR="0060150D" w:rsidRDefault="007F182B">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类基金份额采用前端收费模式，</w:t>
      </w:r>
      <w:r>
        <w:rPr>
          <w:rFonts w:eastAsiaTheme="minorEastAsia"/>
          <w:color w:val="000000"/>
          <w:sz w:val="24"/>
        </w:rPr>
        <w:t>B</w:t>
      </w:r>
      <w:r>
        <w:rPr>
          <w:rFonts w:eastAsiaTheme="minorEastAsia"/>
          <w:color w:val="000000"/>
          <w:sz w:val="24"/>
        </w:rPr>
        <w:t>类基金份额采用后端收费模式，前端交易代码即为</w:t>
      </w:r>
      <w:r>
        <w:rPr>
          <w:rFonts w:eastAsiaTheme="minorEastAsia"/>
          <w:color w:val="000000"/>
          <w:sz w:val="24"/>
        </w:rPr>
        <w:t>A</w:t>
      </w:r>
      <w:r>
        <w:rPr>
          <w:rFonts w:eastAsiaTheme="minorEastAsia"/>
          <w:color w:val="000000"/>
          <w:sz w:val="24"/>
        </w:rPr>
        <w:t>类基金份额交易代码，后端交易代码即为</w:t>
      </w:r>
      <w:r>
        <w:rPr>
          <w:rFonts w:eastAsiaTheme="minorEastAsia"/>
          <w:color w:val="000000"/>
          <w:sz w:val="24"/>
        </w:rPr>
        <w:t>B</w:t>
      </w:r>
      <w:r>
        <w:rPr>
          <w:rFonts w:eastAsiaTheme="minorEastAsia"/>
          <w:color w:val="000000"/>
          <w:sz w:val="24"/>
        </w:rPr>
        <w:t>类基金份额交易代码。</w:t>
      </w:r>
    </w:p>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、本基金为发起式基金。</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(2020</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-2020</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交银纯债债券发起</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交银纯债债券发起</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34,246,732.95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3,154,582.18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-9,191,696.11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-828,241.69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-0.0029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-0.0025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3,708,415,426.12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385,754,485.04</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1.074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1.078</w:t>
            </w:r>
          </w:p>
        </w:tc>
      </w:tr>
    </w:tbl>
    <w:p w:rsidR="0060150D" w:rsidRDefault="007F182B">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交银纯债债券发起</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7F182B">
        <w:trPr>
          <w:jc w:val="center"/>
        </w:trPr>
        <w:tc>
          <w:tcPr>
            <w:tcW w:w="1266"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7F182B">
        <w:trPr>
          <w:jc w:val="center"/>
        </w:trPr>
        <w:tc>
          <w:tcPr>
            <w:tcW w:w="1266" w:type="dxa"/>
            <w:vAlign w:val="center"/>
          </w:tcPr>
          <w:p w:rsidR="007F182B" w:rsidRDefault="007F182B" w:rsidP="007F182B">
            <w:pPr>
              <w:jc w:val="left"/>
            </w:pPr>
            <w:bookmarkStart w:id="0" w:name="_GoBack" w:colFirst="1" w:colLast="6"/>
            <w:r>
              <w:rPr>
                <w:color w:val="000000"/>
                <w:sz w:val="24"/>
              </w:rPr>
              <w:t>过去三个月</w:t>
            </w:r>
          </w:p>
        </w:tc>
        <w:tc>
          <w:tcPr>
            <w:tcW w:w="1267" w:type="dxa"/>
            <w:vAlign w:val="center"/>
          </w:tcPr>
          <w:p w:rsidR="007F182B" w:rsidRPr="007F182B" w:rsidRDefault="007F182B" w:rsidP="007F182B">
            <w:pPr>
              <w:widowControl/>
              <w:jc w:val="center"/>
              <w:rPr>
                <w:color w:val="000000"/>
                <w:sz w:val="24"/>
              </w:rPr>
            </w:pPr>
            <w:r w:rsidRPr="007F182B">
              <w:rPr>
                <w:rFonts w:hint="eastAsia"/>
                <w:color w:val="000000"/>
                <w:sz w:val="24"/>
              </w:rPr>
              <w:t>0.17%</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0.11%</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-1.04%</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0.12%</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1.21%</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-0.01%</w:t>
            </w:r>
          </w:p>
        </w:tc>
      </w:tr>
      <w:tr w:rsidR="007F182B">
        <w:trPr>
          <w:jc w:val="center"/>
        </w:trPr>
        <w:tc>
          <w:tcPr>
            <w:tcW w:w="1266" w:type="dxa"/>
            <w:vAlign w:val="center"/>
          </w:tcPr>
          <w:p w:rsidR="007F182B" w:rsidRDefault="007F182B" w:rsidP="007F182B">
            <w:pPr>
              <w:jc w:val="left"/>
              <w:rPr>
                <w:rFonts w:hint="eastAsia"/>
                <w:color w:val="000000"/>
                <w:sz w:val="24"/>
              </w:rPr>
            </w:pPr>
            <w:r>
              <w:rPr>
                <w:color w:val="000000"/>
                <w:sz w:val="24"/>
              </w:rPr>
              <w:t>过去</w:t>
            </w:r>
            <w:r>
              <w:rPr>
                <w:rFonts w:hint="eastAsia"/>
                <w:color w:val="000000"/>
                <w:sz w:val="24"/>
              </w:rPr>
              <w:t>六个月</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2.42%</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0.10%</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0.79%</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0.11%</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1.63%</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-0.01%</w:t>
            </w:r>
          </w:p>
        </w:tc>
      </w:tr>
      <w:tr w:rsidR="007F182B">
        <w:trPr>
          <w:jc w:val="center"/>
        </w:trPr>
        <w:tc>
          <w:tcPr>
            <w:tcW w:w="1266" w:type="dxa"/>
            <w:vAlign w:val="center"/>
          </w:tcPr>
          <w:p w:rsidR="007F182B" w:rsidRDefault="007F182B" w:rsidP="007F182B">
            <w:pPr>
              <w:jc w:val="left"/>
              <w:rPr>
                <w:rFonts w:hint="eastAsia"/>
                <w:color w:val="000000"/>
                <w:sz w:val="24"/>
              </w:rPr>
            </w:pPr>
            <w:r>
              <w:rPr>
                <w:color w:val="000000"/>
                <w:sz w:val="24"/>
              </w:rPr>
              <w:t>过去</w:t>
            </w:r>
            <w:r>
              <w:rPr>
                <w:rFonts w:hint="eastAsia"/>
                <w:color w:val="000000"/>
                <w:sz w:val="24"/>
              </w:rPr>
              <w:t>一年</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5.22%</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0.08%</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1.87%</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0.08%</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3.35%</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0.00%</w:t>
            </w:r>
          </w:p>
        </w:tc>
      </w:tr>
      <w:tr w:rsidR="007F182B">
        <w:trPr>
          <w:jc w:val="center"/>
        </w:trPr>
        <w:tc>
          <w:tcPr>
            <w:tcW w:w="1266" w:type="dxa"/>
            <w:vAlign w:val="center"/>
          </w:tcPr>
          <w:p w:rsidR="007F182B" w:rsidRDefault="007F182B" w:rsidP="007F182B">
            <w:pPr>
              <w:jc w:val="left"/>
              <w:rPr>
                <w:rFonts w:hint="eastAsia"/>
                <w:color w:val="000000"/>
                <w:sz w:val="24"/>
              </w:rPr>
            </w:pPr>
            <w:r>
              <w:rPr>
                <w:color w:val="000000"/>
                <w:sz w:val="24"/>
              </w:rPr>
              <w:t>过去</w:t>
            </w:r>
            <w:r>
              <w:rPr>
                <w:rFonts w:hint="eastAsia"/>
                <w:color w:val="000000"/>
                <w:sz w:val="24"/>
              </w:rPr>
              <w:t>三年</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17.34%</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0.07%</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5.61%</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0.07%</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11.73%</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0.00%</w:t>
            </w:r>
          </w:p>
        </w:tc>
      </w:tr>
      <w:tr w:rsidR="007F182B">
        <w:trPr>
          <w:jc w:val="center"/>
        </w:trPr>
        <w:tc>
          <w:tcPr>
            <w:tcW w:w="1266" w:type="dxa"/>
            <w:vAlign w:val="center"/>
          </w:tcPr>
          <w:p w:rsidR="007F182B" w:rsidRDefault="007F182B" w:rsidP="007F182B">
            <w:pPr>
              <w:jc w:val="left"/>
              <w:rPr>
                <w:rFonts w:hint="eastAsia"/>
                <w:color w:val="000000"/>
                <w:sz w:val="24"/>
              </w:rPr>
            </w:pPr>
            <w:r>
              <w:rPr>
                <w:color w:val="000000"/>
                <w:sz w:val="24"/>
              </w:rPr>
              <w:t>过去</w:t>
            </w:r>
            <w:r>
              <w:rPr>
                <w:rFonts w:hint="eastAsia"/>
                <w:color w:val="000000"/>
                <w:sz w:val="24"/>
              </w:rPr>
              <w:t>五年</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19.09%</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0.09%</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4.70%</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0.08%</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14.39%</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0.01%</w:t>
            </w:r>
          </w:p>
        </w:tc>
      </w:tr>
      <w:tr w:rsidR="007F182B">
        <w:trPr>
          <w:jc w:val="center"/>
        </w:trPr>
        <w:tc>
          <w:tcPr>
            <w:tcW w:w="1266" w:type="dxa"/>
            <w:vAlign w:val="center"/>
          </w:tcPr>
          <w:p w:rsidR="007F182B" w:rsidRDefault="007F182B" w:rsidP="007F182B">
            <w:pPr>
              <w:jc w:val="left"/>
              <w:rPr>
                <w:rFonts w:hint="eastAsia"/>
                <w:color w:val="000000"/>
                <w:sz w:val="24"/>
              </w:rPr>
            </w:pPr>
            <w:r>
              <w:rPr>
                <w:rFonts w:hint="eastAsia"/>
                <w:color w:val="000000"/>
                <w:sz w:val="24"/>
              </w:rPr>
              <w:t>自</w:t>
            </w:r>
            <w:r>
              <w:rPr>
                <w:color w:val="000000"/>
                <w:sz w:val="24"/>
              </w:rPr>
              <w:t>基金合同</w:t>
            </w:r>
            <w:r>
              <w:rPr>
                <w:rFonts w:hint="eastAsia"/>
                <w:color w:val="000000"/>
                <w:sz w:val="24"/>
              </w:rPr>
              <w:t>生效</w:t>
            </w:r>
            <w:r>
              <w:rPr>
                <w:color w:val="000000"/>
                <w:sz w:val="24"/>
              </w:rPr>
              <w:t>起至今</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38.17%</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0.10%</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8.69%</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0.08%</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29.48%</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0.02%</w:t>
            </w:r>
          </w:p>
        </w:tc>
      </w:tr>
      <w:bookmarkEnd w:id="0"/>
    </w:tbl>
    <w:p w:rsidR="004425E8" w:rsidRPr="007F182B"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交银纯债债券发起</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7F182B">
        <w:trPr>
          <w:jc w:val="center"/>
        </w:trPr>
        <w:tc>
          <w:tcPr>
            <w:tcW w:w="1266"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67"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67"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7F182B">
        <w:trPr>
          <w:jc w:val="center"/>
        </w:trPr>
        <w:tc>
          <w:tcPr>
            <w:tcW w:w="1266" w:type="dxa"/>
            <w:vAlign w:val="center"/>
          </w:tcPr>
          <w:p w:rsidR="007F182B" w:rsidRDefault="007F182B" w:rsidP="007F182B">
            <w:pPr>
              <w:jc w:val="left"/>
            </w:pPr>
            <w:r>
              <w:rPr>
                <w:color w:val="000000"/>
                <w:sz w:val="24"/>
              </w:rPr>
              <w:t>过去三个月</w:t>
            </w:r>
          </w:p>
        </w:tc>
        <w:tc>
          <w:tcPr>
            <w:tcW w:w="1267" w:type="dxa"/>
            <w:vAlign w:val="center"/>
          </w:tcPr>
          <w:p w:rsidR="007F182B" w:rsidRPr="007F182B" w:rsidRDefault="007F182B" w:rsidP="007F182B">
            <w:pPr>
              <w:widowControl/>
              <w:jc w:val="center"/>
              <w:rPr>
                <w:color w:val="000000"/>
                <w:sz w:val="24"/>
              </w:rPr>
            </w:pPr>
            <w:r w:rsidRPr="007F182B">
              <w:rPr>
                <w:rFonts w:hint="eastAsia"/>
                <w:color w:val="000000"/>
                <w:sz w:val="24"/>
              </w:rPr>
              <w:t>0.09%</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0.10%</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-1.04%</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0.12%</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1.13%</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-0.02%</w:t>
            </w:r>
          </w:p>
        </w:tc>
      </w:tr>
      <w:tr w:rsidR="007F182B">
        <w:trPr>
          <w:jc w:val="center"/>
        </w:trPr>
        <w:tc>
          <w:tcPr>
            <w:tcW w:w="1266" w:type="dxa"/>
            <w:vAlign w:val="center"/>
          </w:tcPr>
          <w:p w:rsidR="007F182B" w:rsidRDefault="007F182B" w:rsidP="007F182B">
            <w:pPr>
              <w:jc w:val="left"/>
              <w:rPr>
                <w:rFonts w:hint="eastAsia"/>
                <w:color w:val="000000"/>
                <w:sz w:val="24"/>
              </w:rPr>
            </w:pPr>
            <w:r>
              <w:rPr>
                <w:color w:val="000000"/>
                <w:sz w:val="24"/>
              </w:rPr>
              <w:t>过去</w:t>
            </w:r>
            <w:r>
              <w:rPr>
                <w:rFonts w:hint="eastAsia"/>
                <w:color w:val="000000"/>
                <w:sz w:val="24"/>
              </w:rPr>
              <w:t>六个月</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2.25%</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0.10%</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0.79%</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0.11%</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1.46%</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-0.01%</w:t>
            </w:r>
          </w:p>
        </w:tc>
      </w:tr>
      <w:tr w:rsidR="007F182B">
        <w:trPr>
          <w:jc w:val="center"/>
        </w:trPr>
        <w:tc>
          <w:tcPr>
            <w:tcW w:w="1266" w:type="dxa"/>
            <w:vAlign w:val="center"/>
          </w:tcPr>
          <w:p w:rsidR="007F182B" w:rsidRDefault="007F182B" w:rsidP="007F182B">
            <w:pPr>
              <w:jc w:val="left"/>
              <w:rPr>
                <w:rFonts w:hint="eastAsia"/>
                <w:color w:val="000000"/>
                <w:sz w:val="24"/>
              </w:rPr>
            </w:pPr>
            <w:r>
              <w:rPr>
                <w:color w:val="000000"/>
                <w:sz w:val="24"/>
              </w:rPr>
              <w:t>过去</w:t>
            </w:r>
            <w:r>
              <w:rPr>
                <w:rFonts w:hint="eastAsia"/>
                <w:color w:val="000000"/>
                <w:sz w:val="24"/>
              </w:rPr>
              <w:t>一年</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4.76%</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0.07%</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1.87%</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0.08%</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2.89%</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-0.01%</w:t>
            </w:r>
          </w:p>
        </w:tc>
      </w:tr>
      <w:tr w:rsidR="007F182B">
        <w:trPr>
          <w:jc w:val="center"/>
        </w:trPr>
        <w:tc>
          <w:tcPr>
            <w:tcW w:w="1266" w:type="dxa"/>
            <w:vAlign w:val="center"/>
          </w:tcPr>
          <w:p w:rsidR="007F182B" w:rsidRDefault="007F182B" w:rsidP="007F182B">
            <w:pPr>
              <w:jc w:val="left"/>
              <w:rPr>
                <w:rFonts w:hint="eastAsia"/>
                <w:color w:val="000000"/>
                <w:sz w:val="24"/>
              </w:rPr>
            </w:pPr>
            <w:r>
              <w:rPr>
                <w:color w:val="000000"/>
                <w:sz w:val="24"/>
              </w:rPr>
              <w:t>过去</w:t>
            </w:r>
            <w:r>
              <w:rPr>
                <w:rFonts w:hint="eastAsia"/>
                <w:color w:val="000000"/>
                <w:sz w:val="24"/>
              </w:rPr>
              <w:t>三年</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15.93%</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0.07%</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5.61%</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0.07%</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10.32%</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0.00%</w:t>
            </w:r>
          </w:p>
        </w:tc>
      </w:tr>
      <w:tr w:rsidR="007F182B">
        <w:trPr>
          <w:jc w:val="center"/>
        </w:trPr>
        <w:tc>
          <w:tcPr>
            <w:tcW w:w="1266" w:type="dxa"/>
            <w:vAlign w:val="center"/>
          </w:tcPr>
          <w:p w:rsidR="007F182B" w:rsidRDefault="007F182B" w:rsidP="007F182B">
            <w:pPr>
              <w:jc w:val="left"/>
              <w:rPr>
                <w:rFonts w:hint="eastAsia"/>
                <w:color w:val="000000"/>
                <w:sz w:val="24"/>
              </w:rPr>
            </w:pPr>
            <w:r>
              <w:rPr>
                <w:color w:val="000000"/>
                <w:sz w:val="24"/>
              </w:rPr>
              <w:t>过去</w:t>
            </w:r>
            <w:r>
              <w:rPr>
                <w:rFonts w:hint="eastAsia"/>
                <w:color w:val="000000"/>
                <w:sz w:val="24"/>
              </w:rPr>
              <w:t>五年</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16.63%</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0.09%</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4.70%</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0.08%</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11.93%</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0.01%</w:t>
            </w:r>
          </w:p>
        </w:tc>
      </w:tr>
      <w:tr w:rsidR="007F182B">
        <w:trPr>
          <w:jc w:val="center"/>
        </w:trPr>
        <w:tc>
          <w:tcPr>
            <w:tcW w:w="1266" w:type="dxa"/>
            <w:vAlign w:val="center"/>
          </w:tcPr>
          <w:p w:rsidR="007F182B" w:rsidRDefault="007F182B" w:rsidP="007F182B">
            <w:pPr>
              <w:jc w:val="left"/>
              <w:rPr>
                <w:rFonts w:hint="eastAsia"/>
                <w:color w:val="000000"/>
                <w:sz w:val="24"/>
              </w:rPr>
            </w:pPr>
            <w:r>
              <w:rPr>
                <w:rFonts w:hint="eastAsia"/>
                <w:color w:val="000000"/>
                <w:sz w:val="24"/>
              </w:rPr>
              <w:t>自</w:t>
            </w:r>
            <w:r>
              <w:rPr>
                <w:color w:val="000000"/>
                <w:sz w:val="24"/>
              </w:rPr>
              <w:t>基金合同</w:t>
            </w:r>
            <w:r>
              <w:rPr>
                <w:rFonts w:hint="eastAsia"/>
                <w:color w:val="000000"/>
                <w:sz w:val="24"/>
              </w:rPr>
              <w:t>生效</w:t>
            </w:r>
            <w:r>
              <w:rPr>
                <w:color w:val="000000"/>
                <w:sz w:val="24"/>
              </w:rPr>
              <w:t>起至今</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33.41%</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0.10%</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8.69%</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0.08%</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24.72%</w:t>
            </w:r>
          </w:p>
        </w:tc>
        <w:tc>
          <w:tcPr>
            <w:tcW w:w="1267" w:type="dxa"/>
            <w:vAlign w:val="center"/>
          </w:tcPr>
          <w:p w:rsidR="007F182B" w:rsidRPr="007F182B" w:rsidRDefault="007F182B" w:rsidP="007F182B">
            <w:pPr>
              <w:jc w:val="center"/>
              <w:rPr>
                <w:rFonts w:hint="eastAsia"/>
                <w:color w:val="000000"/>
                <w:sz w:val="24"/>
              </w:rPr>
            </w:pPr>
            <w:r w:rsidRPr="007F182B">
              <w:rPr>
                <w:rFonts w:hint="eastAsia"/>
                <w:color w:val="000000"/>
                <w:sz w:val="24"/>
              </w:rPr>
              <w:t>0.02%</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交银施罗德纯债债券型发起式证券投资基金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2012</w:t>
      </w:r>
      <w:r w:rsidR="00D04410" w:rsidRPr="007F52FA">
        <w:rPr>
          <w:rFonts w:ascii="Times New Roman" w:hAnsi="Times New Roman"/>
          <w:sz w:val="24"/>
          <w:szCs w:val="24"/>
        </w:rPr>
        <w:t>年</w:t>
      </w:r>
      <w:r w:rsidR="00D04410" w:rsidRPr="007F52FA">
        <w:rPr>
          <w:rFonts w:ascii="Times New Roman" w:hAnsi="Times New Roman"/>
          <w:sz w:val="24"/>
          <w:szCs w:val="24"/>
        </w:rPr>
        <w:t>12</w:t>
      </w:r>
      <w:r w:rsidR="00D04410" w:rsidRPr="007F52FA">
        <w:rPr>
          <w:rFonts w:ascii="Times New Roman" w:hAnsi="Times New Roman"/>
          <w:sz w:val="24"/>
          <w:szCs w:val="24"/>
        </w:rPr>
        <w:t>月</w:t>
      </w:r>
      <w:r w:rsidR="00D04410" w:rsidRPr="007F52FA">
        <w:rPr>
          <w:rFonts w:ascii="Times New Roman" w:hAnsi="Times New Roman"/>
          <w:sz w:val="24"/>
          <w:szCs w:val="24"/>
        </w:rPr>
        <w:t>19</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2020</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交银纯债债券发起</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交银纯债债券发起</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60150D">
        <w:trPr>
          <w:jc w:val="center"/>
        </w:trPr>
        <w:tc>
          <w:tcPr>
            <w:tcW w:w="946" w:type="dxa"/>
            <w:vAlign w:val="center"/>
          </w:tcPr>
          <w:p w:rsidR="0060150D" w:rsidRDefault="007F182B">
            <w:pPr>
              <w:jc w:val="center"/>
            </w:pPr>
            <w:r>
              <w:rPr>
                <w:color w:val="000000"/>
                <w:sz w:val="24"/>
              </w:rPr>
              <w:t>于海颖</w:t>
            </w:r>
          </w:p>
        </w:tc>
        <w:tc>
          <w:tcPr>
            <w:tcW w:w="924" w:type="dxa"/>
            <w:vAlign w:val="center"/>
          </w:tcPr>
          <w:p w:rsidR="0060150D" w:rsidRDefault="007F182B">
            <w:pPr>
              <w:jc w:val="center"/>
            </w:pPr>
            <w:r>
              <w:rPr>
                <w:color w:val="000000"/>
                <w:sz w:val="24"/>
              </w:rPr>
              <w:t>交银增利债券、交银纯债债券发起、交银丰盈收益债券、交银丰晟收益债券、交银裕如纯债债券、交银裕泰两年定期开放债券、交银裕坤纯债一年定期开放债券的基金经理，公司固定收益（公募）投资总监</w:t>
            </w:r>
          </w:p>
        </w:tc>
        <w:tc>
          <w:tcPr>
            <w:tcW w:w="1202" w:type="dxa"/>
            <w:vAlign w:val="center"/>
          </w:tcPr>
          <w:p w:rsidR="0060150D" w:rsidRDefault="007F182B">
            <w:pPr>
              <w:jc w:val="center"/>
            </w:pPr>
            <w:r>
              <w:rPr>
                <w:color w:val="000000"/>
                <w:sz w:val="24"/>
              </w:rPr>
              <w:t>2017-06-10</w:t>
            </w:r>
          </w:p>
        </w:tc>
        <w:tc>
          <w:tcPr>
            <w:tcW w:w="1300" w:type="dxa"/>
            <w:vAlign w:val="center"/>
          </w:tcPr>
          <w:p w:rsidR="0060150D" w:rsidRDefault="007F182B">
            <w:pPr>
              <w:jc w:val="center"/>
            </w:pPr>
            <w:r>
              <w:rPr>
                <w:color w:val="000000"/>
                <w:sz w:val="24"/>
              </w:rPr>
              <w:t>-</w:t>
            </w:r>
          </w:p>
        </w:tc>
        <w:tc>
          <w:tcPr>
            <w:tcW w:w="1245" w:type="dxa"/>
            <w:vAlign w:val="center"/>
          </w:tcPr>
          <w:p w:rsidR="0060150D" w:rsidRDefault="007F182B">
            <w:pPr>
              <w:jc w:val="center"/>
            </w:pPr>
            <w:r>
              <w:rPr>
                <w:color w:val="000000"/>
                <w:sz w:val="24"/>
              </w:rPr>
              <w:t>14</w:t>
            </w:r>
            <w:r>
              <w:rPr>
                <w:color w:val="000000"/>
                <w:sz w:val="24"/>
              </w:rPr>
              <w:t>年</w:t>
            </w:r>
          </w:p>
        </w:tc>
        <w:tc>
          <w:tcPr>
            <w:tcW w:w="3251" w:type="dxa"/>
            <w:vAlign w:val="center"/>
          </w:tcPr>
          <w:p w:rsidR="0060150D" w:rsidRDefault="007F182B">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w:t>
            </w:r>
            <w:r>
              <w:rPr>
                <w:color w:val="000000"/>
                <w:sz w:val="24"/>
              </w:rPr>
              <w:t>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w:t>
            </w:r>
            <w:r>
              <w:rPr>
                <w:color w:val="000000"/>
                <w:sz w:val="24"/>
              </w:rPr>
              <w:t>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w:t>
            </w:r>
          </w:p>
        </w:tc>
      </w:tr>
      <w:tr w:rsidR="0060150D">
        <w:trPr>
          <w:jc w:val="center"/>
        </w:trPr>
        <w:tc>
          <w:tcPr>
            <w:tcW w:w="946" w:type="dxa"/>
            <w:vAlign w:val="center"/>
          </w:tcPr>
          <w:p w:rsidR="0060150D" w:rsidRDefault="007F182B">
            <w:pPr>
              <w:jc w:val="center"/>
            </w:pPr>
            <w:r>
              <w:rPr>
                <w:color w:val="000000"/>
                <w:sz w:val="24"/>
              </w:rPr>
              <w:t>魏玉敏</w:t>
            </w:r>
          </w:p>
        </w:tc>
        <w:tc>
          <w:tcPr>
            <w:tcW w:w="924" w:type="dxa"/>
            <w:vAlign w:val="center"/>
          </w:tcPr>
          <w:p w:rsidR="0060150D" w:rsidRDefault="007F182B">
            <w:pPr>
              <w:jc w:val="center"/>
            </w:pPr>
            <w:r>
              <w:rPr>
                <w:color w:val="000000"/>
                <w:sz w:val="24"/>
              </w:rPr>
              <w:t>交银增利债券、交银纯债债券发起、交银丰润收益债券、交银增利增强债券、交银丰晟收益债券、交银裕如纯债债券、交银中债</w:t>
            </w:r>
            <w:r>
              <w:rPr>
                <w:color w:val="000000"/>
                <w:sz w:val="24"/>
              </w:rPr>
              <w:t>1-3</w:t>
            </w:r>
            <w:r>
              <w:rPr>
                <w:color w:val="000000"/>
                <w:sz w:val="24"/>
              </w:rPr>
              <w:t>年农发债指数、交银可转债债券、交银裕泰两年定期开放债券的基金经理</w:t>
            </w:r>
          </w:p>
        </w:tc>
        <w:tc>
          <w:tcPr>
            <w:tcW w:w="1202" w:type="dxa"/>
            <w:vAlign w:val="center"/>
          </w:tcPr>
          <w:p w:rsidR="0060150D" w:rsidRDefault="007F182B">
            <w:pPr>
              <w:jc w:val="center"/>
            </w:pPr>
            <w:r>
              <w:rPr>
                <w:color w:val="000000"/>
                <w:sz w:val="24"/>
              </w:rPr>
              <w:t>2018-08-29</w:t>
            </w:r>
          </w:p>
        </w:tc>
        <w:tc>
          <w:tcPr>
            <w:tcW w:w="1300" w:type="dxa"/>
            <w:vAlign w:val="center"/>
          </w:tcPr>
          <w:p w:rsidR="0060150D" w:rsidRDefault="007F182B">
            <w:pPr>
              <w:jc w:val="center"/>
            </w:pPr>
            <w:r>
              <w:rPr>
                <w:color w:val="000000"/>
                <w:sz w:val="24"/>
              </w:rPr>
              <w:t>-</w:t>
            </w:r>
          </w:p>
        </w:tc>
        <w:tc>
          <w:tcPr>
            <w:tcW w:w="1245" w:type="dxa"/>
            <w:vAlign w:val="center"/>
          </w:tcPr>
          <w:p w:rsidR="0060150D" w:rsidRDefault="007F182B">
            <w:pPr>
              <w:jc w:val="center"/>
            </w:pPr>
            <w:r>
              <w:rPr>
                <w:color w:val="000000"/>
                <w:sz w:val="24"/>
              </w:rPr>
              <w:t>8</w:t>
            </w:r>
            <w:r>
              <w:rPr>
                <w:color w:val="000000"/>
                <w:sz w:val="24"/>
              </w:rPr>
              <w:t>年</w:t>
            </w:r>
          </w:p>
        </w:tc>
        <w:tc>
          <w:tcPr>
            <w:tcW w:w="3251" w:type="dxa"/>
            <w:vAlign w:val="center"/>
          </w:tcPr>
          <w:p w:rsidR="0060150D" w:rsidRDefault="007F182B">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60150D" w:rsidRDefault="007F182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0150D" w:rsidRDefault="007F182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0150D" w:rsidRDefault="007F182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60150D" w:rsidRDefault="007F182B">
      <w:pPr>
        <w:spacing w:before="29" w:line="288" w:lineRule="auto"/>
        <w:ind w:firstLineChars="200" w:firstLine="480"/>
        <w:rPr>
          <w:color w:val="000000"/>
          <w:sz w:val="24"/>
        </w:rPr>
      </w:pPr>
      <w:r>
        <w:rPr>
          <w:color w:val="000000"/>
          <w:sz w:val="24"/>
        </w:rPr>
        <w:t>2020</w:t>
      </w:r>
      <w:r>
        <w:rPr>
          <w:color w:val="000000"/>
          <w:sz w:val="24"/>
        </w:rPr>
        <w:t>年二季度债券市场经历从牛陡到熊平的大幅波动，四月在应对国内外疫情，货币政策持续宽松的背景下，债券收益率大幅下行，由于资金持续宽松，短端利率下行幅度大于长端，曲线呈现明显陡峭化。进入五月，受到债券</w:t>
      </w:r>
      <w:r>
        <w:rPr>
          <w:color w:val="000000"/>
          <w:sz w:val="24"/>
        </w:rPr>
        <w:t>供给量增加、出口数据超预期以及海外疫情度过高峰重启复工的影响，债券收益率开启迅速上行，随着国内疫情的控制，货币政策退出非常规宽松操作，货币政策预期随之收紧，短端利率大幅上行，曲线呈现平坦化走熊态势。</w:t>
      </w:r>
    </w:p>
    <w:p w:rsidR="0060150D" w:rsidRDefault="007F182B">
      <w:pPr>
        <w:spacing w:before="29" w:line="288" w:lineRule="auto"/>
        <w:ind w:firstLineChars="200" w:firstLine="480"/>
        <w:rPr>
          <w:color w:val="000000"/>
          <w:sz w:val="24"/>
        </w:rPr>
      </w:pPr>
      <w:r>
        <w:rPr>
          <w:color w:val="000000"/>
          <w:sz w:val="24"/>
        </w:rPr>
        <w:t>报告期内，组合以信用债为主要配置，基于对宏观经济和政策的判断，在市场调整中，适当降低组合久期，同时组合保持一定的杠杆操作，并通过精选信用个券，增强组合收益。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2020</w:t>
      </w:r>
      <w:r w:rsidRPr="007F52FA">
        <w:rPr>
          <w:color w:val="000000"/>
          <w:sz w:val="24"/>
        </w:rPr>
        <w:t>年三季度，国内基本面复苏的节奏和政策的应对将成为影响债券市场的主要因素。短期来看基本面尚难以回到疫情前水平，但环比改善明显，货币政策逐渐从危机模式的宽货币转向总量政策适度的宽信用，经过二季度收益率大幅上行之后，债券资金重定价基本完成，债券市场或维持震荡的走势，信用债相对价值大于利率债。操作策略方面，我们关注信用债的票息机会，进一步挖掘信用债投资机会，并维持中等的杠杆水平，以期提升组合整体静态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5,422,070,500.00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96.44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5,422,070,500.00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96.44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79,229,643.60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1.41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121,139,432.45</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2.15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5,622,439,576.05</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45,022,500.00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164,792,000.00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4.03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164,792,000.00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4.03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153,585,000.00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3.75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124,215,000.00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3.03</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4,934,456,000.00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120.52</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5,422,070,500.00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132.43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60150D">
        <w:trPr>
          <w:jc w:val="center"/>
        </w:trPr>
        <w:tc>
          <w:tcPr>
            <w:tcW w:w="1075" w:type="dxa"/>
            <w:vAlign w:val="center"/>
          </w:tcPr>
          <w:p w:rsidR="0060150D" w:rsidRDefault="007F182B">
            <w:pPr>
              <w:jc w:val="center"/>
            </w:pPr>
            <w:r>
              <w:rPr>
                <w:color w:val="000000"/>
                <w:sz w:val="24"/>
              </w:rPr>
              <w:t>1</w:t>
            </w:r>
          </w:p>
        </w:tc>
        <w:tc>
          <w:tcPr>
            <w:tcW w:w="1533" w:type="dxa"/>
            <w:vAlign w:val="center"/>
          </w:tcPr>
          <w:p w:rsidR="0060150D" w:rsidRDefault="007F182B">
            <w:pPr>
              <w:jc w:val="center"/>
            </w:pPr>
            <w:r>
              <w:rPr>
                <w:color w:val="000000"/>
                <w:sz w:val="24"/>
              </w:rPr>
              <w:t>101800690</w:t>
            </w:r>
          </w:p>
        </w:tc>
        <w:tc>
          <w:tcPr>
            <w:tcW w:w="1533" w:type="dxa"/>
            <w:vAlign w:val="center"/>
          </w:tcPr>
          <w:p w:rsidR="0060150D" w:rsidRDefault="007F182B">
            <w:pPr>
              <w:jc w:val="center"/>
            </w:pPr>
            <w:r>
              <w:rPr>
                <w:color w:val="000000"/>
                <w:sz w:val="24"/>
              </w:rPr>
              <w:t>18</w:t>
            </w:r>
            <w:r>
              <w:rPr>
                <w:color w:val="000000"/>
                <w:sz w:val="24"/>
              </w:rPr>
              <w:t>江北新城</w:t>
            </w:r>
            <w:r>
              <w:rPr>
                <w:color w:val="000000"/>
                <w:sz w:val="24"/>
              </w:rPr>
              <w:t>MTN001</w:t>
            </w:r>
          </w:p>
        </w:tc>
        <w:tc>
          <w:tcPr>
            <w:tcW w:w="1394" w:type="dxa"/>
            <w:vAlign w:val="center"/>
          </w:tcPr>
          <w:p w:rsidR="0060150D" w:rsidRDefault="007F182B">
            <w:pPr>
              <w:jc w:val="right"/>
            </w:pPr>
            <w:r>
              <w:rPr>
                <w:color w:val="000000"/>
                <w:sz w:val="24"/>
              </w:rPr>
              <w:t>800,000</w:t>
            </w:r>
          </w:p>
        </w:tc>
        <w:tc>
          <w:tcPr>
            <w:tcW w:w="1944" w:type="dxa"/>
            <w:vAlign w:val="center"/>
          </w:tcPr>
          <w:p w:rsidR="0060150D" w:rsidRDefault="007F182B">
            <w:pPr>
              <w:jc w:val="right"/>
            </w:pPr>
            <w:r>
              <w:rPr>
                <w:color w:val="000000"/>
                <w:sz w:val="24"/>
              </w:rPr>
              <w:t>87,280,000.00</w:t>
            </w:r>
          </w:p>
        </w:tc>
        <w:tc>
          <w:tcPr>
            <w:tcW w:w="1389" w:type="dxa"/>
            <w:vAlign w:val="center"/>
          </w:tcPr>
          <w:p w:rsidR="0060150D" w:rsidRDefault="007F182B">
            <w:pPr>
              <w:jc w:val="right"/>
            </w:pPr>
            <w:r>
              <w:rPr>
                <w:color w:val="000000"/>
                <w:sz w:val="24"/>
              </w:rPr>
              <w:t>2.13</w:t>
            </w:r>
          </w:p>
        </w:tc>
      </w:tr>
      <w:tr w:rsidR="0060150D">
        <w:trPr>
          <w:jc w:val="center"/>
        </w:trPr>
        <w:tc>
          <w:tcPr>
            <w:tcW w:w="1075" w:type="dxa"/>
            <w:vAlign w:val="center"/>
          </w:tcPr>
          <w:p w:rsidR="0060150D" w:rsidRDefault="007F182B">
            <w:pPr>
              <w:jc w:val="center"/>
            </w:pPr>
            <w:r>
              <w:rPr>
                <w:color w:val="000000"/>
                <w:sz w:val="24"/>
              </w:rPr>
              <w:t>2</w:t>
            </w:r>
          </w:p>
        </w:tc>
        <w:tc>
          <w:tcPr>
            <w:tcW w:w="1533" w:type="dxa"/>
            <w:vAlign w:val="center"/>
          </w:tcPr>
          <w:p w:rsidR="0060150D" w:rsidRDefault="007F182B">
            <w:pPr>
              <w:jc w:val="center"/>
            </w:pPr>
            <w:r>
              <w:rPr>
                <w:color w:val="000000"/>
                <w:sz w:val="24"/>
              </w:rPr>
              <w:t>101800883</w:t>
            </w:r>
          </w:p>
        </w:tc>
        <w:tc>
          <w:tcPr>
            <w:tcW w:w="1533" w:type="dxa"/>
            <w:vAlign w:val="center"/>
          </w:tcPr>
          <w:p w:rsidR="0060150D" w:rsidRDefault="007F182B">
            <w:pPr>
              <w:jc w:val="center"/>
            </w:pPr>
            <w:r>
              <w:rPr>
                <w:color w:val="000000"/>
                <w:sz w:val="24"/>
              </w:rPr>
              <w:t>18</w:t>
            </w:r>
            <w:r>
              <w:rPr>
                <w:color w:val="000000"/>
                <w:sz w:val="24"/>
              </w:rPr>
              <w:t>江岸国资</w:t>
            </w:r>
            <w:r>
              <w:rPr>
                <w:color w:val="000000"/>
                <w:sz w:val="24"/>
              </w:rPr>
              <w:t>MTN001</w:t>
            </w:r>
          </w:p>
        </w:tc>
        <w:tc>
          <w:tcPr>
            <w:tcW w:w="1394" w:type="dxa"/>
            <w:vAlign w:val="center"/>
          </w:tcPr>
          <w:p w:rsidR="0060150D" w:rsidRDefault="007F182B">
            <w:pPr>
              <w:jc w:val="right"/>
            </w:pPr>
            <w:r>
              <w:rPr>
                <w:color w:val="000000"/>
                <w:sz w:val="24"/>
              </w:rPr>
              <w:t>800,000</w:t>
            </w:r>
          </w:p>
        </w:tc>
        <w:tc>
          <w:tcPr>
            <w:tcW w:w="1944" w:type="dxa"/>
            <w:vAlign w:val="center"/>
          </w:tcPr>
          <w:p w:rsidR="0060150D" w:rsidRDefault="007F182B">
            <w:pPr>
              <w:jc w:val="right"/>
            </w:pPr>
            <w:r>
              <w:rPr>
                <w:color w:val="000000"/>
                <w:sz w:val="24"/>
              </w:rPr>
              <w:t>85,184,000.00</w:t>
            </w:r>
          </w:p>
        </w:tc>
        <w:tc>
          <w:tcPr>
            <w:tcW w:w="1389" w:type="dxa"/>
            <w:vAlign w:val="center"/>
          </w:tcPr>
          <w:p w:rsidR="0060150D" w:rsidRDefault="007F182B">
            <w:pPr>
              <w:jc w:val="right"/>
            </w:pPr>
            <w:r>
              <w:rPr>
                <w:color w:val="000000"/>
                <w:sz w:val="24"/>
              </w:rPr>
              <w:t>2.08</w:t>
            </w:r>
          </w:p>
        </w:tc>
      </w:tr>
      <w:tr w:rsidR="0060150D">
        <w:trPr>
          <w:jc w:val="center"/>
        </w:trPr>
        <w:tc>
          <w:tcPr>
            <w:tcW w:w="1075" w:type="dxa"/>
            <w:vAlign w:val="center"/>
          </w:tcPr>
          <w:p w:rsidR="0060150D" w:rsidRDefault="007F182B">
            <w:pPr>
              <w:jc w:val="center"/>
            </w:pPr>
            <w:r>
              <w:rPr>
                <w:color w:val="000000"/>
                <w:sz w:val="24"/>
              </w:rPr>
              <w:t>3</w:t>
            </w:r>
          </w:p>
        </w:tc>
        <w:tc>
          <w:tcPr>
            <w:tcW w:w="1533" w:type="dxa"/>
            <w:vAlign w:val="center"/>
          </w:tcPr>
          <w:p w:rsidR="0060150D" w:rsidRDefault="007F182B">
            <w:pPr>
              <w:jc w:val="center"/>
            </w:pPr>
            <w:r>
              <w:rPr>
                <w:color w:val="000000"/>
                <w:sz w:val="24"/>
              </w:rPr>
              <w:t>018061</w:t>
            </w:r>
          </w:p>
        </w:tc>
        <w:tc>
          <w:tcPr>
            <w:tcW w:w="1533" w:type="dxa"/>
            <w:vAlign w:val="center"/>
          </w:tcPr>
          <w:p w:rsidR="0060150D" w:rsidRDefault="007F182B">
            <w:pPr>
              <w:jc w:val="center"/>
            </w:pPr>
            <w:r>
              <w:rPr>
                <w:color w:val="000000"/>
                <w:sz w:val="24"/>
              </w:rPr>
              <w:t>进出</w:t>
            </w:r>
            <w:r>
              <w:rPr>
                <w:color w:val="000000"/>
                <w:sz w:val="24"/>
              </w:rPr>
              <w:t>1911</w:t>
            </w:r>
          </w:p>
        </w:tc>
        <w:tc>
          <w:tcPr>
            <w:tcW w:w="1394" w:type="dxa"/>
            <w:vAlign w:val="center"/>
          </w:tcPr>
          <w:p w:rsidR="0060150D" w:rsidRDefault="007F182B">
            <w:pPr>
              <w:jc w:val="right"/>
            </w:pPr>
            <w:r>
              <w:rPr>
                <w:color w:val="000000"/>
                <w:sz w:val="24"/>
              </w:rPr>
              <w:t>850,000</w:t>
            </w:r>
          </w:p>
        </w:tc>
        <w:tc>
          <w:tcPr>
            <w:tcW w:w="1944" w:type="dxa"/>
            <w:vAlign w:val="center"/>
          </w:tcPr>
          <w:p w:rsidR="0060150D" w:rsidRDefault="007F182B">
            <w:pPr>
              <w:jc w:val="right"/>
            </w:pPr>
            <w:r>
              <w:rPr>
                <w:color w:val="000000"/>
                <w:sz w:val="24"/>
              </w:rPr>
              <w:t>85,068,000.00</w:t>
            </w:r>
          </w:p>
        </w:tc>
        <w:tc>
          <w:tcPr>
            <w:tcW w:w="1389" w:type="dxa"/>
            <w:vAlign w:val="center"/>
          </w:tcPr>
          <w:p w:rsidR="0060150D" w:rsidRDefault="007F182B">
            <w:pPr>
              <w:jc w:val="right"/>
            </w:pPr>
            <w:r>
              <w:rPr>
                <w:color w:val="000000"/>
                <w:sz w:val="24"/>
              </w:rPr>
              <w:t>2.08</w:t>
            </w:r>
          </w:p>
        </w:tc>
      </w:tr>
      <w:tr w:rsidR="0060150D">
        <w:trPr>
          <w:jc w:val="center"/>
        </w:trPr>
        <w:tc>
          <w:tcPr>
            <w:tcW w:w="1075" w:type="dxa"/>
            <w:vAlign w:val="center"/>
          </w:tcPr>
          <w:p w:rsidR="0060150D" w:rsidRDefault="007F182B">
            <w:pPr>
              <w:jc w:val="center"/>
            </w:pPr>
            <w:r>
              <w:rPr>
                <w:color w:val="000000"/>
                <w:sz w:val="24"/>
              </w:rPr>
              <w:t>4</w:t>
            </w:r>
          </w:p>
        </w:tc>
        <w:tc>
          <w:tcPr>
            <w:tcW w:w="1533" w:type="dxa"/>
            <w:vAlign w:val="center"/>
          </w:tcPr>
          <w:p w:rsidR="0060150D" w:rsidRDefault="007F182B">
            <w:pPr>
              <w:jc w:val="center"/>
            </w:pPr>
            <w:r>
              <w:rPr>
                <w:color w:val="000000"/>
                <w:sz w:val="24"/>
              </w:rPr>
              <w:t>101900216</w:t>
            </w:r>
          </w:p>
        </w:tc>
        <w:tc>
          <w:tcPr>
            <w:tcW w:w="1533" w:type="dxa"/>
            <w:vAlign w:val="center"/>
          </w:tcPr>
          <w:p w:rsidR="0060150D" w:rsidRDefault="007F182B">
            <w:pPr>
              <w:jc w:val="center"/>
            </w:pPr>
            <w:r>
              <w:rPr>
                <w:color w:val="000000"/>
                <w:sz w:val="24"/>
              </w:rPr>
              <w:t>19</w:t>
            </w:r>
            <w:r>
              <w:rPr>
                <w:color w:val="000000"/>
                <w:sz w:val="24"/>
              </w:rPr>
              <w:t>南浦口</w:t>
            </w:r>
            <w:r>
              <w:rPr>
                <w:color w:val="000000"/>
                <w:sz w:val="24"/>
              </w:rPr>
              <w:t>MTN001</w:t>
            </w:r>
          </w:p>
        </w:tc>
        <w:tc>
          <w:tcPr>
            <w:tcW w:w="1394" w:type="dxa"/>
            <w:vAlign w:val="center"/>
          </w:tcPr>
          <w:p w:rsidR="0060150D" w:rsidRDefault="007F182B">
            <w:pPr>
              <w:jc w:val="right"/>
            </w:pPr>
            <w:r>
              <w:rPr>
                <w:color w:val="000000"/>
                <w:sz w:val="24"/>
              </w:rPr>
              <w:t>700,000</w:t>
            </w:r>
          </w:p>
        </w:tc>
        <w:tc>
          <w:tcPr>
            <w:tcW w:w="1944" w:type="dxa"/>
            <w:vAlign w:val="center"/>
          </w:tcPr>
          <w:p w:rsidR="0060150D" w:rsidRDefault="007F182B">
            <w:pPr>
              <w:jc w:val="right"/>
            </w:pPr>
            <w:r>
              <w:rPr>
                <w:color w:val="000000"/>
                <w:sz w:val="24"/>
              </w:rPr>
              <w:t>71,582,000.00</w:t>
            </w:r>
          </w:p>
        </w:tc>
        <w:tc>
          <w:tcPr>
            <w:tcW w:w="1389" w:type="dxa"/>
            <w:vAlign w:val="center"/>
          </w:tcPr>
          <w:p w:rsidR="0060150D" w:rsidRDefault="007F182B">
            <w:pPr>
              <w:jc w:val="right"/>
            </w:pPr>
            <w:r>
              <w:rPr>
                <w:color w:val="000000"/>
                <w:sz w:val="24"/>
              </w:rPr>
              <w:t>1.75</w:t>
            </w:r>
          </w:p>
        </w:tc>
      </w:tr>
      <w:tr w:rsidR="0060150D">
        <w:trPr>
          <w:jc w:val="center"/>
        </w:trPr>
        <w:tc>
          <w:tcPr>
            <w:tcW w:w="1075" w:type="dxa"/>
            <w:vAlign w:val="center"/>
          </w:tcPr>
          <w:p w:rsidR="0060150D" w:rsidRDefault="007F182B">
            <w:pPr>
              <w:jc w:val="center"/>
            </w:pPr>
            <w:r>
              <w:rPr>
                <w:color w:val="000000"/>
                <w:sz w:val="24"/>
              </w:rPr>
              <w:t>5</w:t>
            </w:r>
          </w:p>
        </w:tc>
        <w:tc>
          <w:tcPr>
            <w:tcW w:w="1533" w:type="dxa"/>
            <w:vAlign w:val="center"/>
          </w:tcPr>
          <w:p w:rsidR="0060150D" w:rsidRDefault="007F182B">
            <w:pPr>
              <w:jc w:val="center"/>
            </w:pPr>
            <w:r>
              <w:rPr>
                <w:color w:val="000000"/>
                <w:sz w:val="24"/>
              </w:rPr>
              <w:t>101800586</w:t>
            </w:r>
          </w:p>
        </w:tc>
        <w:tc>
          <w:tcPr>
            <w:tcW w:w="1533" w:type="dxa"/>
            <w:vAlign w:val="center"/>
          </w:tcPr>
          <w:p w:rsidR="0060150D" w:rsidRDefault="007F182B">
            <w:pPr>
              <w:jc w:val="center"/>
            </w:pPr>
            <w:r>
              <w:rPr>
                <w:color w:val="000000"/>
                <w:sz w:val="24"/>
              </w:rPr>
              <w:t>18</w:t>
            </w:r>
            <w:r>
              <w:rPr>
                <w:color w:val="000000"/>
                <w:sz w:val="24"/>
              </w:rPr>
              <w:t>宝城投</w:t>
            </w:r>
            <w:r>
              <w:rPr>
                <w:color w:val="000000"/>
                <w:sz w:val="24"/>
              </w:rPr>
              <w:t>MTN001</w:t>
            </w:r>
          </w:p>
        </w:tc>
        <w:tc>
          <w:tcPr>
            <w:tcW w:w="1394" w:type="dxa"/>
            <w:vAlign w:val="center"/>
          </w:tcPr>
          <w:p w:rsidR="0060150D" w:rsidRDefault="007F182B">
            <w:pPr>
              <w:jc w:val="right"/>
            </w:pPr>
            <w:r>
              <w:rPr>
                <w:color w:val="000000"/>
                <w:sz w:val="24"/>
              </w:rPr>
              <w:t>600,000</w:t>
            </w:r>
          </w:p>
        </w:tc>
        <w:tc>
          <w:tcPr>
            <w:tcW w:w="1944" w:type="dxa"/>
            <w:vAlign w:val="center"/>
          </w:tcPr>
          <w:p w:rsidR="0060150D" w:rsidRDefault="007F182B">
            <w:pPr>
              <w:jc w:val="right"/>
            </w:pPr>
            <w:r>
              <w:rPr>
                <w:color w:val="000000"/>
                <w:sz w:val="24"/>
              </w:rPr>
              <w:t>64,392,000.00</w:t>
            </w:r>
          </w:p>
        </w:tc>
        <w:tc>
          <w:tcPr>
            <w:tcW w:w="1389" w:type="dxa"/>
            <w:vAlign w:val="center"/>
          </w:tcPr>
          <w:p w:rsidR="0060150D" w:rsidRDefault="007F182B">
            <w:pPr>
              <w:jc w:val="right"/>
            </w:pPr>
            <w:r>
              <w:rPr>
                <w:color w:val="000000"/>
                <w:sz w:val="24"/>
              </w:rPr>
              <w:t>1.57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D00E04">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D00E04">
        <w:rPr>
          <w:b/>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D00E04">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5"/>
        <w:gridCol w:w="2774"/>
        <w:gridCol w:w="4849"/>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25,160.01</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20,530,766.51</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91,575,840.77</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9,007,615.16</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50.00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121,139,432.45</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交银纯债债券发起</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交银纯债债券发起</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2,287,085,042.23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173,515,962.22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2,052,266,851.74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645,693,938.15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887,115,201.22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461,395,098.74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3,452,236,692.75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357,814,801.63</w:t>
            </w:r>
          </w:p>
        </w:tc>
      </w:tr>
    </w:tbl>
    <w:p w:rsidR="0060150D" w:rsidRDefault="007F182B">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B47574" w:rsidRPr="007F52FA" w:rsidRDefault="00B47574" w:rsidP="000A2988">
      <w:pPr>
        <w:pStyle w:val="1"/>
        <w:spacing w:beforeLines="100" w:before="312" w:afterLines="100" w:after="312" w:line="288" w:lineRule="auto"/>
        <w:jc w:val="center"/>
        <w:rPr>
          <w:rFonts w:eastAsiaTheme="minorEastAsia"/>
          <w:b w:val="0"/>
          <w:color w:val="000000"/>
          <w:sz w:val="24"/>
          <w:szCs w:val="24"/>
        </w:rPr>
      </w:pPr>
      <w:r w:rsidRPr="007F52FA">
        <w:rPr>
          <w:rFonts w:eastAsiaTheme="minorEastAsia"/>
          <w:color w:val="000000"/>
          <w:kern w:val="0"/>
          <w:sz w:val="24"/>
          <w:szCs w:val="24"/>
        </w:rPr>
        <w:t xml:space="preserve">§8  </w:t>
      </w:r>
      <w:r w:rsidR="00EA7533" w:rsidRPr="007F52FA">
        <w:rPr>
          <w:rFonts w:eastAsiaTheme="minorEastAsia"/>
          <w:color w:val="000000"/>
          <w:kern w:val="0"/>
          <w:sz w:val="24"/>
          <w:szCs w:val="24"/>
        </w:rPr>
        <w:t>报告期末</w:t>
      </w:r>
      <w:r w:rsidRPr="007F52FA">
        <w:rPr>
          <w:rFonts w:eastAsiaTheme="minorEastAsia"/>
          <w:color w:val="000000"/>
          <w:kern w:val="0"/>
          <w:sz w:val="24"/>
          <w:szCs w:val="24"/>
        </w:rPr>
        <w:t>发起式基金发起资金持有份额情况</w:t>
      </w:r>
    </w:p>
    <w:p w:rsidR="00B47574" w:rsidRPr="007F52FA" w:rsidRDefault="00B4757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基金管理人于本基金募集期内运用固有资金认购本基金份额</w:t>
      </w:r>
      <w:r w:rsidRPr="007F52FA">
        <w:rPr>
          <w:rFonts w:eastAsiaTheme="minorEastAsia"/>
          <w:color w:val="000000"/>
          <w:sz w:val="24"/>
        </w:rPr>
        <w:t>10,000,000.00</w:t>
      </w:r>
      <w:r w:rsidRPr="007F52FA">
        <w:rPr>
          <w:rFonts w:eastAsiaTheme="minorEastAsia"/>
          <w:color w:val="000000"/>
          <w:sz w:val="24"/>
        </w:rPr>
        <w:t>元人民币（不含募集期利息结转的份额），作为本基金的发起资金。自本基金基金合同生效之日起，发起资金所认购的基金份额持有期限不低于三年。本基金管理人持有的发起份额已于</w:t>
      </w:r>
      <w:r w:rsidRPr="007F52FA">
        <w:rPr>
          <w:rFonts w:eastAsiaTheme="minorEastAsia"/>
          <w:color w:val="000000"/>
          <w:sz w:val="24"/>
        </w:rPr>
        <w:t>2017</w:t>
      </w:r>
      <w:r w:rsidRPr="007F52FA">
        <w:rPr>
          <w:rFonts w:eastAsiaTheme="minorEastAsia"/>
          <w:color w:val="000000"/>
          <w:sz w:val="24"/>
        </w:rPr>
        <w:t>年一季度全部赎回，相应份额的持有期限符合基金合同的约定。</w:t>
      </w:r>
    </w:p>
    <w:p w:rsidR="00574FC7" w:rsidRPr="007F52FA" w:rsidRDefault="00574FC7"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60150D" w:rsidRDefault="007F182B">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、中国证监会批准交银施罗德纯债债券型发起式证券投资基金募集的文件；</w:t>
      </w:r>
      <w:r>
        <w:rPr>
          <w:rFonts w:eastAsiaTheme="minorEastAsia"/>
          <w:color w:val="000000"/>
          <w:sz w:val="24"/>
        </w:rPr>
        <w:t xml:space="preserve"> </w:t>
      </w:r>
    </w:p>
    <w:p w:rsidR="0060150D" w:rsidRDefault="007F182B">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、《交银施罗德纯债债券型发起式证券投资基金基金合同》；</w:t>
      </w:r>
      <w:r>
        <w:rPr>
          <w:rFonts w:eastAsiaTheme="minorEastAsia"/>
          <w:color w:val="000000"/>
          <w:sz w:val="24"/>
        </w:rPr>
        <w:t xml:space="preserve"> </w:t>
      </w:r>
    </w:p>
    <w:p w:rsidR="0060150D" w:rsidRDefault="007F182B">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、《交银施罗德纯债债券型发起式证券投资基金招募说明书》；</w:t>
      </w:r>
      <w:r>
        <w:rPr>
          <w:rFonts w:eastAsiaTheme="minorEastAsia"/>
          <w:color w:val="000000"/>
          <w:sz w:val="24"/>
        </w:rPr>
        <w:t xml:space="preserve"> </w:t>
      </w:r>
    </w:p>
    <w:p w:rsidR="0060150D" w:rsidRDefault="007F182B">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、《交银施罗德纯债债券型发起式证券投资基金托管协议》；</w:t>
      </w:r>
      <w:r>
        <w:rPr>
          <w:rFonts w:eastAsiaTheme="minorEastAsia"/>
          <w:color w:val="000000"/>
          <w:sz w:val="24"/>
        </w:rPr>
        <w:t xml:space="preserve"> </w:t>
      </w:r>
    </w:p>
    <w:p w:rsidR="0060150D" w:rsidRDefault="007F182B">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、关于募集交银施罗德纯债债券型发起式证券投资基金之法律意见书；</w:t>
      </w:r>
      <w:r>
        <w:rPr>
          <w:rFonts w:eastAsiaTheme="minorEastAsia"/>
          <w:color w:val="000000"/>
          <w:sz w:val="24"/>
        </w:rPr>
        <w:t xml:space="preserve"> </w:t>
      </w:r>
    </w:p>
    <w:p w:rsidR="0060150D" w:rsidRDefault="007F182B">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60150D" w:rsidRDefault="007F182B">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、报告期内交银施罗德纯债债券型发起式证券投资基金在指定报刊上各项公告的原稿。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60150D" w:rsidRDefault="007F182B">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B1A" w:rsidRDefault="00B86B1A">
      <w:r>
        <w:separator/>
      </w:r>
    </w:p>
  </w:endnote>
  <w:endnote w:type="continuationSeparator" w:id="0">
    <w:p w:rsidR="00B86B1A" w:rsidRDefault="00B8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黑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7F182B">
      <w:rPr>
        <w:noProof/>
        <w:kern w:val="0"/>
        <w:szCs w:val="21"/>
      </w:rPr>
      <w:t>2</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7F182B">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B1A" w:rsidRDefault="00B86B1A">
      <w:r>
        <w:separator/>
      </w:r>
    </w:p>
  </w:footnote>
  <w:footnote w:type="continuationSeparator" w:id="0">
    <w:p w:rsidR="00B86B1A" w:rsidRDefault="00B86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交银施罗德纯债债券型发起式证券投资基金</w:t>
    </w:r>
    <w:r w:rsidRPr="00D3445F">
      <w:rPr>
        <w:rFonts w:eastAsiaTheme="minorEastAsia"/>
        <w:sz w:val="24"/>
      </w:rPr>
      <w:t>2020</w:t>
    </w:r>
    <w:r w:rsidRPr="00D3445F">
      <w:rPr>
        <w:rFonts w:eastAsiaTheme="minorEastAsia"/>
        <w:sz w:val="24"/>
      </w:rPr>
      <w:t>年第</w:t>
    </w:r>
    <w:r w:rsidRPr="00D3445F">
      <w:rPr>
        <w:rFonts w:eastAsiaTheme="minorEastAsia"/>
        <w:sz w:val="24"/>
      </w:rPr>
      <w:t>2</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793"/>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4653"/>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50D"/>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182B"/>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86B1A"/>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0E04"/>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76497-40FB-4E85-B269-776126C08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244</TotalTime>
  <Pages>14</Pages>
  <Words>1215</Words>
  <Characters>6928</Characters>
  <Application>Microsoft Office Word</Application>
  <DocSecurity>0</DocSecurity>
  <Lines>57</Lines>
  <Paragraphs>16</Paragraphs>
  <ScaleCrop>false</ScaleCrop>
  <Company>TRT. Ltd. Co.</Company>
  <LinksUpToDate>false</LinksUpToDate>
  <CharactersWithSpaces>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biz-cailiqun</cp:lastModifiedBy>
  <cp:revision>405</cp:revision>
  <cp:lastPrinted>2007-07-19T00:46:00Z</cp:lastPrinted>
  <dcterms:created xsi:type="dcterms:W3CDTF">2014-01-17T06:19:00Z</dcterms:created>
  <dcterms:modified xsi:type="dcterms:W3CDTF">2020-07-10T11:56:00Z</dcterms:modified>
</cp:coreProperties>
</file>