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交银施罗德创新成长混合型证券投资基金</w:t>
      </w:r>
    </w:p>
    <w:p w:rsidR="002279D3" w:rsidRPr="0081286B" w:rsidRDefault="002279D3" w:rsidP="00C15CAC">
      <w:pPr>
        <w:spacing w:before="29" w:line="288" w:lineRule="auto"/>
        <w:jc w:val="center"/>
        <w:rPr>
          <w:b/>
          <w:sz w:val="36"/>
          <w:szCs w:val="36"/>
        </w:rPr>
      </w:pPr>
      <w:r w:rsidRPr="0081286B">
        <w:rPr>
          <w:b/>
          <w:sz w:val="36"/>
          <w:szCs w:val="36"/>
        </w:rPr>
        <w:t>2020</w:t>
      </w:r>
      <w:r w:rsidRPr="0081286B">
        <w:rPr>
          <w:b/>
          <w:sz w:val="36"/>
          <w:szCs w:val="36"/>
        </w:rPr>
        <w:t>年第</w:t>
      </w:r>
      <w:r w:rsidRPr="0081286B">
        <w:rPr>
          <w:b/>
          <w:sz w:val="36"/>
          <w:szCs w:val="36"/>
        </w:rPr>
        <w:t>2</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2020</w:t>
      </w:r>
      <w:r w:rsidRPr="0081286B">
        <w:rPr>
          <w:b/>
          <w:sz w:val="36"/>
          <w:szCs w:val="36"/>
        </w:rPr>
        <w:t>年</w:t>
      </w:r>
      <w:r w:rsidRPr="0081286B">
        <w:rPr>
          <w:b/>
          <w:sz w:val="36"/>
          <w:szCs w:val="36"/>
        </w:rPr>
        <w:t>6</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基金托管人：中信银行股份有限公司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DC456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81286B">
        <w:rPr>
          <w:b/>
          <w:color w:val="000000"/>
          <w:sz w:val="24"/>
          <w:szCs w:val="24"/>
        </w:rPr>
        <w:t>报告送出日期：</w:t>
      </w:r>
      <w:r w:rsidR="00F16E3F" w:rsidRPr="0081286B">
        <w:rPr>
          <w:b/>
          <w:color w:val="000000"/>
          <w:sz w:val="24"/>
          <w:szCs w:val="24"/>
        </w:rPr>
        <w:t>二〇二〇年七月二十一日</w:t>
      </w:r>
    </w:p>
    <w:p w:rsidR="004061AC" w:rsidRPr="00414345" w:rsidRDefault="004061AC" w:rsidP="0011537B">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5B4AC3" w:rsidRDefault="006E0904">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5B4AC3" w:rsidRDefault="006E0904">
      <w:pPr>
        <w:spacing w:before="29" w:line="288" w:lineRule="auto"/>
        <w:ind w:firstLineChars="200" w:firstLine="480"/>
        <w:rPr>
          <w:color w:val="000000"/>
          <w:sz w:val="24"/>
          <w:szCs w:val="24"/>
        </w:rPr>
      </w:pPr>
      <w:r>
        <w:rPr>
          <w:color w:val="000000"/>
          <w:sz w:val="24"/>
          <w:szCs w:val="24"/>
        </w:rPr>
        <w:t>基金托管人中信银行股份有限公司根据本基金合同规定，于</w:t>
      </w:r>
      <w:r>
        <w:rPr>
          <w:color w:val="000000"/>
          <w:sz w:val="24"/>
          <w:szCs w:val="24"/>
        </w:rPr>
        <w:t>2020</w:t>
      </w:r>
      <w:r>
        <w:rPr>
          <w:color w:val="000000"/>
          <w:sz w:val="24"/>
          <w:szCs w:val="24"/>
        </w:rPr>
        <w:t>年</w:t>
      </w:r>
      <w:r>
        <w:rPr>
          <w:color w:val="000000"/>
          <w:sz w:val="24"/>
          <w:szCs w:val="24"/>
        </w:rPr>
        <w:t>7</w:t>
      </w:r>
      <w:r>
        <w:rPr>
          <w:color w:val="000000"/>
          <w:sz w:val="24"/>
          <w:szCs w:val="24"/>
        </w:rPr>
        <w:t>月</w:t>
      </w:r>
      <w:r>
        <w:rPr>
          <w:color w:val="000000"/>
          <w:sz w:val="24"/>
          <w:szCs w:val="24"/>
        </w:rPr>
        <w:t>20</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5B4AC3" w:rsidRDefault="006E0904">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5B4AC3" w:rsidRDefault="006E0904">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5B4AC3" w:rsidRDefault="006E0904">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2020</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交银创新成长混合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006223</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006223</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2018</w:t>
            </w:r>
            <w:r w:rsidRPr="00414345">
              <w:rPr>
                <w:color w:val="000000"/>
                <w:kern w:val="0"/>
                <w:sz w:val="24"/>
                <w:szCs w:val="24"/>
              </w:rPr>
              <w:t>年</w:t>
            </w:r>
            <w:r w:rsidRPr="00414345">
              <w:rPr>
                <w:color w:val="000000"/>
                <w:kern w:val="0"/>
                <w:sz w:val="24"/>
                <w:szCs w:val="24"/>
              </w:rPr>
              <w:t>9</w:t>
            </w:r>
            <w:r w:rsidRPr="00414345">
              <w:rPr>
                <w:color w:val="000000"/>
                <w:kern w:val="0"/>
                <w:sz w:val="24"/>
                <w:szCs w:val="24"/>
              </w:rPr>
              <w:t>月</w:t>
            </w:r>
            <w:r w:rsidRPr="00414345">
              <w:rPr>
                <w:color w:val="000000"/>
                <w:kern w:val="0"/>
                <w:sz w:val="24"/>
                <w:szCs w:val="24"/>
              </w:rPr>
              <w:t>27</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340,644,726.50</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本基金通过优化资产配置和灵活运用多种投资策略，把握港股通资本市场开放政策下的投资机会，力争实现基金资产的稳定增值。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将综合考虑国家经济政策、经济周期、各行业的相对估值水平和行业竞争格局等因素，运用修正后的投资时钟分析框架，自上而下调整基金大类资产配置和股票行业配置策略，确定债券组合久期和债券类别配置；在严谨深入的股票和债券研究分析基础上，自下而上精选个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沪深</w:t>
            </w:r>
            <w:r w:rsidRPr="00414345">
              <w:rPr>
                <w:color w:val="000000"/>
                <w:kern w:val="0"/>
                <w:sz w:val="24"/>
                <w:szCs w:val="24"/>
              </w:rPr>
              <w:t>300</w:t>
            </w:r>
            <w:r w:rsidRPr="00414345">
              <w:rPr>
                <w:color w:val="000000"/>
                <w:kern w:val="0"/>
                <w:sz w:val="24"/>
                <w:szCs w:val="24"/>
              </w:rPr>
              <w:t>指数收益率</w:t>
            </w:r>
            <w:r w:rsidRPr="00414345">
              <w:rPr>
                <w:color w:val="000000"/>
                <w:kern w:val="0"/>
                <w:sz w:val="24"/>
                <w:szCs w:val="24"/>
              </w:rPr>
              <w:t>×50%+</w:t>
            </w:r>
            <w:r w:rsidRPr="00414345">
              <w:rPr>
                <w:color w:val="000000"/>
                <w:kern w:val="0"/>
                <w:sz w:val="24"/>
                <w:szCs w:val="24"/>
              </w:rPr>
              <w:t>恒生指数收益率</w:t>
            </w:r>
            <w:r w:rsidRPr="00414345">
              <w:rPr>
                <w:color w:val="000000"/>
                <w:kern w:val="0"/>
                <w:sz w:val="24"/>
                <w:szCs w:val="24"/>
              </w:rPr>
              <w:t>×30%+</w:t>
            </w:r>
            <w:r w:rsidRPr="00414345">
              <w:rPr>
                <w:color w:val="000000"/>
                <w:kern w:val="0"/>
                <w:sz w:val="24"/>
                <w:szCs w:val="24"/>
              </w:rPr>
              <w:t>中证综合债券指数收益率</w:t>
            </w:r>
            <w:r w:rsidRPr="00414345">
              <w:rPr>
                <w:color w:val="000000"/>
                <w:kern w:val="0"/>
                <w:sz w:val="24"/>
                <w:szCs w:val="24"/>
              </w:rPr>
              <w:t>×20%</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vAlign w:val="center"/>
          </w:tcPr>
          <w:p w:rsidR="005B4AC3" w:rsidRDefault="006E0904">
            <w:pPr>
              <w:adjustRightInd w:val="0"/>
              <w:spacing w:before="29" w:line="288" w:lineRule="auto"/>
              <w:ind w:left="17"/>
              <w:jc w:val="left"/>
              <w:rPr>
                <w:color w:val="000000"/>
                <w:sz w:val="24"/>
                <w:szCs w:val="24"/>
              </w:rPr>
            </w:pPr>
            <w:r>
              <w:rPr>
                <w:color w:val="000000"/>
                <w:kern w:val="0"/>
                <w:sz w:val="24"/>
                <w:szCs w:val="24"/>
              </w:rPr>
              <w:t>本基金是一只混合型基金，其预期风险和预期收益高</w:t>
            </w:r>
            <w:r>
              <w:rPr>
                <w:color w:val="000000"/>
                <w:kern w:val="0"/>
                <w:sz w:val="24"/>
                <w:szCs w:val="24"/>
              </w:rPr>
              <w:lastRenderedPageBreak/>
              <w:t>于债券型基金和货币市场基金，低于股票型基金。</w:t>
            </w:r>
          </w:p>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本基金可投资港股通标的股票，会面临港股通机制下因投资环境、投资标的、市场制度以及交易规则等差异带来的特有风险。</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基金管理人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中信银行股份有限公司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6E0904" w:rsidRPr="00414345" w:rsidTr="006E0904">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(2020</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-2020</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6E0904" w:rsidRPr="00414345" w:rsidTr="006E0904">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8,383,892.48</w:t>
            </w:r>
          </w:p>
        </w:tc>
      </w:tr>
      <w:tr w:rsidR="006E0904" w:rsidRPr="00414345" w:rsidTr="006E0904">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120,249,531.97</w:t>
            </w:r>
          </w:p>
        </w:tc>
      </w:tr>
      <w:tr w:rsidR="006E0904" w:rsidRPr="00414345" w:rsidTr="006E0904">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0.4459</w:t>
            </w:r>
          </w:p>
        </w:tc>
      </w:tr>
      <w:tr w:rsidR="006E0904" w:rsidRPr="00414345" w:rsidTr="006E0904">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693,288,915.50</w:t>
            </w:r>
          </w:p>
        </w:tc>
      </w:tr>
      <w:tr w:rsidR="006E0904" w:rsidRPr="00414345" w:rsidTr="006E0904">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2.0352</w:t>
            </w:r>
          </w:p>
        </w:tc>
      </w:tr>
    </w:tbl>
    <w:p w:rsidR="005B4AC3" w:rsidRDefault="006E0904">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5B4AC3">
        <w:trPr>
          <w:jc w:val="center"/>
        </w:trPr>
        <w:tc>
          <w:tcPr>
            <w:tcW w:w="1701" w:type="dxa"/>
            <w:vAlign w:val="center"/>
          </w:tcPr>
          <w:p w:rsidR="005B4AC3" w:rsidRDefault="006E0904">
            <w:pPr>
              <w:jc w:val="left"/>
            </w:pPr>
            <w:r>
              <w:rPr>
                <w:color w:val="000000"/>
                <w:sz w:val="24"/>
                <w:szCs w:val="24"/>
              </w:rPr>
              <w:t>过去三个月</w:t>
            </w:r>
          </w:p>
        </w:tc>
        <w:tc>
          <w:tcPr>
            <w:tcW w:w="1045" w:type="dxa"/>
            <w:vAlign w:val="center"/>
          </w:tcPr>
          <w:p w:rsidR="005B4AC3" w:rsidRDefault="006E0904">
            <w:pPr>
              <w:jc w:val="center"/>
            </w:pPr>
            <w:r>
              <w:rPr>
                <w:color w:val="000000"/>
                <w:sz w:val="24"/>
                <w:szCs w:val="24"/>
              </w:rPr>
              <w:t>26.82%</w:t>
            </w:r>
          </w:p>
        </w:tc>
        <w:tc>
          <w:tcPr>
            <w:tcW w:w="1344" w:type="dxa"/>
            <w:vAlign w:val="center"/>
          </w:tcPr>
          <w:p w:rsidR="005B4AC3" w:rsidRDefault="006E0904">
            <w:pPr>
              <w:jc w:val="center"/>
            </w:pPr>
            <w:r>
              <w:rPr>
                <w:color w:val="000000"/>
                <w:sz w:val="24"/>
                <w:szCs w:val="24"/>
              </w:rPr>
              <w:t>1.16%</w:t>
            </w:r>
          </w:p>
        </w:tc>
        <w:tc>
          <w:tcPr>
            <w:tcW w:w="1194" w:type="dxa"/>
            <w:vAlign w:val="center"/>
          </w:tcPr>
          <w:p w:rsidR="005B4AC3" w:rsidRDefault="006E0904">
            <w:pPr>
              <w:jc w:val="center"/>
            </w:pPr>
            <w:r>
              <w:rPr>
                <w:color w:val="000000"/>
                <w:sz w:val="24"/>
                <w:szCs w:val="24"/>
              </w:rPr>
              <w:t>7.45%</w:t>
            </w:r>
          </w:p>
        </w:tc>
        <w:tc>
          <w:tcPr>
            <w:tcW w:w="1492" w:type="dxa"/>
            <w:vAlign w:val="center"/>
          </w:tcPr>
          <w:p w:rsidR="005B4AC3" w:rsidRDefault="006E0904">
            <w:pPr>
              <w:jc w:val="center"/>
            </w:pPr>
            <w:r>
              <w:rPr>
                <w:color w:val="000000"/>
                <w:sz w:val="24"/>
                <w:szCs w:val="24"/>
              </w:rPr>
              <w:t>0.86%</w:t>
            </w:r>
          </w:p>
        </w:tc>
        <w:tc>
          <w:tcPr>
            <w:tcW w:w="1194" w:type="dxa"/>
            <w:vAlign w:val="center"/>
          </w:tcPr>
          <w:p w:rsidR="005B4AC3" w:rsidRDefault="006E0904">
            <w:pPr>
              <w:jc w:val="center"/>
            </w:pPr>
            <w:r>
              <w:rPr>
                <w:color w:val="000000"/>
                <w:sz w:val="24"/>
                <w:szCs w:val="24"/>
              </w:rPr>
              <w:t>19.37%</w:t>
            </w:r>
          </w:p>
        </w:tc>
        <w:tc>
          <w:tcPr>
            <w:tcW w:w="898" w:type="dxa"/>
            <w:vAlign w:val="center"/>
          </w:tcPr>
          <w:p w:rsidR="005B4AC3" w:rsidRDefault="006E0904">
            <w:pPr>
              <w:jc w:val="center"/>
            </w:pPr>
            <w:r>
              <w:rPr>
                <w:color w:val="000000"/>
                <w:sz w:val="24"/>
                <w:szCs w:val="24"/>
              </w:rPr>
              <w:t>0.30%</w:t>
            </w:r>
          </w:p>
        </w:tc>
      </w:tr>
      <w:tr w:rsidR="005B4AC3">
        <w:trPr>
          <w:jc w:val="center"/>
        </w:trPr>
        <w:tc>
          <w:tcPr>
            <w:tcW w:w="1701" w:type="dxa"/>
            <w:vAlign w:val="center"/>
          </w:tcPr>
          <w:p w:rsidR="005B4AC3" w:rsidRDefault="006E0904">
            <w:pPr>
              <w:jc w:val="left"/>
            </w:pPr>
            <w:r>
              <w:rPr>
                <w:color w:val="000000"/>
                <w:sz w:val="24"/>
                <w:szCs w:val="24"/>
              </w:rPr>
              <w:t>过去六个月</w:t>
            </w:r>
          </w:p>
        </w:tc>
        <w:tc>
          <w:tcPr>
            <w:tcW w:w="1045" w:type="dxa"/>
            <w:vAlign w:val="center"/>
          </w:tcPr>
          <w:p w:rsidR="005B4AC3" w:rsidRDefault="006E0904">
            <w:pPr>
              <w:jc w:val="center"/>
            </w:pPr>
            <w:r>
              <w:rPr>
                <w:color w:val="000000"/>
                <w:sz w:val="24"/>
                <w:szCs w:val="24"/>
              </w:rPr>
              <w:t>35.11%</w:t>
            </w:r>
          </w:p>
        </w:tc>
        <w:tc>
          <w:tcPr>
            <w:tcW w:w="1344" w:type="dxa"/>
            <w:vAlign w:val="center"/>
          </w:tcPr>
          <w:p w:rsidR="005B4AC3" w:rsidRDefault="006E0904">
            <w:pPr>
              <w:jc w:val="center"/>
            </w:pPr>
            <w:r>
              <w:rPr>
                <w:color w:val="000000"/>
                <w:sz w:val="24"/>
                <w:szCs w:val="24"/>
              </w:rPr>
              <w:t>1.77%</w:t>
            </w:r>
          </w:p>
        </w:tc>
        <w:tc>
          <w:tcPr>
            <w:tcW w:w="1194" w:type="dxa"/>
            <w:vAlign w:val="center"/>
          </w:tcPr>
          <w:p w:rsidR="005B4AC3" w:rsidRDefault="006E0904">
            <w:pPr>
              <w:jc w:val="center"/>
            </w:pPr>
            <w:r>
              <w:rPr>
                <w:color w:val="000000"/>
                <w:sz w:val="24"/>
                <w:szCs w:val="24"/>
              </w:rPr>
              <w:t>-2.62%</w:t>
            </w:r>
          </w:p>
        </w:tc>
        <w:tc>
          <w:tcPr>
            <w:tcW w:w="1492" w:type="dxa"/>
            <w:vAlign w:val="center"/>
          </w:tcPr>
          <w:p w:rsidR="005B4AC3" w:rsidRDefault="006E0904">
            <w:pPr>
              <w:jc w:val="center"/>
            </w:pPr>
            <w:r>
              <w:rPr>
                <w:color w:val="000000"/>
                <w:sz w:val="24"/>
                <w:szCs w:val="24"/>
              </w:rPr>
              <w:t>1.24%</w:t>
            </w:r>
          </w:p>
        </w:tc>
        <w:tc>
          <w:tcPr>
            <w:tcW w:w="1194" w:type="dxa"/>
            <w:vAlign w:val="center"/>
          </w:tcPr>
          <w:p w:rsidR="005B4AC3" w:rsidRDefault="006E0904">
            <w:pPr>
              <w:jc w:val="center"/>
            </w:pPr>
            <w:r>
              <w:rPr>
                <w:color w:val="000000"/>
                <w:sz w:val="24"/>
                <w:szCs w:val="24"/>
              </w:rPr>
              <w:t>37.73%</w:t>
            </w:r>
          </w:p>
        </w:tc>
        <w:tc>
          <w:tcPr>
            <w:tcW w:w="898" w:type="dxa"/>
            <w:vAlign w:val="center"/>
          </w:tcPr>
          <w:p w:rsidR="005B4AC3" w:rsidRDefault="006E0904">
            <w:pPr>
              <w:jc w:val="center"/>
            </w:pPr>
            <w:r>
              <w:rPr>
                <w:color w:val="000000"/>
                <w:sz w:val="24"/>
                <w:szCs w:val="24"/>
              </w:rPr>
              <w:t>0.53%</w:t>
            </w:r>
          </w:p>
        </w:tc>
      </w:tr>
      <w:tr w:rsidR="005B4AC3">
        <w:trPr>
          <w:jc w:val="center"/>
        </w:trPr>
        <w:tc>
          <w:tcPr>
            <w:tcW w:w="1701" w:type="dxa"/>
            <w:vAlign w:val="center"/>
          </w:tcPr>
          <w:p w:rsidR="005B4AC3" w:rsidRDefault="006E0904">
            <w:pPr>
              <w:jc w:val="left"/>
            </w:pPr>
            <w:r>
              <w:rPr>
                <w:color w:val="000000"/>
                <w:sz w:val="24"/>
                <w:szCs w:val="24"/>
              </w:rPr>
              <w:t>过去一年</w:t>
            </w:r>
          </w:p>
        </w:tc>
        <w:tc>
          <w:tcPr>
            <w:tcW w:w="1045" w:type="dxa"/>
            <w:vAlign w:val="center"/>
          </w:tcPr>
          <w:p w:rsidR="005B4AC3" w:rsidRDefault="006E0904">
            <w:pPr>
              <w:jc w:val="center"/>
            </w:pPr>
            <w:r>
              <w:rPr>
                <w:color w:val="000000"/>
                <w:sz w:val="24"/>
                <w:szCs w:val="24"/>
              </w:rPr>
              <w:t>62.63%</w:t>
            </w:r>
          </w:p>
        </w:tc>
        <w:tc>
          <w:tcPr>
            <w:tcW w:w="1344" w:type="dxa"/>
            <w:vAlign w:val="center"/>
          </w:tcPr>
          <w:p w:rsidR="005B4AC3" w:rsidRDefault="006E0904">
            <w:pPr>
              <w:jc w:val="center"/>
            </w:pPr>
            <w:r>
              <w:rPr>
                <w:color w:val="000000"/>
                <w:sz w:val="24"/>
                <w:szCs w:val="24"/>
              </w:rPr>
              <w:t>1.44%</w:t>
            </w:r>
          </w:p>
        </w:tc>
        <w:tc>
          <w:tcPr>
            <w:tcW w:w="1194" w:type="dxa"/>
            <w:vAlign w:val="center"/>
          </w:tcPr>
          <w:p w:rsidR="005B4AC3" w:rsidRDefault="006E0904">
            <w:pPr>
              <w:jc w:val="center"/>
            </w:pPr>
            <w:r>
              <w:rPr>
                <w:color w:val="000000"/>
                <w:sz w:val="24"/>
                <w:szCs w:val="24"/>
              </w:rPr>
              <w:t>1.08%</w:t>
            </w:r>
          </w:p>
        </w:tc>
        <w:tc>
          <w:tcPr>
            <w:tcW w:w="1492" w:type="dxa"/>
            <w:vAlign w:val="center"/>
          </w:tcPr>
          <w:p w:rsidR="005B4AC3" w:rsidRDefault="006E0904">
            <w:pPr>
              <w:jc w:val="center"/>
            </w:pPr>
            <w:r>
              <w:rPr>
                <w:color w:val="000000"/>
                <w:sz w:val="24"/>
                <w:szCs w:val="24"/>
              </w:rPr>
              <w:t>0.98%</w:t>
            </w:r>
          </w:p>
        </w:tc>
        <w:tc>
          <w:tcPr>
            <w:tcW w:w="1194" w:type="dxa"/>
            <w:vAlign w:val="center"/>
          </w:tcPr>
          <w:p w:rsidR="005B4AC3" w:rsidRDefault="006E0904">
            <w:pPr>
              <w:jc w:val="center"/>
            </w:pPr>
            <w:r>
              <w:rPr>
                <w:color w:val="000000"/>
                <w:sz w:val="24"/>
                <w:szCs w:val="24"/>
              </w:rPr>
              <w:t>61.55%</w:t>
            </w:r>
          </w:p>
        </w:tc>
        <w:tc>
          <w:tcPr>
            <w:tcW w:w="898" w:type="dxa"/>
            <w:vAlign w:val="center"/>
          </w:tcPr>
          <w:p w:rsidR="005B4AC3" w:rsidRDefault="006E0904">
            <w:pPr>
              <w:jc w:val="center"/>
            </w:pPr>
            <w:r>
              <w:rPr>
                <w:color w:val="000000"/>
                <w:sz w:val="24"/>
                <w:szCs w:val="24"/>
              </w:rPr>
              <w:t>0.46%</w:t>
            </w:r>
          </w:p>
        </w:tc>
      </w:tr>
      <w:tr w:rsidR="005B4AC3">
        <w:trPr>
          <w:jc w:val="center"/>
        </w:trPr>
        <w:tc>
          <w:tcPr>
            <w:tcW w:w="1701" w:type="dxa"/>
            <w:vAlign w:val="center"/>
          </w:tcPr>
          <w:p w:rsidR="005B4AC3" w:rsidRDefault="006E0904">
            <w:pPr>
              <w:jc w:val="left"/>
            </w:pPr>
            <w:r>
              <w:rPr>
                <w:color w:val="000000"/>
                <w:sz w:val="24"/>
                <w:szCs w:val="24"/>
              </w:rPr>
              <w:t>自基金合同生效起至今</w:t>
            </w:r>
          </w:p>
        </w:tc>
        <w:tc>
          <w:tcPr>
            <w:tcW w:w="1045" w:type="dxa"/>
            <w:vAlign w:val="center"/>
          </w:tcPr>
          <w:p w:rsidR="005B4AC3" w:rsidRDefault="006E0904">
            <w:pPr>
              <w:jc w:val="center"/>
            </w:pPr>
            <w:r>
              <w:rPr>
                <w:color w:val="000000"/>
                <w:sz w:val="24"/>
                <w:szCs w:val="24"/>
              </w:rPr>
              <w:t>103.52%</w:t>
            </w:r>
          </w:p>
        </w:tc>
        <w:tc>
          <w:tcPr>
            <w:tcW w:w="1344" w:type="dxa"/>
            <w:vAlign w:val="center"/>
          </w:tcPr>
          <w:p w:rsidR="005B4AC3" w:rsidRDefault="006E0904">
            <w:pPr>
              <w:jc w:val="center"/>
            </w:pPr>
            <w:r>
              <w:rPr>
                <w:color w:val="000000"/>
                <w:sz w:val="24"/>
                <w:szCs w:val="24"/>
              </w:rPr>
              <w:t>1.38%</w:t>
            </w:r>
          </w:p>
        </w:tc>
        <w:tc>
          <w:tcPr>
            <w:tcW w:w="1194" w:type="dxa"/>
            <w:vAlign w:val="center"/>
          </w:tcPr>
          <w:p w:rsidR="005B4AC3" w:rsidRDefault="006E0904">
            <w:pPr>
              <w:jc w:val="center"/>
            </w:pPr>
            <w:r>
              <w:rPr>
                <w:color w:val="000000"/>
                <w:sz w:val="24"/>
                <w:szCs w:val="24"/>
              </w:rPr>
              <w:t>9.31%</w:t>
            </w:r>
          </w:p>
        </w:tc>
        <w:tc>
          <w:tcPr>
            <w:tcW w:w="1492" w:type="dxa"/>
            <w:vAlign w:val="center"/>
          </w:tcPr>
          <w:p w:rsidR="005B4AC3" w:rsidRDefault="006E0904">
            <w:pPr>
              <w:jc w:val="center"/>
            </w:pPr>
            <w:r>
              <w:rPr>
                <w:color w:val="000000"/>
                <w:sz w:val="24"/>
                <w:szCs w:val="24"/>
              </w:rPr>
              <w:t>1.02%</w:t>
            </w:r>
          </w:p>
        </w:tc>
        <w:tc>
          <w:tcPr>
            <w:tcW w:w="1194" w:type="dxa"/>
            <w:vAlign w:val="center"/>
          </w:tcPr>
          <w:p w:rsidR="005B4AC3" w:rsidRDefault="006E0904">
            <w:pPr>
              <w:jc w:val="center"/>
            </w:pPr>
            <w:r>
              <w:rPr>
                <w:color w:val="000000"/>
                <w:sz w:val="24"/>
                <w:szCs w:val="24"/>
              </w:rPr>
              <w:t>94.21%</w:t>
            </w:r>
          </w:p>
        </w:tc>
        <w:tc>
          <w:tcPr>
            <w:tcW w:w="898" w:type="dxa"/>
            <w:vAlign w:val="center"/>
          </w:tcPr>
          <w:p w:rsidR="005B4AC3" w:rsidRDefault="006E0904">
            <w:pPr>
              <w:jc w:val="center"/>
            </w:pPr>
            <w:r>
              <w:rPr>
                <w:color w:val="000000"/>
                <w:sz w:val="24"/>
                <w:szCs w:val="24"/>
              </w:rPr>
              <w:t>0.36%</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lastRenderedPageBreak/>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交银施罗德创新成长混合型证券投资基金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2018</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9</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27</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2020</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6</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5B4AC3">
        <w:trPr>
          <w:jc w:val="center"/>
        </w:trPr>
        <w:tc>
          <w:tcPr>
            <w:tcW w:w="846" w:type="dxa"/>
            <w:vAlign w:val="center"/>
          </w:tcPr>
          <w:p w:rsidR="005B4AC3" w:rsidRDefault="006E0904">
            <w:pPr>
              <w:jc w:val="center"/>
            </w:pPr>
            <w:r>
              <w:rPr>
                <w:color w:val="000000"/>
                <w:sz w:val="24"/>
                <w:szCs w:val="24"/>
              </w:rPr>
              <w:t>周中</w:t>
            </w:r>
          </w:p>
        </w:tc>
        <w:tc>
          <w:tcPr>
            <w:tcW w:w="845" w:type="dxa"/>
            <w:vAlign w:val="center"/>
          </w:tcPr>
          <w:p w:rsidR="005B4AC3" w:rsidRDefault="006E0904">
            <w:pPr>
              <w:jc w:val="center"/>
            </w:pPr>
            <w:r>
              <w:rPr>
                <w:color w:val="000000"/>
                <w:sz w:val="24"/>
                <w:szCs w:val="24"/>
              </w:rPr>
              <w:t>交银环球精选混合</w:t>
            </w:r>
            <w:r>
              <w:rPr>
                <w:color w:val="000000"/>
                <w:sz w:val="24"/>
                <w:szCs w:val="24"/>
              </w:rPr>
              <w:t>(QDII)</w:t>
            </w:r>
            <w:r>
              <w:rPr>
                <w:color w:val="000000"/>
                <w:sz w:val="24"/>
                <w:szCs w:val="24"/>
              </w:rPr>
              <w:t>、交银创新成长混</w:t>
            </w:r>
            <w:r>
              <w:rPr>
                <w:color w:val="000000"/>
                <w:sz w:val="24"/>
                <w:szCs w:val="24"/>
              </w:rPr>
              <w:lastRenderedPageBreak/>
              <w:t>合的基金经理</w:t>
            </w:r>
          </w:p>
        </w:tc>
        <w:tc>
          <w:tcPr>
            <w:tcW w:w="1549" w:type="dxa"/>
            <w:vAlign w:val="center"/>
          </w:tcPr>
          <w:p w:rsidR="005B4AC3" w:rsidRDefault="006E0904">
            <w:pPr>
              <w:jc w:val="center"/>
            </w:pPr>
            <w:r>
              <w:rPr>
                <w:color w:val="000000"/>
                <w:sz w:val="24"/>
                <w:szCs w:val="24"/>
              </w:rPr>
              <w:lastRenderedPageBreak/>
              <w:t>2018-09-27</w:t>
            </w:r>
          </w:p>
        </w:tc>
        <w:tc>
          <w:tcPr>
            <w:tcW w:w="1548" w:type="dxa"/>
            <w:vAlign w:val="center"/>
          </w:tcPr>
          <w:p w:rsidR="005B4AC3" w:rsidRDefault="006E0904">
            <w:pPr>
              <w:jc w:val="center"/>
            </w:pPr>
            <w:r>
              <w:rPr>
                <w:color w:val="000000"/>
                <w:sz w:val="24"/>
                <w:szCs w:val="24"/>
              </w:rPr>
              <w:t>-</w:t>
            </w:r>
          </w:p>
        </w:tc>
        <w:tc>
          <w:tcPr>
            <w:tcW w:w="1407" w:type="dxa"/>
            <w:vAlign w:val="center"/>
          </w:tcPr>
          <w:p w:rsidR="005B4AC3" w:rsidRDefault="006E0904">
            <w:pPr>
              <w:jc w:val="center"/>
            </w:pPr>
            <w:r>
              <w:rPr>
                <w:color w:val="000000"/>
                <w:sz w:val="24"/>
                <w:szCs w:val="24"/>
              </w:rPr>
              <w:t>11</w:t>
            </w:r>
            <w:r>
              <w:rPr>
                <w:color w:val="000000"/>
                <w:sz w:val="24"/>
                <w:szCs w:val="24"/>
              </w:rPr>
              <w:t>年</w:t>
            </w:r>
          </w:p>
        </w:tc>
        <w:tc>
          <w:tcPr>
            <w:tcW w:w="2673" w:type="dxa"/>
            <w:vAlign w:val="center"/>
          </w:tcPr>
          <w:p w:rsidR="005B4AC3" w:rsidRDefault="006E0904">
            <w:r>
              <w:rPr>
                <w:color w:val="000000"/>
                <w:sz w:val="24"/>
                <w:szCs w:val="24"/>
              </w:rPr>
              <w:t>周中先生，中国国籍，复旦大学金融学硕士。历任野村证券亚太区股票研究部研究助理，中银国际证券研究部研究员、高级经理，瑞银证券研究部行业分析师、董事。</w:t>
            </w:r>
            <w:r>
              <w:rPr>
                <w:color w:val="000000"/>
                <w:sz w:val="24"/>
                <w:szCs w:val="24"/>
              </w:rPr>
              <w:t>2015</w:t>
            </w:r>
            <w:r>
              <w:rPr>
                <w:color w:val="000000"/>
                <w:sz w:val="24"/>
                <w:szCs w:val="24"/>
              </w:rPr>
              <w:t>年加入交银施罗德基金管理有限公</w:t>
            </w:r>
            <w:r>
              <w:rPr>
                <w:color w:val="000000"/>
                <w:sz w:val="24"/>
                <w:szCs w:val="24"/>
              </w:rPr>
              <w:lastRenderedPageBreak/>
              <w:t>司。</w:t>
            </w:r>
            <w:r>
              <w:rPr>
                <w:color w:val="000000"/>
                <w:sz w:val="24"/>
                <w:szCs w:val="24"/>
              </w:rPr>
              <w:t>2015</w:t>
            </w:r>
            <w:r>
              <w:rPr>
                <w:color w:val="000000"/>
                <w:sz w:val="24"/>
                <w:szCs w:val="24"/>
              </w:rPr>
              <w:t>年</w:t>
            </w:r>
            <w:r>
              <w:rPr>
                <w:color w:val="000000"/>
                <w:sz w:val="24"/>
                <w:szCs w:val="24"/>
              </w:rPr>
              <w:t>12</w:t>
            </w:r>
            <w:r>
              <w:rPr>
                <w:color w:val="000000"/>
                <w:sz w:val="24"/>
                <w:szCs w:val="24"/>
              </w:rPr>
              <w:t>月</w:t>
            </w:r>
            <w:r>
              <w:rPr>
                <w:color w:val="000000"/>
                <w:sz w:val="24"/>
                <w:szCs w:val="24"/>
              </w:rPr>
              <w:t>12</w:t>
            </w:r>
            <w:r>
              <w:rPr>
                <w:color w:val="000000"/>
                <w:sz w:val="24"/>
                <w:szCs w:val="24"/>
              </w:rPr>
              <w:t>日至</w:t>
            </w:r>
            <w:r>
              <w:rPr>
                <w:color w:val="000000"/>
                <w:sz w:val="24"/>
                <w:szCs w:val="24"/>
              </w:rPr>
              <w:t>2019</w:t>
            </w:r>
            <w:r>
              <w:rPr>
                <w:color w:val="000000"/>
                <w:sz w:val="24"/>
                <w:szCs w:val="24"/>
              </w:rPr>
              <w:t>年</w:t>
            </w:r>
            <w:r>
              <w:rPr>
                <w:color w:val="000000"/>
                <w:sz w:val="24"/>
                <w:szCs w:val="24"/>
              </w:rPr>
              <w:t>9</w:t>
            </w:r>
            <w:r>
              <w:rPr>
                <w:color w:val="000000"/>
                <w:sz w:val="24"/>
                <w:szCs w:val="24"/>
              </w:rPr>
              <w:t>月</w:t>
            </w:r>
            <w:r>
              <w:rPr>
                <w:color w:val="000000"/>
                <w:sz w:val="24"/>
                <w:szCs w:val="24"/>
              </w:rPr>
              <w:t>19</w:t>
            </w:r>
            <w:r>
              <w:rPr>
                <w:color w:val="000000"/>
                <w:sz w:val="24"/>
                <w:szCs w:val="24"/>
              </w:rPr>
              <w:t>日担任交银施罗德全球自然资源证券投资基金的基金经理。</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lastRenderedPageBreak/>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5B4AC3" w:rsidRDefault="006E0904">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5B4AC3" w:rsidRDefault="006E0904">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5B4AC3" w:rsidRDefault="006E0904">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5B4AC3" w:rsidRDefault="006E0904">
      <w:pPr>
        <w:spacing w:before="29" w:line="288" w:lineRule="auto"/>
        <w:ind w:firstLineChars="200" w:firstLine="480"/>
        <w:rPr>
          <w:color w:val="000000"/>
          <w:sz w:val="24"/>
          <w:szCs w:val="24"/>
        </w:rPr>
      </w:pPr>
      <w:r>
        <w:rPr>
          <w:color w:val="000000"/>
          <w:sz w:val="24"/>
          <w:szCs w:val="24"/>
        </w:rPr>
        <w:t>2020</w:t>
      </w:r>
      <w:r>
        <w:rPr>
          <w:color w:val="000000"/>
          <w:sz w:val="24"/>
          <w:szCs w:val="24"/>
        </w:rPr>
        <w:t>年二季度</w:t>
      </w:r>
      <w:r>
        <w:rPr>
          <w:color w:val="000000"/>
          <w:sz w:val="24"/>
          <w:szCs w:val="24"/>
        </w:rPr>
        <w:t>A</w:t>
      </w:r>
      <w:r>
        <w:rPr>
          <w:color w:val="000000"/>
          <w:sz w:val="24"/>
          <w:szCs w:val="24"/>
        </w:rPr>
        <w:t>股市场和</w:t>
      </w:r>
      <w:r>
        <w:rPr>
          <w:color w:val="000000"/>
          <w:sz w:val="24"/>
          <w:szCs w:val="24"/>
        </w:rPr>
        <w:t>H</w:t>
      </w:r>
      <w:r>
        <w:rPr>
          <w:color w:val="000000"/>
          <w:sz w:val="24"/>
          <w:szCs w:val="24"/>
        </w:rPr>
        <w:t>股市场均出现了比较明显的复苏。</w:t>
      </w:r>
      <w:r>
        <w:rPr>
          <w:color w:val="000000"/>
          <w:sz w:val="24"/>
          <w:szCs w:val="24"/>
        </w:rPr>
        <w:t>A</w:t>
      </w:r>
      <w:r>
        <w:rPr>
          <w:color w:val="000000"/>
          <w:sz w:val="24"/>
          <w:szCs w:val="24"/>
        </w:rPr>
        <w:t>股创业板指数表现较好，港股市场以科技互联网为主的板块表现较好。整体来看，成长型股票大幅跑赢价值型股票，两者估值差距进一步拉开。</w:t>
      </w:r>
    </w:p>
    <w:p w:rsidR="005B4AC3" w:rsidRDefault="006E0904">
      <w:pPr>
        <w:spacing w:before="29" w:line="288" w:lineRule="auto"/>
        <w:ind w:firstLineChars="200" w:firstLine="480"/>
        <w:rPr>
          <w:color w:val="000000"/>
          <w:sz w:val="24"/>
          <w:szCs w:val="24"/>
        </w:rPr>
      </w:pPr>
      <w:r>
        <w:rPr>
          <w:color w:val="000000"/>
          <w:sz w:val="24"/>
          <w:szCs w:val="24"/>
        </w:rPr>
        <w:t>本基金二季度整体仓位波动不大，主要配置于互联网、计算机软件、食品饮料和电子行业。</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三季度，我们认为充裕的流动性已经将市场推到一个较高的位置，未来市场预计将转向更加重视基本面和企业业绩的阶段。未来阿尔法行情可能将主导市场走势。我们将重点放在个股的选择上，力求实现超额收益。目前全球经济的不确定性增加，可能会在今年显著影响股票市场的走势。我们将持续关注那些在疫情冲击之下核心竞争力较强，韧性优秀的上市公司，在下一轮经济的企稳回升过程中，这样的企业往往能够提供较好的超额回报。我们将积极寻找具有较好成长性的行业和优质的上市公司，在合适的价格买入，坚持自下而上精选个股的投资策略，力争为投资者创造较好的收益。</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本基金（各类）份额净值及业绩表现请见</w:t>
      </w:r>
      <w:r w:rsidRPr="00414345">
        <w:rPr>
          <w:color w:val="000000"/>
          <w:sz w:val="24"/>
          <w:szCs w:val="24"/>
        </w:rPr>
        <w:t>“3.1</w:t>
      </w:r>
      <w:r w:rsidRPr="00414345">
        <w:rPr>
          <w:color w:val="000000"/>
          <w:sz w:val="24"/>
          <w:szCs w:val="24"/>
        </w:rPr>
        <w:t>主要财务指标</w:t>
      </w:r>
      <w:r w:rsidRPr="00414345">
        <w:rPr>
          <w:color w:val="000000"/>
          <w:sz w:val="24"/>
          <w:szCs w:val="24"/>
        </w:rPr>
        <w:t xml:space="preserve">” </w:t>
      </w:r>
      <w:r w:rsidRPr="00414345">
        <w:rPr>
          <w:color w:val="000000"/>
          <w:sz w:val="24"/>
          <w:szCs w:val="24"/>
        </w:rPr>
        <w:t>及</w:t>
      </w:r>
      <w:r w:rsidRPr="00414345">
        <w:rPr>
          <w:color w:val="000000"/>
          <w:sz w:val="24"/>
          <w:szCs w:val="24"/>
        </w:rPr>
        <w:t xml:space="preserve">“3.2.1 </w:t>
      </w:r>
      <w:r w:rsidRPr="00414345">
        <w:rPr>
          <w:color w:val="000000"/>
          <w:sz w:val="24"/>
          <w:szCs w:val="24"/>
        </w:rPr>
        <w:t>本报告期基金份额净值增长率及其与同期业绩比较基准收益率的比较</w:t>
      </w:r>
      <w:r w:rsidRPr="00414345">
        <w:rPr>
          <w:color w:val="000000"/>
          <w:sz w:val="24"/>
          <w:szCs w:val="24"/>
        </w:rPr>
        <w:t>”</w:t>
      </w:r>
      <w:r w:rsidRPr="00414345">
        <w:rPr>
          <w:color w:val="000000"/>
          <w:sz w:val="24"/>
          <w:szCs w:val="24"/>
        </w:rPr>
        <w:t>部分披露。</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R="00BF0019" w:rsidRDefault="00BF0019" w:rsidP="00BF0019">
      <w:pPr>
        <w:autoSpaceDE w:val="0"/>
        <w:autoSpaceDN w:val="0"/>
        <w:adjustRightInd w:val="0"/>
        <w:spacing w:line="360" w:lineRule="auto"/>
        <w:jc w:val="left"/>
        <w:rPr>
          <w:rFonts w:eastAsiaTheme="minorEastAsia"/>
          <w:b/>
          <w:color w:val="000000" w:themeColor="text1"/>
          <w:kern w:val="0"/>
          <w:sz w:val="24"/>
          <w:szCs w:val="24"/>
        </w:rPr>
      </w:pPr>
      <w:r w:rsidRPr="007B5F21">
        <w:rPr>
          <w:rFonts w:eastAsiaTheme="minorEastAsia"/>
          <w:b/>
          <w:color w:val="000000" w:themeColor="text1"/>
          <w:kern w:val="0"/>
          <w:sz w:val="24"/>
          <w:szCs w:val="24"/>
        </w:rPr>
        <w:t xml:space="preserve">5.1 </w:t>
      </w:r>
      <w:r w:rsidRPr="007B5F21">
        <w:rPr>
          <w:rFonts w:eastAsiaTheme="minorEastAsia"/>
          <w:b/>
          <w:color w:val="000000" w:themeColor="text1"/>
          <w:kern w:val="0"/>
          <w:sz w:val="24"/>
          <w:szCs w:val="24"/>
        </w:rPr>
        <w:t>报告期末基金资产组合情况</w:t>
      </w:r>
    </w:p>
    <w:p w:rsidR="006B5F69" w:rsidRPr="007B5F21" w:rsidRDefault="009C1009" w:rsidP="009C1009">
      <w:pPr>
        <w:autoSpaceDE w:val="0"/>
        <w:autoSpaceDN w:val="0"/>
        <w:adjustRightInd w:val="0"/>
        <w:spacing w:line="360" w:lineRule="auto"/>
        <w:jc w:val="right"/>
        <w:rPr>
          <w:rFonts w:eastAsiaTheme="minorEastAsia"/>
          <w:b/>
          <w:color w:val="000000" w:themeColor="text1"/>
          <w:kern w:val="0"/>
          <w:sz w:val="24"/>
          <w:szCs w:val="24"/>
        </w:rPr>
      </w:pPr>
      <w:r w:rsidRPr="009C1009">
        <w:rPr>
          <w:rFonts w:hint="eastAsia"/>
          <w:color w:val="000000"/>
          <w:kern w:val="0"/>
        </w:rPr>
        <w:t>金额单位：人民币元</w:t>
      </w:r>
    </w:p>
    <w:tbl>
      <w:tblPr>
        <w:tblStyle w:val="af7"/>
        <w:tblW w:w="8897" w:type="dxa"/>
        <w:tblInd w:w="108" w:type="dxa"/>
        <w:tblLayout w:type="fixed"/>
        <w:tblLook w:val="04A0" w:firstRow="1" w:lastRow="0" w:firstColumn="1" w:lastColumn="0" w:noHBand="0" w:noVBand="1"/>
      </w:tblPr>
      <w:tblGrid>
        <w:gridCol w:w="720"/>
        <w:gridCol w:w="2682"/>
        <w:gridCol w:w="2552"/>
        <w:gridCol w:w="2943"/>
      </w:tblGrid>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序号</w:t>
            </w:r>
          </w:p>
        </w:tc>
        <w:tc>
          <w:tcPr>
            <w:tcW w:w="268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项目</w:t>
            </w:r>
          </w:p>
        </w:tc>
        <w:tc>
          <w:tcPr>
            <w:tcW w:w="255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金额</w:t>
            </w:r>
          </w:p>
        </w:tc>
        <w:tc>
          <w:tcPr>
            <w:tcW w:w="2943"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占基金总资产的比例</w:t>
            </w:r>
            <w:r w:rsidR="0018138B">
              <w:rPr>
                <w:rFonts w:eastAsiaTheme="minorEastAsia" w:hint="eastAsia"/>
                <w:color w:val="000000" w:themeColor="text1"/>
                <w:sz w:val="24"/>
                <w:szCs w:val="24"/>
              </w:rPr>
              <w:t>(</w:t>
            </w:r>
            <w:r w:rsidR="0018138B">
              <w:rPr>
                <w:rFonts w:eastAsiaTheme="minorEastAsia"/>
                <w:color w:val="000000" w:themeColor="text1"/>
                <w:sz w:val="24"/>
                <w:szCs w:val="24"/>
              </w:rPr>
              <w:t>%</w:t>
            </w:r>
            <w:r w:rsidR="0018138B">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1</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权益投资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584,651,724.86</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81.12</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其中：股票</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584,651,724.86</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81.12</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2</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ascii="宋体" w:hAnsi="宋体" w:hint="eastAsia"/>
                <w:sz w:val="24"/>
                <w:szCs w:val="24"/>
              </w:rPr>
              <w:t>基金投资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3</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固定收益投资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74,000.00</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0.01</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其中：债券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74,000.00</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0.01</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7B5F21">
            <w:pPr>
              <w:autoSpaceDE w:val="0"/>
              <w:autoSpaceDN w:val="0"/>
              <w:adjustRightInd w:val="0"/>
              <w:spacing w:before="29" w:line="360" w:lineRule="auto"/>
              <w:ind w:left="17" w:firstLineChars="300" w:firstLine="720"/>
              <w:jc w:val="left"/>
              <w:rPr>
                <w:rFonts w:eastAsiaTheme="minorEastAsia"/>
                <w:color w:val="000000" w:themeColor="text1"/>
                <w:sz w:val="24"/>
                <w:szCs w:val="24"/>
              </w:rPr>
            </w:pPr>
            <w:r w:rsidRPr="007B5F21">
              <w:rPr>
                <w:rFonts w:eastAsiaTheme="minorEastAsia"/>
                <w:color w:val="000000" w:themeColor="text1"/>
                <w:sz w:val="24"/>
                <w:szCs w:val="24"/>
              </w:rPr>
              <w:t>资产支持证券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4</w:t>
            </w:r>
          </w:p>
        </w:tc>
        <w:tc>
          <w:tcPr>
            <w:tcW w:w="2682" w:type="dxa"/>
            <w:vAlign w:val="center"/>
          </w:tcPr>
          <w:p w:rsidR="00BF0019" w:rsidRPr="007B5F21" w:rsidRDefault="00BF0019" w:rsidP="002D2971">
            <w:pPr>
              <w:spacing w:before="29" w:line="360" w:lineRule="auto"/>
              <w:ind w:leftChars="50" w:left="105"/>
              <w:rPr>
                <w:rFonts w:eastAsiaTheme="minorEastAsia"/>
                <w:color w:val="000000" w:themeColor="text1"/>
                <w:sz w:val="24"/>
                <w:szCs w:val="24"/>
              </w:rPr>
            </w:pPr>
            <w:r w:rsidRPr="007B5F21">
              <w:rPr>
                <w:rFonts w:eastAsiaTheme="minorEastAsia"/>
                <w:color w:val="000000" w:themeColor="text1"/>
                <w:sz w:val="24"/>
                <w:szCs w:val="24"/>
              </w:rPr>
              <w:t>贵金属投资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5</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金融衍生品投资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6</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其中：买断式回购的买入返售金融资产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7</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银行存款和结算备付金合计</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70,525,621.61</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9.79</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8</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其他各项资产</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65,478,204.54</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9.08</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9</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合计</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720,729,551.01</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Default="00F51C4E" w:rsidP="00F51C4E">
      <w:pPr>
        <w:rPr>
          <w:rFonts w:eastAsiaTheme="minorEastAsia"/>
          <w:b/>
          <w:color w:val="000000" w:themeColor="text1"/>
          <w:kern w:val="0"/>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7B2639" w:rsidRPr="007B2639" w:rsidRDefault="009C1009" w:rsidP="009C1009">
      <w:pPr>
        <w:jc w:val="right"/>
        <w:rPr>
          <w:sz w:val="24"/>
        </w:rPr>
      </w:pPr>
      <w:r w:rsidRPr="009C1009">
        <w:rPr>
          <w:rFonts w:eastAsiaTheme="minorEastAsia" w:hint="eastAsia"/>
          <w:color w:val="000000" w:themeColor="text1"/>
          <w:kern w:val="0"/>
          <w:sz w:val="24"/>
        </w:rPr>
        <w:t>金额单位：人民币元</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B11F31" w:rsidP="00C15CAC">
            <w:pPr>
              <w:adjustRightInd w:val="0"/>
              <w:snapToGrid w:val="0"/>
              <w:spacing w:before="29" w:line="288" w:lineRule="auto"/>
              <w:jc w:val="center"/>
              <w:rPr>
                <w:sz w:val="24"/>
                <w:szCs w:val="24"/>
              </w:rPr>
            </w:pPr>
            <w:r>
              <w:rPr>
                <w:sz w:val="24"/>
                <w:szCs w:val="24"/>
              </w:rPr>
              <w:t>公允价值</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13,320,000.00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1.92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12,372,000.00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1.78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236,916,745.59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34.17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12,766.32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13,454,000.00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1.94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84,163,929.51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12.14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6,744,000.00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0.97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5,570,000.00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0.80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6,762,000.00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0.98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4,449,000.00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0.64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13,875,000.00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13,037,587.60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1.88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410,677,029.02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59.24</w:t>
            </w:r>
          </w:p>
        </w:tc>
      </w:tr>
    </w:tbl>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7"/>
        <w:gridCol w:w="3119"/>
        <w:gridCol w:w="3118"/>
      </w:tblGrid>
      <w:tr w:rsidR="00F51C4E" w:rsidRPr="00FF0BBF" w:rsidTr="00AD114B">
        <w:trPr>
          <w:jc w:val="center"/>
        </w:trPr>
        <w:tc>
          <w:tcPr>
            <w:tcW w:w="2397" w:type="dxa"/>
            <w:vAlign w:val="center"/>
          </w:tcPr>
          <w:p w:rsidR="00F51C4E" w:rsidRPr="00FF0BBF" w:rsidRDefault="00F51C4E" w:rsidP="00AD114B">
            <w:pPr>
              <w:spacing w:before="29" w:line="360" w:lineRule="auto"/>
              <w:ind w:left="17"/>
              <w:jc w:val="center"/>
              <w:rPr>
                <w:color w:val="000000"/>
                <w:sz w:val="24"/>
              </w:rPr>
            </w:pPr>
            <w:r w:rsidRPr="00FF0BBF">
              <w:rPr>
                <w:rFonts w:hint="eastAsia"/>
                <w:color w:val="000000"/>
                <w:sz w:val="24"/>
              </w:rPr>
              <w:t>行业类别</w:t>
            </w:r>
          </w:p>
        </w:tc>
        <w:tc>
          <w:tcPr>
            <w:tcW w:w="3119" w:type="dxa"/>
            <w:vAlign w:val="center"/>
          </w:tcPr>
          <w:p w:rsidR="00F51C4E" w:rsidRPr="00FF0BBF" w:rsidRDefault="00F51C4E" w:rsidP="00AD114B">
            <w:pPr>
              <w:spacing w:before="29" w:line="360" w:lineRule="auto"/>
              <w:ind w:left="17"/>
              <w:jc w:val="center"/>
              <w:rPr>
                <w:color w:val="000000"/>
                <w:sz w:val="24"/>
              </w:rPr>
            </w:pPr>
            <w:r w:rsidRPr="00FF0BBF">
              <w:rPr>
                <w:rFonts w:hint="eastAsia"/>
                <w:color w:val="000000"/>
                <w:sz w:val="24"/>
              </w:rPr>
              <w:t>公允价值（人民币）</w:t>
            </w:r>
          </w:p>
        </w:tc>
        <w:tc>
          <w:tcPr>
            <w:tcW w:w="3118" w:type="dxa"/>
            <w:vAlign w:val="center"/>
          </w:tcPr>
          <w:p w:rsidR="00F51C4E" w:rsidRPr="00FF0BBF" w:rsidRDefault="00F51C4E" w:rsidP="00AD114B">
            <w:pPr>
              <w:spacing w:before="29" w:line="360" w:lineRule="auto"/>
              <w:ind w:left="17"/>
              <w:jc w:val="center"/>
              <w:rPr>
                <w:color w:val="000000"/>
                <w:sz w:val="24"/>
              </w:rPr>
            </w:pPr>
            <w:r w:rsidRPr="00FF0BBF">
              <w:rPr>
                <w:rFonts w:hint="eastAsia"/>
                <w:color w:val="000000"/>
                <w:sz w:val="24"/>
              </w:rPr>
              <w:t>占基金资产净值比例（</w:t>
            </w:r>
            <w:r w:rsidRPr="00FF0BBF">
              <w:rPr>
                <w:rFonts w:hint="eastAsia"/>
                <w:color w:val="000000"/>
                <w:sz w:val="24"/>
              </w:rPr>
              <w:t>%</w:t>
            </w:r>
            <w:r w:rsidRPr="00FF0BBF">
              <w:rPr>
                <w:rFonts w:hint="eastAsia"/>
                <w:color w:val="000000"/>
                <w:sz w:val="24"/>
              </w:rPr>
              <w:t>）</w:t>
            </w:r>
          </w:p>
        </w:tc>
      </w:tr>
      <w:tr w:rsidR="005B4AC3">
        <w:trPr>
          <w:jc w:val="center"/>
        </w:trPr>
        <w:tc>
          <w:tcPr>
            <w:tcW w:w="2397" w:type="dxa"/>
            <w:vAlign w:val="center"/>
          </w:tcPr>
          <w:p w:rsidR="005B4AC3" w:rsidRDefault="006E0904">
            <w:pPr>
              <w:jc w:val="center"/>
            </w:pPr>
            <w:r>
              <w:rPr>
                <w:color w:val="000000"/>
                <w:sz w:val="24"/>
              </w:rPr>
              <w:t>信息技术</w:t>
            </w:r>
          </w:p>
        </w:tc>
        <w:tc>
          <w:tcPr>
            <w:tcW w:w="3119" w:type="dxa"/>
            <w:vAlign w:val="center"/>
          </w:tcPr>
          <w:p w:rsidR="005B4AC3" w:rsidRDefault="006E0904">
            <w:pPr>
              <w:jc w:val="center"/>
            </w:pPr>
            <w:r>
              <w:rPr>
                <w:color w:val="000000"/>
                <w:sz w:val="24"/>
              </w:rPr>
              <w:t>59,746,283.52</w:t>
            </w:r>
          </w:p>
        </w:tc>
        <w:tc>
          <w:tcPr>
            <w:tcW w:w="3118" w:type="dxa"/>
            <w:vAlign w:val="center"/>
          </w:tcPr>
          <w:p w:rsidR="005B4AC3" w:rsidRDefault="006E0904">
            <w:pPr>
              <w:jc w:val="center"/>
            </w:pPr>
            <w:r>
              <w:rPr>
                <w:color w:val="000000"/>
                <w:sz w:val="24"/>
              </w:rPr>
              <w:t>8.62</w:t>
            </w:r>
          </w:p>
        </w:tc>
      </w:tr>
      <w:tr w:rsidR="005B4AC3">
        <w:trPr>
          <w:jc w:val="center"/>
        </w:trPr>
        <w:tc>
          <w:tcPr>
            <w:tcW w:w="2397" w:type="dxa"/>
            <w:vAlign w:val="center"/>
          </w:tcPr>
          <w:p w:rsidR="005B4AC3" w:rsidRDefault="006E0904">
            <w:pPr>
              <w:jc w:val="center"/>
            </w:pPr>
            <w:r>
              <w:rPr>
                <w:color w:val="000000"/>
                <w:sz w:val="24"/>
              </w:rPr>
              <w:t>通讯服务</w:t>
            </w:r>
          </w:p>
        </w:tc>
        <w:tc>
          <w:tcPr>
            <w:tcW w:w="3119" w:type="dxa"/>
            <w:vAlign w:val="center"/>
          </w:tcPr>
          <w:p w:rsidR="005B4AC3" w:rsidRDefault="006E0904">
            <w:pPr>
              <w:jc w:val="center"/>
            </w:pPr>
            <w:r>
              <w:rPr>
                <w:color w:val="000000"/>
                <w:sz w:val="24"/>
              </w:rPr>
              <w:t>55,542,632.64</w:t>
            </w:r>
          </w:p>
        </w:tc>
        <w:tc>
          <w:tcPr>
            <w:tcW w:w="3118" w:type="dxa"/>
            <w:vAlign w:val="center"/>
          </w:tcPr>
          <w:p w:rsidR="005B4AC3" w:rsidRDefault="006E0904">
            <w:pPr>
              <w:jc w:val="center"/>
            </w:pPr>
            <w:r>
              <w:rPr>
                <w:color w:val="000000"/>
                <w:sz w:val="24"/>
              </w:rPr>
              <w:t>8.01</w:t>
            </w:r>
          </w:p>
        </w:tc>
      </w:tr>
      <w:tr w:rsidR="005B4AC3">
        <w:trPr>
          <w:jc w:val="center"/>
        </w:trPr>
        <w:tc>
          <w:tcPr>
            <w:tcW w:w="2397" w:type="dxa"/>
            <w:vAlign w:val="center"/>
          </w:tcPr>
          <w:p w:rsidR="005B4AC3" w:rsidRDefault="006E0904">
            <w:pPr>
              <w:jc w:val="center"/>
            </w:pPr>
            <w:r>
              <w:rPr>
                <w:color w:val="000000"/>
                <w:sz w:val="24"/>
              </w:rPr>
              <w:t>医疗保健</w:t>
            </w:r>
          </w:p>
        </w:tc>
        <w:tc>
          <w:tcPr>
            <w:tcW w:w="3119" w:type="dxa"/>
            <w:vAlign w:val="center"/>
          </w:tcPr>
          <w:p w:rsidR="005B4AC3" w:rsidRDefault="006E0904">
            <w:pPr>
              <w:jc w:val="center"/>
            </w:pPr>
            <w:r>
              <w:rPr>
                <w:color w:val="000000"/>
                <w:sz w:val="24"/>
              </w:rPr>
              <w:t>24,718,599.84</w:t>
            </w:r>
          </w:p>
        </w:tc>
        <w:tc>
          <w:tcPr>
            <w:tcW w:w="3118" w:type="dxa"/>
            <w:vAlign w:val="center"/>
          </w:tcPr>
          <w:p w:rsidR="005B4AC3" w:rsidRDefault="006E0904">
            <w:pPr>
              <w:jc w:val="center"/>
            </w:pPr>
            <w:r>
              <w:rPr>
                <w:color w:val="000000"/>
                <w:sz w:val="24"/>
              </w:rPr>
              <w:t>3.57</w:t>
            </w:r>
          </w:p>
        </w:tc>
      </w:tr>
      <w:tr w:rsidR="005B4AC3">
        <w:trPr>
          <w:jc w:val="center"/>
        </w:trPr>
        <w:tc>
          <w:tcPr>
            <w:tcW w:w="2397" w:type="dxa"/>
            <w:vAlign w:val="center"/>
          </w:tcPr>
          <w:p w:rsidR="005B4AC3" w:rsidRDefault="006E0904">
            <w:pPr>
              <w:jc w:val="center"/>
            </w:pPr>
            <w:r>
              <w:rPr>
                <w:color w:val="000000"/>
                <w:sz w:val="24"/>
              </w:rPr>
              <w:t>非日常生活消费品</w:t>
            </w:r>
          </w:p>
        </w:tc>
        <w:tc>
          <w:tcPr>
            <w:tcW w:w="3119" w:type="dxa"/>
            <w:vAlign w:val="center"/>
          </w:tcPr>
          <w:p w:rsidR="005B4AC3" w:rsidRDefault="006E0904">
            <w:pPr>
              <w:jc w:val="center"/>
            </w:pPr>
            <w:r>
              <w:rPr>
                <w:color w:val="000000"/>
                <w:sz w:val="24"/>
              </w:rPr>
              <w:t>21,982,847.04</w:t>
            </w:r>
          </w:p>
        </w:tc>
        <w:tc>
          <w:tcPr>
            <w:tcW w:w="3118" w:type="dxa"/>
            <w:vAlign w:val="center"/>
          </w:tcPr>
          <w:p w:rsidR="005B4AC3" w:rsidRDefault="006E0904">
            <w:pPr>
              <w:jc w:val="center"/>
            </w:pPr>
            <w:r>
              <w:rPr>
                <w:color w:val="000000"/>
                <w:sz w:val="24"/>
              </w:rPr>
              <w:t>3.17</w:t>
            </w:r>
          </w:p>
        </w:tc>
      </w:tr>
      <w:tr w:rsidR="005B4AC3">
        <w:trPr>
          <w:jc w:val="center"/>
        </w:trPr>
        <w:tc>
          <w:tcPr>
            <w:tcW w:w="2397" w:type="dxa"/>
            <w:vAlign w:val="center"/>
          </w:tcPr>
          <w:p w:rsidR="005B4AC3" w:rsidRDefault="006E0904">
            <w:pPr>
              <w:jc w:val="center"/>
            </w:pPr>
            <w:r>
              <w:rPr>
                <w:color w:val="000000"/>
                <w:sz w:val="24"/>
              </w:rPr>
              <w:t>房地产</w:t>
            </w:r>
          </w:p>
        </w:tc>
        <w:tc>
          <w:tcPr>
            <w:tcW w:w="3119" w:type="dxa"/>
            <w:vAlign w:val="center"/>
          </w:tcPr>
          <w:p w:rsidR="005B4AC3" w:rsidRDefault="006E0904">
            <w:pPr>
              <w:jc w:val="center"/>
            </w:pPr>
            <w:r>
              <w:rPr>
                <w:color w:val="000000"/>
                <w:sz w:val="24"/>
              </w:rPr>
              <w:t>11,984,332.80</w:t>
            </w:r>
          </w:p>
        </w:tc>
        <w:tc>
          <w:tcPr>
            <w:tcW w:w="3118" w:type="dxa"/>
            <w:vAlign w:val="center"/>
          </w:tcPr>
          <w:p w:rsidR="005B4AC3" w:rsidRDefault="006E0904">
            <w:pPr>
              <w:jc w:val="center"/>
            </w:pPr>
            <w:r>
              <w:rPr>
                <w:color w:val="000000"/>
                <w:sz w:val="24"/>
              </w:rPr>
              <w:t>1.73</w:t>
            </w:r>
          </w:p>
        </w:tc>
      </w:tr>
      <w:tr w:rsidR="00F51C4E" w:rsidRPr="00FF0BBF" w:rsidTr="00AD114B">
        <w:trPr>
          <w:jc w:val="center"/>
        </w:trPr>
        <w:tc>
          <w:tcPr>
            <w:tcW w:w="2397" w:type="dxa"/>
            <w:vAlign w:val="center"/>
          </w:tcPr>
          <w:p w:rsidR="00F51C4E" w:rsidRPr="00FF0BBF" w:rsidRDefault="00F51C4E" w:rsidP="00AD114B">
            <w:pPr>
              <w:spacing w:before="29" w:line="360" w:lineRule="auto"/>
              <w:ind w:left="17"/>
              <w:jc w:val="center"/>
              <w:rPr>
                <w:color w:val="000000"/>
                <w:sz w:val="24"/>
              </w:rPr>
            </w:pPr>
            <w:r w:rsidRPr="00FF0BBF">
              <w:rPr>
                <w:rFonts w:hint="eastAsia"/>
                <w:color w:val="000000"/>
                <w:sz w:val="24"/>
              </w:rPr>
              <w:t>合计</w:t>
            </w:r>
          </w:p>
        </w:tc>
        <w:tc>
          <w:tcPr>
            <w:tcW w:w="3119" w:type="dxa"/>
            <w:vAlign w:val="center"/>
          </w:tcPr>
          <w:p w:rsidR="00F51C4E" w:rsidRPr="00FF0BBF" w:rsidRDefault="00F51C4E" w:rsidP="00AD114B">
            <w:pPr>
              <w:spacing w:before="29" w:line="360" w:lineRule="auto"/>
              <w:ind w:left="17"/>
              <w:jc w:val="center"/>
              <w:rPr>
                <w:color w:val="000000"/>
                <w:sz w:val="24"/>
              </w:rPr>
            </w:pPr>
            <w:r w:rsidRPr="00FF0BBF">
              <w:rPr>
                <w:rFonts w:hint="eastAsia"/>
                <w:color w:val="000000"/>
                <w:sz w:val="24"/>
              </w:rPr>
              <w:t>173,974,695.84</w:t>
            </w:r>
          </w:p>
        </w:tc>
        <w:tc>
          <w:tcPr>
            <w:tcW w:w="3118" w:type="dxa"/>
            <w:vAlign w:val="center"/>
          </w:tcPr>
          <w:p w:rsidR="00F51C4E" w:rsidRPr="00FF0BBF" w:rsidRDefault="00F51C4E" w:rsidP="00AD114B">
            <w:pPr>
              <w:spacing w:before="29" w:line="360" w:lineRule="auto"/>
              <w:ind w:left="17"/>
              <w:jc w:val="center"/>
              <w:rPr>
                <w:color w:val="000000"/>
                <w:sz w:val="24"/>
              </w:rPr>
            </w:pPr>
            <w:r w:rsidRPr="00FF0BBF">
              <w:rPr>
                <w:rFonts w:hint="eastAsia"/>
                <w:color w:val="000000"/>
                <w:sz w:val="24"/>
              </w:rPr>
              <w:t>25.09</w:t>
            </w:r>
          </w:p>
        </w:tc>
      </w:tr>
    </w:tbl>
    <w:p w:rsidR="00F51C4E" w:rsidRDefault="003941E1" w:rsidP="00F51C4E">
      <w:pPr>
        <w:spacing w:before="29" w:line="360" w:lineRule="auto"/>
        <w:ind w:left="17"/>
        <w:rPr>
          <w:color w:val="000000"/>
          <w:sz w:val="24"/>
        </w:rPr>
      </w:pPr>
      <w:r>
        <w:rPr>
          <w:rFonts w:hint="eastAsia"/>
          <w:color w:val="000000"/>
          <w:sz w:val="24"/>
        </w:rPr>
        <w:t>注：</w:t>
      </w:r>
      <w:bookmarkStart w:id="0" w:name="_GoBack"/>
      <w:bookmarkEnd w:id="0"/>
      <w:r w:rsidR="00F51C4E" w:rsidRPr="00FF0BBF">
        <w:rPr>
          <w:color w:val="000000"/>
          <w:sz w:val="24"/>
        </w:rPr>
        <w:t>以上分类采用全球行业分类标准（</w:t>
      </w:r>
      <w:r w:rsidR="00F51C4E" w:rsidRPr="00FF0BBF">
        <w:rPr>
          <w:color w:val="000000"/>
          <w:sz w:val="24"/>
        </w:rPr>
        <w:t>GICS</w:t>
      </w:r>
      <w:r w:rsidR="00F51C4E" w:rsidRPr="00FF0BBF">
        <w:rPr>
          <w:color w:val="000000"/>
          <w:sz w:val="24"/>
        </w:rPr>
        <w:t>）。</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5B4AC3">
        <w:trPr>
          <w:jc w:val="center"/>
        </w:trPr>
        <w:tc>
          <w:tcPr>
            <w:tcW w:w="855" w:type="dxa"/>
            <w:vAlign w:val="center"/>
          </w:tcPr>
          <w:p w:rsidR="005B4AC3" w:rsidRDefault="006E0904">
            <w:pPr>
              <w:jc w:val="center"/>
            </w:pPr>
            <w:r>
              <w:rPr>
                <w:color w:val="000000"/>
                <w:sz w:val="24"/>
                <w:szCs w:val="24"/>
              </w:rPr>
              <w:t>1</w:t>
            </w:r>
          </w:p>
        </w:tc>
        <w:tc>
          <w:tcPr>
            <w:tcW w:w="1334" w:type="dxa"/>
            <w:vAlign w:val="center"/>
          </w:tcPr>
          <w:p w:rsidR="005B4AC3" w:rsidRDefault="006E0904">
            <w:pPr>
              <w:jc w:val="center"/>
            </w:pPr>
            <w:r>
              <w:rPr>
                <w:color w:val="000000"/>
                <w:sz w:val="24"/>
                <w:szCs w:val="24"/>
              </w:rPr>
              <w:t>00700.HK</w:t>
            </w:r>
          </w:p>
        </w:tc>
        <w:tc>
          <w:tcPr>
            <w:tcW w:w="1777" w:type="dxa"/>
            <w:vAlign w:val="center"/>
          </w:tcPr>
          <w:p w:rsidR="005B4AC3" w:rsidRDefault="006E0904">
            <w:pPr>
              <w:jc w:val="center"/>
            </w:pPr>
            <w:r>
              <w:rPr>
                <w:color w:val="000000"/>
                <w:sz w:val="24"/>
                <w:szCs w:val="24"/>
              </w:rPr>
              <w:t>腾讯控股</w:t>
            </w:r>
          </w:p>
        </w:tc>
        <w:tc>
          <w:tcPr>
            <w:tcW w:w="1334" w:type="dxa"/>
            <w:vAlign w:val="center"/>
          </w:tcPr>
          <w:p w:rsidR="005B4AC3" w:rsidRDefault="006E0904">
            <w:pPr>
              <w:jc w:val="right"/>
            </w:pPr>
            <w:r>
              <w:rPr>
                <w:color w:val="000000"/>
                <w:sz w:val="24"/>
                <w:szCs w:val="24"/>
              </w:rPr>
              <w:t>110,000</w:t>
            </w:r>
          </w:p>
        </w:tc>
        <w:tc>
          <w:tcPr>
            <w:tcW w:w="1924" w:type="dxa"/>
            <w:vAlign w:val="center"/>
          </w:tcPr>
          <w:p w:rsidR="005B4AC3" w:rsidRDefault="006E0904">
            <w:pPr>
              <w:jc w:val="right"/>
            </w:pPr>
            <w:r>
              <w:rPr>
                <w:color w:val="000000"/>
                <w:sz w:val="24"/>
                <w:szCs w:val="24"/>
              </w:rPr>
              <w:t>50,098,530.24</w:t>
            </w:r>
          </w:p>
        </w:tc>
        <w:tc>
          <w:tcPr>
            <w:tcW w:w="1644" w:type="dxa"/>
            <w:vAlign w:val="center"/>
          </w:tcPr>
          <w:p w:rsidR="005B4AC3" w:rsidRDefault="006E0904">
            <w:pPr>
              <w:jc w:val="right"/>
            </w:pPr>
            <w:r>
              <w:rPr>
                <w:color w:val="000000"/>
                <w:sz w:val="24"/>
                <w:szCs w:val="24"/>
              </w:rPr>
              <w:t>7.23</w:t>
            </w:r>
          </w:p>
        </w:tc>
      </w:tr>
      <w:tr w:rsidR="005B4AC3">
        <w:trPr>
          <w:jc w:val="center"/>
        </w:trPr>
        <w:tc>
          <w:tcPr>
            <w:tcW w:w="855" w:type="dxa"/>
            <w:vAlign w:val="center"/>
          </w:tcPr>
          <w:p w:rsidR="005B4AC3" w:rsidRDefault="006E0904">
            <w:pPr>
              <w:jc w:val="center"/>
            </w:pPr>
            <w:r>
              <w:rPr>
                <w:color w:val="000000"/>
                <w:sz w:val="24"/>
                <w:szCs w:val="24"/>
              </w:rPr>
              <w:t>2</w:t>
            </w:r>
          </w:p>
        </w:tc>
        <w:tc>
          <w:tcPr>
            <w:tcW w:w="1334" w:type="dxa"/>
            <w:vAlign w:val="center"/>
          </w:tcPr>
          <w:p w:rsidR="005B4AC3" w:rsidRDefault="006E0904">
            <w:pPr>
              <w:jc w:val="center"/>
            </w:pPr>
            <w:r>
              <w:rPr>
                <w:color w:val="000000"/>
                <w:sz w:val="24"/>
                <w:szCs w:val="24"/>
              </w:rPr>
              <w:t>002216</w:t>
            </w:r>
          </w:p>
        </w:tc>
        <w:tc>
          <w:tcPr>
            <w:tcW w:w="1777" w:type="dxa"/>
            <w:vAlign w:val="center"/>
          </w:tcPr>
          <w:p w:rsidR="005B4AC3" w:rsidRDefault="006E0904">
            <w:pPr>
              <w:jc w:val="center"/>
            </w:pPr>
            <w:r>
              <w:rPr>
                <w:color w:val="000000"/>
                <w:sz w:val="24"/>
                <w:szCs w:val="24"/>
              </w:rPr>
              <w:t>三全食品</w:t>
            </w:r>
          </w:p>
        </w:tc>
        <w:tc>
          <w:tcPr>
            <w:tcW w:w="1334" w:type="dxa"/>
            <w:vAlign w:val="center"/>
          </w:tcPr>
          <w:p w:rsidR="005B4AC3" w:rsidRDefault="006E0904">
            <w:pPr>
              <w:jc w:val="right"/>
            </w:pPr>
            <w:r>
              <w:rPr>
                <w:color w:val="000000"/>
                <w:sz w:val="24"/>
                <w:szCs w:val="24"/>
              </w:rPr>
              <w:t>1,300,000</w:t>
            </w:r>
          </w:p>
        </w:tc>
        <w:tc>
          <w:tcPr>
            <w:tcW w:w="1924" w:type="dxa"/>
            <w:vAlign w:val="center"/>
          </w:tcPr>
          <w:p w:rsidR="005B4AC3" w:rsidRDefault="006E0904">
            <w:pPr>
              <w:jc w:val="right"/>
            </w:pPr>
            <w:r>
              <w:rPr>
                <w:color w:val="000000"/>
                <w:sz w:val="24"/>
                <w:szCs w:val="24"/>
              </w:rPr>
              <w:t>31,070,000.00</w:t>
            </w:r>
          </w:p>
        </w:tc>
        <w:tc>
          <w:tcPr>
            <w:tcW w:w="1644" w:type="dxa"/>
            <w:vAlign w:val="center"/>
          </w:tcPr>
          <w:p w:rsidR="005B4AC3" w:rsidRDefault="006E0904">
            <w:pPr>
              <w:jc w:val="right"/>
            </w:pPr>
            <w:r>
              <w:rPr>
                <w:color w:val="000000"/>
                <w:sz w:val="24"/>
                <w:szCs w:val="24"/>
              </w:rPr>
              <w:t>4.48</w:t>
            </w:r>
          </w:p>
        </w:tc>
      </w:tr>
      <w:tr w:rsidR="005B4AC3">
        <w:trPr>
          <w:jc w:val="center"/>
        </w:trPr>
        <w:tc>
          <w:tcPr>
            <w:tcW w:w="855" w:type="dxa"/>
            <w:vAlign w:val="center"/>
          </w:tcPr>
          <w:p w:rsidR="005B4AC3" w:rsidRDefault="006E0904">
            <w:pPr>
              <w:jc w:val="center"/>
            </w:pPr>
            <w:r>
              <w:rPr>
                <w:color w:val="000000"/>
                <w:sz w:val="24"/>
                <w:szCs w:val="24"/>
              </w:rPr>
              <w:t>3</w:t>
            </w:r>
          </w:p>
        </w:tc>
        <w:tc>
          <w:tcPr>
            <w:tcW w:w="1334" w:type="dxa"/>
            <w:vAlign w:val="center"/>
          </w:tcPr>
          <w:p w:rsidR="005B4AC3" w:rsidRDefault="006E0904">
            <w:pPr>
              <w:jc w:val="center"/>
            </w:pPr>
            <w:r>
              <w:rPr>
                <w:color w:val="000000"/>
                <w:sz w:val="24"/>
                <w:szCs w:val="24"/>
              </w:rPr>
              <w:t>002475</w:t>
            </w:r>
          </w:p>
        </w:tc>
        <w:tc>
          <w:tcPr>
            <w:tcW w:w="1777" w:type="dxa"/>
            <w:vAlign w:val="center"/>
          </w:tcPr>
          <w:p w:rsidR="005B4AC3" w:rsidRDefault="006E0904">
            <w:pPr>
              <w:jc w:val="center"/>
            </w:pPr>
            <w:r>
              <w:rPr>
                <w:color w:val="000000"/>
                <w:sz w:val="24"/>
                <w:szCs w:val="24"/>
              </w:rPr>
              <w:t>立讯精密</w:t>
            </w:r>
          </w:p>
        </w:tc>
        <w:tc>
          <w:tcPr>
            <w:tcW w:w="1334" w:type="dxa"/>
            <w:vAlign w:val="center"/>
          </w:tcPr>
          <w:p w:rsidR="005B4AC3" w:rsidRDefault="006E0904">
            <w:pPr>
              <w:jc w:val="right"/>
            </w:pPr>
            <w:r>
              <w:rPr>
                <w:color w:val="000000"/>
                <w:sz w:val="24"/>
                <w:szCs w:val="24"/>
              </w:rPr>
              <w:t>454,990</w:t>
            </w:r>
          </w:p>
        </w:tc>
        <w:tc>
          <w:tcPr>
            <w:tcW w:w="1924" w:type="dxa"/>
            <w:vAlign w:val="center"/>
          </w:tcPr>
          <w:p w:rsidR="005B4AC3" w:rsidRDefault="006E0904">
            <w:pPr>
              <w:jc w:val="right"/>
            </w:pPr>
            <w:r>
              <w:rPr>
                <w:color w:val="000000"/>
                <w:sz w:val="24"/>
                <w:szCs w:val="24"/>
              </w:rPr>
              <w:t>23,363,736.50</w:t>
            </w:r>
          </w:p>
        </w:tc>
        <w:tc>
          <w:tcPr>
            <w:tcW w:w="1644" w:type="dxa"/>
            <w:vAlign w:val="center"/>
          </w:tcPr>
          <w:p w:rsidR="005B4AC3" w:rsidRDefault="006E0904">
            <w:pPr>
              <w:jc w:val="right"/>
            </w:pPr>
            <w:r>
              <w:rPr>
                <w:color w:val="000000"/>
                <w:sz w:val="24"/>
                <w:szCs w:val="24"/>
              </w:rPr>
              <w:t>3.37</w:t>
            </w:r>
          </w:p>
        </w:tc>
      </w:tr>
      <w:tr w:rsidR="005B4AC3">
        <w:trPr>
          <w:jc w:val="center"/>
        </w:trPr>
        <w:tc>
          <w:tcPr>
            <w:tcW w:w="855" w:type="dxa"/>
            <w:vAlign w:val="center"/>
          </w:tcPr>
          <w:p w:rsidR="005B4AC3" w:rsidRDefault="006E0904">
            <w:pPr>
              <w:jc w:val="center"/>
            </w:pPr>
            <w:r>
              <w:rPr>
                <w:color w:val="000000"/>
                <w:sz w:val="24"/>
                <w:szCs w:val="24"/>
              </w:rPr>
              <w:t>4</w:t>
            </w:r>
          </w:p>
        </w:tc>
        <w:tc>
          <w:tcPr>
            <w:tcW w:w="1334" w:type="dxa"/>
            <w:vAlign w:val="center"/>
          </w:tcPr>
          <w:p w:rsidR="005B4AC3" w:rsidRDefault="006E0904">
            <w:pPr>
              <w:jc w:val="center"/>
            </w:pPr>
            <w:r>
              <w:rPr>
                <w:color w:val="000000"/>
                <w:sz w:val="24"/>
                <w:szCs w:val="24"/>
              </w:rPr>
              <w:t>600529</w:t>
            </w:r>
          </w:p>
        </w:tc>
        <w:tc>
          <w:tcPr>
            <w:tcW w:w="1777" w:type="dxa"/>
            <w:vAlign w:val="center"/>
          </w:tcPr>
          <w:p w:rsidR="005B4AC3" w:rsidRDefault="006E0904">
            <w:pPr>
              <w:jc w:val="center"/>
            </w:pPr>
            <w:r>
              <w:rPr>
                <w:color w:val="000000"/>
                <w:sz w:val="24"/>
                <w:szCs w:val="24"/>
              </w:rPr>
              <w:t>山东药玻</w:t>
            </w:r>
          </w:p>
        </w:tc>
        <w:tc>
          <w:tcPr>
            <w:tcW w:w="1334" w:type="dxa"/>
            <w:vAlign w:val="center"/>
          </w:tcPr>
          <w:p w:rsidR="005B4AC3" w:rsidRDefault="006E0904">
            <w:pPr>
              <w:jc w:val="right"/>
            </w:pPr>
            <w:r>
              <w:rPr>
                <w:color w:val="000000"/>
                <w:sz w:val="24"/>
                <w:szCs w:val="24"/>
              </w:rPr>
              <w:t>399,996</w:t>
            </w:r>
          </w:p>
        </w:tc>
        <w:tc>
          <w:tcPr>
            <w:tcW w:w="1924" w:type="dxa"/>
            <w:vAlign w:val="center"/>
          </w:tcPr>
          <w:p w:rsidR="005B4AC3" w:rsidRDefault="006E0904">
            <w:pPr>
              <w:jc w:val="right"/>
            </w:pPr>
            <w:r>
              <w:rPr>
                <w:color w:val="000000"/>
                <w:sz w:val="24"/>
                <w:szCs w:val="24"/>
              </w:rPr>
              <w:t>23,199,768.00</w:t>
            </w:r>
          </w:p>
        </w:tc>
        <w:tc>
          <w:tcPr>
            <w:tcW w:w="1644" w:type="dxa"/>
            <w:vAlign w:val="center"/>
          </w:tcPr>
          <w:p w:rsidR="005B4AC3" w:rsidRDefault="006E0904">
            <w:pPr>
              <w:jc w:val="right"/>
            </w:pPr>
            <w:r>
              <w:rPr>
                <w:color w:val="000000"/>
                <w:sz w:val="24"/>
                <w:szCs w:val="24"/>
              </w:rPr>
              <w:t>3.35</w:t>
            </w:r>
          </w:p>
        </w:tc>
      </w:tr>
      <w:tr w:rsidR="005B4AC3">
        <w:trPr>
          <w:jc w:val="center"/>
        </w:trPr>
        <w:tc>
          <w:tcPr>
            <w:tcW w:w="855" w:type="dxa"/>
            <w:vAlign w:val="center"/>
          </w:tcPr>
          <w:p w:rsidR="005B4AC3" w:rsidRDefault="006E0904">
            <w:pPr>
              <w:jc w:val="center"/>
            </w:pPr>
            <w:r>
              <w:rPr>
                <w:color w:val="000000"/>
                <w:sz w:val="24"/>
                <w:szCs w:val="24"/>
              </w:rPr>
              <w:t>5</w:t>
            </w:r>
          </w:p>
        </w:tc>
        <w:tc>
          <w:tcPr>
            <w:tcW w:w="1334" w:type="dxa"/>
            <w:vAlign w:val="center"/>
          </w:tcPr>
          <w:p w:rsidR="005B4AC3" w:rsidRDefault="006E0904">
            <w:pPr>
              <w:jc w:val="center"/>
            </w:pPr>
            <w:r>
              <w:rPr>
                <w:color w:val="000000"/>
                <w:sz w:val="24"/>
                <w:szCs w:val="24"/>
              </w:rPr>
              <w:t>03690.HK</w:t>
            </w:r>
          </w:p>
        </w:tc>
        <w:tc>
          <w:tcPr>
            <w:tcW w:w="1777" w:type="dxa"/>
            <w:vAlign w:val="center"/>
          </w:tcPr>
          <w:p w:rsidR="005B4AC3" w:rsidRDefault="006E0904">
            <w:pPr>
              <w:jc w:val="center"/>
            </w:pPr>
            <w:r>
              <w:rPr>
                <w:color w:val="000000"/>
                <w:sz w:val="24"/>
                <w:szCs w:val="24"/>
              </w:rPr>
              <w:t>美团点评－Ｗ</w:t>
            </w:r>
          </w:p>
        </w:tc>
        <w:tc>
          <w:tcPr>
            <w:tcW w:w="1334" w:type="dxa"/>
            <w:vAlign w:val="center"/>
          </w:tcPr>
          <w:p w:rsidR="005B4AC3" w:rsidRDefault="006E0904">
            <w:pPr>
              <w:jc w:val="right"/>
            </w:pPr>
            <w:r>
              <w:rPr>
                <w:color w:val="000000"/>
                <w:sz w:val="24"/>
                <w:szCs w:val="24"/>
              </w:rPr>
              <w:t>140,000</w:t>
            </w:r>
          </w:p>
        </w:tc>
        <w:tc>
          <w:tcPr>
            <w:tcW w:w="1924" w:type="dxa"/>
            <w:vAlign w:val="center"/>
          </w:tcPr>
          <w:p w:rsidR="005B4AC3" w:rsidRDefault="006E0904">
            <w:pPr>
              <w:jc w:val="right"/>
            </w:pPr>
            <w:r>
              <w:rPr>
                <w:color w:val="000000"/>
                <w:sz w:val="24"/>
                <w:szCs w:val="24"/>
              </w:rPr>
              <w:t>21,982,847.04</w:t>
            </w:r>
          </w:p>
        </w:tc>
        <w:tc>
          <w:tcPr>
            <w:tcW w:w="1644" w:type="dxa"/>
            <w:vAlign w:val="center"/>
          </w:tcPr>
          <w:p w:rsidR="005B4AC3" w:rsidRDefault="006E0904">
            <w:pPr>
              <w:jc w:val="right"/>
            </w:pPr>
            <w:r>
              <w:rPr>
                <w:color w:val="000000"/>
                <w:sz w:val="24"/>
                <w:szCs w:val="24"/>
              </w:rPr>
              <w:t>3.17</w:t>
            </w:r>
          </w:p>
        </w:tc>
      </w:tr>
      <w:tr w:rsidR="005B4AC3">
        <w:trPr>
          <w:jc w:val="center"/>
        </w:trPr>
        <w:tc>
          <w:tcPr>
            <w:tcW w:w="855" w:type="dxa"/>
            <w:vAlign w:val="center"/>
          </w:tcPr>
          <w:p w:rsidR="005B4AC3" w:rsidRDefault="006E0904">
            <w:pPr>
              <w:jc w:val="center"/>
            </w:pPr>
            <w:r>
              <w:rPr>
                <w:color w:val="000000"/>
                <w:sz w:val="24"/>
                <w:szCs w:val="24"/>
              </w:rPr>
              <w:t>6</w:t>
            </w:r>
          </w:p>
        </w:tc>
        <w:tc>
          <w:tcPr>
            <w:tcW w:w="1334" w:type="dxa"/>
            <w:vAlign w:val="center"/>
          </w:tcPr>
          <w:p w:rsidR="005B4AC3" w:rsidRDefault="006E0904">
            <w:pPr>
              <w:jc w:val="center"/>
            </w:pPr>
            <w:r>
              <w:rPr>
                <w:color w:val="000000"/>
                <w:sz w:val="24"/>
                <w:szCs w:val="24"/>
              </w:rPr>
              <w:t>03888.HK</w:t>
            </w:r>
          </w:p>
        </w:tc>
        <w:tc>
          <w:tcPr>
            <w:tcW w:w="1777" w:type="dxa"/>
            <w:vAlign w:val="center"/>
          </w:tcPr>
          <w:p w:rsidR="005B4AC3" w:rsidRDefault="006E0904">
            <w:pPr>
              <w:jc w:val="center"/>
            </w:pPr>
            <w:r>
              <w:rPr>
                <w:color w:val="000000"/>
                <w:sz w:val="24"/>
                <w:szCs w:val="24"/>
              </w:rPr>
              <w:t>金山软件</w:t>
            </w:r>
          </w:p>
        </w:tc>
        <w:tc>
          <w:tcPr>
            <w:tcW w:w="1334" w:type="dxa"/>
            <w:vAlign w:val="center"/>
          </w:tcPr>
          <w:p w:rsidR="005B4AC3" w:rsidRDefault="006E0904">
            <w:pPr>
              <w:jc w:val="right"/>
            </w:pPr>
            <w:r>
              <w:rPr>
                <w:color w:val="000000"/>
                <w:sz w:val="24"/>
                <w:szCs w:val="24"/>
              </w:rPr>
              <w:t>600,000</w:t>
            </w:r>
          </w:p>
        </w:tc>
        <w:tc>
          <w:tcPr>
            <w:tcW w:w="1924" w:type="dxa"/>
            <w:vAlign w:val="center"/>
          </w:tcPr>
          <w:p w:rsidR="005B4AC3" w:rsidRDefault="006E0904">
            <w:pPr>
              <w:jc w:val="right"/>
            </w:pPr>
            <w:r>
              <w:rPr>
                <w:color w:val="000000"/>
                <w:sz w:val="24"/>
                <w:szCs w:val="24"/>
              </w:rPr>
              <w:t>19,757,707.20</w:t>
            </w:r>
          </w:p>
        </w:tc>
        <w:tc>
          <w:tcPr>
            <w:tcW w:w="1644" w:type="dxa"/>
            <w:vAlign w:val="center"/>
          </w:tcPr>
          <w:p w:rsidR="005B4AC3" w:rsidRDefault="006E0904">
            <w:pPr>
              <w:jc w:val="right"/>
            </w:pPr>
            <w:r>
              <w:rPr>
                <w:color w:val="000000"/>
                <w:sz w:val="24"/>
                <w:szCs w:val="24"/>
              </w:rPr>
              <w:t>2.85</w:t>
            </w:r>
          </w:p>
        </w:tc>
      </w:tr>
      <w:tr w:rsidR="005B4AC3">
        <w:trPr>
          <w:jc w:val="center"/>
        </w:trPr>
        <w:tc>
          <w:tcPr>
            <w:tcW w:w="855" w:type="dxa"/>
            <w:vAlign w:val="center"/>
          </w:tcPr>
          <w:p w:rsidR="005B4AC3" w:rsidRDefault="006E0904">
            <w:pPr>
              <w:jc w:val="center"/>
            </w:pPr>
            <w:r>
              <w:rPr>
                <w:color w:val="000000"/>
                <w:sz w:val="24"/>
                <w:szCs w:val="24"/>
              </w:rPr>
              <w:t>7</w:t>
            </w:r>
          </w:p>
        </w:tc>
        <w:tc>
          <w:tcPr>
            <w:tcW w:w="1334" w:type="dxa"/>
            <w:vAlign w:val="center"/>
          </w:tcPr>
          <w:p w:rsidR="005B4AC3" w:rsidRDefault="006E0904">
            <w:pPr>
              <w:jc w:val="center"/>
            </w:pPr>
            <w:r>
              <w:rPr>
                <w:color w:val="000000"/>
                <w:sz w:val="24"/>
                <w:szCs w:val="24"/>
              </w:rPr>
              <w:t>01177.HK</w:t>
            </w:r>
          </w:p>
        </w:tc>
        <w:tc>
          <w:tcPr>
            <w:tcW w:w="1777" w:type="dxa"/>
            <w:vAlign w:val="center"/>
          </w:tcPr>
          <w:p w:rsidR="005B4AC3" w:rsidRDefault="006E0904">
            <w:pPr>
              <w:jc w:val="center"/>
            </w:pPr>
            <w:r>
              <w:rPr>
                <w:color w:val="000000"/>
                <w:sz w:val="24"/>
                <w:szCs w:val="24"/>
              </w:rPr>
              <w:t>中国生物制药</w:t>
            </w:r>
          </w:p>
        </w:tc>
        <w:tc>
          <w:tcPr>
            <w:tcW w:w="1334" w:type="dxa"/>
            <w:vAlign w:val="center"/>
          </w:tcPr>
          <w:p w:rsidR="005B4AC3" w:rsidRDefault="006E0904">
            <w:pPr>
              <w:jc w:val="right"/>
            </w:pPr>
            <w:r>
              <w:rPr>
                <w:color w:val="000000"/>
                <w:sz w:val="24"/>
                <w:szCs w:val="24"/>
              </w:rPr>
              <w:t>1,465,000</w:t>
            </w:r>
          </w:p>
        </w:tc>
        <w:tc>
          <w:tcPr>
            <w:tcW w:w="1924" w:type="dxa"/>
            <w:vAlign w:val="center"/>
          </w:tcPr>
          <w:p w:rsidR="005B4AC3" w:rsidRDefault="006E0904">
            <w:pPr>
              <w:jc w:val="right"/>
            </w:pPr>
            <w:r>
              <w:rPr>
                <w:color w:val="000000"/>
                <w:sz w:val="24"/>
                <w:szCs w:val="24"/>
              </w:rPr>
              <w:t>19,537,568.16</w:t>
            </w:r>
          </w:p>
        </w:tc>
        <w:tc>
          <w:tcPr>
            <w:tcW w:w="1644" w:type="dxa"/>
            <w:vAlign w:val="center"/>
          </w:tcPr>
          <w:p w:rsidR="005B4AC3" w:rsidRDefault="006E0904">
            <w:pPr>
              <w:jc w:val="right"/>
            </w:pPr>
            <w:r>
              <w:rPr>
                <w:color w:val="000000"/>
                <w:sz w:val="24"/>
                <w:szCs w:val="24"/>
              </w:rPr>
              <w:t>2.82</w:t>
            </w:r>
          </w:p>
        </w:tc>
      </w:tr>
      <w:tr w:rsidR="005B4AC3">
        <w:trPr>
          <w:jc w:val="center"/>
        </w:trPr>
        <w:tc>
          <w:tcPr>
            <w:tcW w:w="855" w:type="dxa"/>
            <w:vAlign w:val="center"/>
          </w:tcPr>
          <w:p w:rsidR="005B4AC3" w:rsidRDefault="006E0904">
            <w:pPr>
              <w:jc w:val="center"/>
            </w:pPr>
            <w:r>
              <w:rPr>
                <w:color w:val="000000"/>
                <w:sz w:val="24"/>
                <w:szCs w:val="24"/>
              </w:rPr>
              <w:t>8</w:t>
            </w:r>
          </w:p>
        </w:tc>
        <w:tc>
          <w:tcPr>
            <w:tcW w:w="1334" w:type="dxa"/>
            <w:vAlign w:val="center"/>
          </w:tcPr>
          <w:p w:rsidR="005B4AC3" w:rsidRDefault="006E0904">
            <w:pPr>
              <w:jc w:val="center"/>
            </w:pPr>
            <w:r>
              <w:rPr>
                <w:color w:val="000000"/>
                <w:sz w:val="24"/>
                <w:szCs w:val="24"/>
              </w:rPr>
              <w:t>002555</w:t>
            </w:r>
          </w:p>
        </w:tc>
        <w:tc>
          <w:tcPr>
            <w:tcW w:w="1777" w:type="dxa"/>
            <w:vAlign w:val="center"/>
          </w:tcPr>
          <w:p w:rsidR="005B4AC3" w:rsidRDefault="006E0904">
            <w:pPr>
              <w:jc w:val="center"/>
            </w:pPr>
            <w:r>
              <w:rPr>
                <w:color w:val="000000"/>
                <w:sz w:val="24"/>
                <w:szCs w:val="24"/>
              </w:rPr>
              <w:t>三七互娱</w:t>
            </w:r>
          </w:p>
        </w:tc>
        <w:tc>
          <w:tcPr>
            <w:tcW w:w="1334" w:type="dxa"/>
            <w:vAlign w:val="center"/>
          </w:tcPr>
          <w:p w:rsidR="005B4AC3" w:rsidRDefault="006E0904">
            <w:pPr>
              <w:jc w:val="right"/>
            </w:pPr>
            <w:r>
              <w:rPr>
                <w:color w:val="000000"/>
                <w:sz w:val="24"/>
                <w:szCs w:val="24"/>
              </w:rPr>
              <w:t>400,000</w:t>
            </w:r>
          </w:p>
        </w:tc>
        <w:tc>
          <w:tcPr>
            <w:tcW w:w="1924" w:type="dxa"/>
            <w:vAlign w:val="center"/>
          </w:tcPr>
          <w:p w:rsidR="005B4AC3" w:rsidRDefault="006E0904">
            <w:pPr>
              <w:jc w:val="right"/>
            </w:pPr>
            <w:r>
              <w:rPr>
                <w:color w:val="000000"/>
                <w:sz w:val="24"/>
                <w:szCs w:val="24"/>
              </w:rPr>
              <w:t>18,720,000.00</w:t>
            </w:r>
          </w:p>
        </w:tc>
        <w:tc>
          <w:tcPr>
            <w:tcW w:w="1644" w:type="dxa"/>
            <w:vAlign w:val="center"/>
          </w:tcPr>
          <w:p w:rsidR="005B4AC3" w:rsidRDefault="006E0904">
            <w:pPr>
              <w:jc w:val="right"/>
            </w:pPr>
            <w:r>
              <w:rPr>
                <w:color w:val="000000"/>
                <w:sz w:val="24"/>
                <w:szCs w:val="24"/>
              </w:rPr>
              <w:t>2.70</w:t>
            </w:r>
          </w:p>
        </w:tc>
      </w:tr>
      <w:tr w:rsidR="005B4AC3">
        <w:trPr>
          <w:jc w:val="center"/>
        </w:trPr>
        <w:tc>
          <w:tcPr>
            <w:tcW w:w="855" w:type="dxa"/>
            <w:vAlign w:val="center"/>
          </w:tcPr>
          <w:p w:rsidR="005B4AC3" w:rsidRDefault="006E0904">
            <w:pPr>
              <w:jc w:val="center"/>
            </w:pPr>
            <w:r>
              <w:rPr>
                <w:color w:val="000000"/>
                <w:sz w:val="24"/>
                <w:szCs w:val="24"/>
              </w:rPr>
              <w:t>9</w:t>
            </w:r>
          </w:p>
        </w:tc>
        <w:tc>
          <w:tcPr>
            <w:tcW w:w="1334" w:type="dxa"/>
            <w:vAlign w:val="center"/>
          </w:tcPr>
          <w:p w:rsidR="005B4AC3" w:rsidRDefault="006E0904">
            <w:pPr>
              <w:jc w:val="center"/>
            </w:pPr>
            <w:r>
              <w:rPr>
                <w:color w:val="000000"/>
                <w:sz w:val="24"/>
                <w:szCs w:val="24"/>
              </w:rPr>
              <w:t>002271</w:t>
            </w:r>
          </w:p>
        </w:tc>
        <w:tc>
          <w:tcPr>
            <w:tcW w:w="1777" w:type="dxa"/>
            <w:vAlign w:val="center"/>
          </w:tcPr>
          <w:p w:rsidR="005B4AC3" w:rsidRDefault="006E0904">
            <w:pPr>
              <w:jc w:val="center"/>
            </w:pPr>
            <w:r>
              <w:rPr>
                <w:color w:val="000000"/>
                <w:sz w:val="24"/>
                <w:szCs w:val="24"/>
              </w:rPr>
              <w:t>东方雨虹</w:t>
            </w:r>
          </w:p>
        </w:tc>
        <w:tc>
          <w:tcPr>
            <w:tcW w:w="1334" w:type="dxa"/>
            <w:vAlign w:val="center"/>
          </w:tcPr>
          <w:p w:rsidR="005B4AC3" w:rsidRDefault="006E0904">
            <w:pPr>
              <w:jc w:val="right"/>
            </w:pPr>
            <w:r>
              <w:rPr>
                <w:color w:val="000000"/>
                <w:sz w:val="24"/>
                <w:szCs w:val="24"/>
              </w:rPr>
              <w:t>449,982</w:t>
            </w:r>
          </w:p>
        </w:tc>
        <w:tc>
          <w:tcPr>
            <w:tcW w:w="1924" w:type="dxa"/>
            <w:vAlign w:val="center"/>
          </w:tcPr>
          <w:p w:rsidR="005B4AC3" w:rsidRDefault="006E0904">
            <w:pPr>
              <w:jc w:val="right"/>
            </w:pPr>
            <w:r>
              <w:rPr>
                <w:color w:val="000000"/>
                <w:sz w:val="24"/>
                <w:szCs w:val="24"/>
              </w:rPr>
              <w:t>18,282,768.66</w:t>
            </w:r>
          </w:p>
        </w:tc>
        <w:tc>
          <w:tcPr>
            <w:tcW w:w="1644" w:type="dxa"/>
            <w:vAlign w:val="center"/>
          </w:tcPr>
          <w:p w:rsidR="005B4AC3" w:rsidRDefault="006E0904">
            <w:pPr>
              <w:jc w:val="right"/>
            </w:pPr>
            <w:r>
              <w:rPr>
                <w:color w:val="000000"/>
                <w:sz w:val="24"/>
                <w:szCs w:val="24"/>
              </w:rPr>
              <w:t>2.64</w:t>
            </w:r>
          </w:p>
        </w:tc>
      </w:tr>
      <w:tr w:rsidR="005B4AC3">
        <w:trPr>
          <w:jc w:val="center"/>
        </w:trPr>
        <w:tc>
          <w:tcPr>
            <w:tcW w:w="855" w:type="dxa"/>
            <w:vAlign w:val="center"/>
          </w:tcPr>
          <w:p w:rsidR="005B4AC3" w:rsidRDefault="006E0904">
            <w:pPr>
              <w:jc w:val="center"/>
            </w:pPr>
            <w:r>
              <w:rPr>
                <w:color w:val="000000"/>
                <w:sz w:val="24"/>
                <w:szCs w:val="24"/>
              </w:rPr>
              <w:t>10</w:t>
            </w:r>
          </w:p>
        </w:tc>
        <w:tc>
          <w:tcPr>
            <w:tcW w:w="1334" w:type="dxa"/>
            <w:vAlign w:val="center"/>
          </w:tcPr>
          <w:p w:rsidR="005B4AC3" w:rsidRDefault="006E0904">
            <w:pPr>
              <w:jc w:val="center"/>
            </w:pPr>
            <w:r>
              <w:rPr>
                <w:color w:val="000000"/>
                <w:sz w:val="24"/>
                <w:szCs w:val="24"/>
              </w:rPr>
              <w:t>300463</w:t>
            </w:r>
          </w:p>
        </w:tc>
        <w:tc>
          <w:tcPr>
            <w:tcW w:w="1777" w:type="dxa"/>
            <w:vAlign w:val="center"/>
          </w:tcPr>
          <w:p w:rsidR="005B4AC3" w:rsidRDefault="006E0904">
            <w:pPr>
              <w:jc w:val="center"/>
            </w:pPr>
            <w:r>
              <w:rPr>
                <w:color w:val="000000"/>
                <w:sz w:val="24"/>
                <w:szCs w:val="24"/>
              </w:rPr>
              <w:t>迈克生物</w:t>
            </w:r>
          </w:p>
        </w:tc>
        <w:tc>
          <w:tcPr>
            <w:tcW w:w="1334" w:type="dxa"/>
            <w:vAlign w:val="center"/>
          </w:tcPr>
          <w:p w:rsidR="005B4AC3" w:rsidRDefault="006E0904">
            <w:pPr>
              <w:jc w:val="right"/>
            </w:pPr>
            <w:r>
              <w:rPr>
                <w:color w:val="000000"/>
                <w:sz w:val="24"/>
                <w:szCs w:val="24"/>
              </w:rPr>
              <w:t>249,964</w:t>
            </w:r>
          </w:p>
        </w:tc>
        <w:tc>
          <w:tcPr>
            <w:tcW w:w="1924" w:type="dxa"/>
            <w:vAlign w:val="center"/>
          </w:tcPr>
          <w:p w:rsidR="005B4AC3" w:rsidRDefault="006E0904">
            <w:pPr>
              <w:jc w:val="right"/>
            </w:pPr>
            <w:r>
              <w:rPr>
                <w:color w:val="000000"/>
                <w:sz w:val="24"/>
                <w:szCs w:val="24"/>
              </w:rPr>
              <w:t>14,555,403.72</w:t>
            </w:r>
          </w:p>
        </w:tc>
        <w:tc>
          <w:tcPr>
            <w:tcW w:w="1644" w:type="dxa"/>
            <w:vAlign w:val="center"/>
          </w:tcPr>
          <w:p w:rsidR="005B4AC3" w:rsidRDefault="006E0904">
            <w:pPr>
              <w:jc w:val="right"/>
            </w:pPr>
            <w:r>
              <w:rPr>
                <w:color w:val="000000"/>
                <w:sz w:val="24"/>
                <w:szCs w:val="24"/>
              </w:rPr>
              <w:t>2.10</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R="00CE7169" w:rsidRPr="00CE7169"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3F0956">
              <w:rPr>
                <w:rFonts w:hint="eastAsia"/>
                <w:color w:val="000000"/>
                <w:sz w:val="24"/>
              </w:rPr>
              <w:t>(</w:t>
            </w:r>
            <w:r w:rsidR="003F0956">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74,000.00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0.01</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74,000.00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0.01</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R="005B4C8F" w:rsidRPr="005B4C8F"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9D1BD9">
              <w:rPr>
                <w:rFonts w:hint="eastAsia"/>
                <w:color w:val="000000"/>
                <w:sz w:val="24"/>
              </w:rPr>
              <w:t>(</w:t>
            </w:r>
            <w:r w:rsidR="009D1BD9">
              <w:rPr>
                <w:rFonts w:hint="eastAsia"/>
                <w:color w:val="000000"/>
                <w:sz w:val="24"/>
              </w:rPr>
              <w:t>张</w:t>
            </w:r>
            <w:r w:rsidR="009D1BD9">
              <w:rPr>
                <w:color w:val="000000"/>
                <w:sz w:val="24"/>
              </w:rPr>
              <w:t>)</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5B4AC3">
        <w:trPr>
          <w:jc w:val="center"/>
        </w:trPr>
        <w:tc>
          <w:tcPr>
            <w:tcW w:w="850" w:type="dxa"/>
            <w:vAlign w:val="center"/>
          </w:tcPr>
          <w:p w:rsidR="005B4AC3" w:rsidRDefault="006E0904">
            <w:pPr>
              <w:jc w:val="center"/>
            </w:pPr>
            <w:r>
              <w:rPr>
                <w:color w:val="000000"/>
                <w:sz w:val="24"/>
                <w:szCs w:val="24"/>
              </w:rPr>
              <w:t>1</w:t>
            </w:r>
          </w:p>
        </w:tc>
        <w:tc>
          <w:tcPr>
            <w:tcW w:w="1475" w:type="dxa"/>
            <w:vAlign w:val="center"/>
          </w:tcPr>
          <w:p w:rsidR="005B4AC3" w:rsidRDefault="006E0904">
            <w:pPr>
              <w:jc w:val="center"/>
            </w:pPr>
            <w:r>
              <w:rPr>
                <w:color w:val="000000"/>
                <w:sz w:val="24"/>
                <w:szCs w:val="24"/>
              </w:rPr>
              <w:t>113587</w:t>
            </w:r>
          </w:p>
        </w:tc>
        <w:tc>
          <w:tcPr>
            <w:tcW w:w="1769" w:type="dxa"/>
            <w:vAlign w:val="center"/>
          </w:tcPr>
          <w:p w:rsidR="005B4AC3" w:rsidRDefault="006E0904">
            <w:pPr>
              <w:jc w:val="center"/>
            </w:pPr>
            <w:r>
              <w:rPr>
                <w:color w:val="000000"/>
                <w:sz w:val="24"/>
                <w:szCs w:val="24"/>
              </w:rPr>
              <w:t>泛微转债</w:t>
            </w:r>
          </w:p>
        </w:tc>
        <w:tc>
          <w:tcPr>
            <w:tcW w:w="1387" w:type="dxa"/>
            <w:vAlign w:val="center"/>
          </w:tcPr>
          <w:p w:rsidR="005B4AC3" w:rsidRDefault="006E0904">
            <w:pPr>
              <w:jc w:val="right"/>
            </w:pPr>
            <w:r>
              <w:rPr>
                <w:color w:val="000000"/>
                <w:sz w:val="24"/>
                <w:szCs w:val="24"/>
              </w:rPr>
              <w:t>740</w:t>
            </w:r>
          </w:p>
        </w:tc>
        <w:tc>
          <w:tcPr>
            <w:tcW w:w="2150" w:type="dxa"/>
            <w:vAlign w:val="center"/>
          </w:tcPr>
          <w:p w:rsidR="005B4AC3" w:rsidRDefault="006E0904">
            <w:pPr>
              <w:jc w:val="right"/>
            </w:pPr>
            <w:r>
              <w:rPr>
                <w:color w:val="000000"/>
                <w:sz w:val="24"/>
                <w:szCs w:val="24"/>
              </w:rPr>
              <w:t>74,000.00</w:t>
            </w:r>
          </w:p>
        </w:tc>
        <w:tc>
          <w:tcPr>
            <w:tcW w:w="1237" w:type="dxa"/>
            <w:vAlign w:val="center"/>
          </w:tcPr>
          <w:p w:rsidR="005B4AC3" w:rsidRDefault="006E0904">
            <w:pPr>
              <w:jc w:val="right"/>
            </w:pPr>
            <w:r>
              <w:rPr>
                <w:color w:val="000000"/>
                <w:sz w:val="24"/>
                <w:szCs w:val="24"/>
              </w:rPr>
              <w:t>0.01</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34FB5" w:rsidRDefault="00BE5388" w:rsidP="00E40D31">
      <w:pPr>
        <w:autoSpaceDE w:val="0"/>
        <w:autoSpaceDN w:val="0"/>
        <w:adjustRightInd w:val="0"/>
        <w:spacing w:before="29" w:line="288" w:lineRule="auto"/>
        <w:jc w:val="left"/>
        <w:rPr>
          <w:b/>
          <w:bCs/>
          <w:color w:val="000000"/>
          <w:kern w:val="0"/>
          <w:sz w:val="24"/>
          <w:szCs w:val="24"/>
        </w:rPr>
      </w:pPr>
      <w:r w:rsidRPr="00B34FB5">
        <w:rPr>
          <w:b/>
          <w:bCs/>
          <w:color w:val="000000"/>
          <w:kern w:val="0"/>
          <w:sz w:val="24"/>
          <w:szCs w:val="24"/>
        </w:rPr>
        <w:t>5.11.1</w:t>
      </w:r>
      <w:r w:rsidRPr="00AA3969">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AA3969" w:rsidRDefault="00BE5388" w:rsidP="00E40D31">
      <w:pPr>
        <w:autoSpaceDE w:val="0"/>
        <w:autoSpaceDN w:val="0"/>
        <w:adjustRightInd w:val="0"/>
        <w:spacing w:before="29" w:line="288" w:lineRule="auto"/>
        <w:jc w:val="left"/>
        <w:rPr>
          <w:bCs/>
          <w:color w:val="000000"/>
          <w:kern w:val="0"/>
          <w:sz w:val="24"/>
          <w:szCs w:val="24"/>
        </w:rPr>
      </w:pPr>
      <w:r w:rsidRPr="00B34FB5">
        <w:rPr>
          <w:b/>
          <w:bCs/>
          <w:color w:val="000000"/>
          <w:kern w:val="0"/>
          <w:sz w:val="24"/>
          <w:szCs w:val="24"/>
        </w:rPr>
        <w:t>5.11.2</w:t>
      </w:r>
      <w:r w:rsidRPr="00AA3969">
        <w:rPr>
          <w:bCs/>
          <w:color w:val="000000"/>
          <w:kern w:val="0"/>
          <w:sz w:val="24"/>
          <w:szCs w:val="24"/>
        </w:rPr>
        <w:t>本基金投资的前十名股票中，没有超出基金合同规定的备选股票库之外的股票。</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11.3</w:t>
      </w:r>
      <w:r w:rsidR="0035383E" w:rsidRPr="006B0D08">
        <w:rPr>
          <w:b/>
          <w:bCs/>
          <w:color w:val="000000"/>
          <w:kern w:val="0"/>
          <w:sz w:val="24"/>
          <w:szCs w:val="24"/>
        </w:rPr>
        <w:t>其他</w:t>
      </w:r>
      <w:r w:rsidR="004061AC" w:rsidRPr="006B0D08">
        <w:rPr>
          <w:b/>
          <w:bCs/>
          <w:color w:val="000000"/>
          <w:kern w:val="0"/>
          <w:sz w:val="24"/>
          <w:szCs w:val="24"/>
        </w:rPr>
        <w:t>资产构成</w:t>
      </w:r>
    </w:p>
    <w:p w:rsidR="00DD7A00" w:rsidRPr="00414345" w:rsidRDefault="004A0AA9" w:rsidP="00DD7A00">
      <w:pPr>
        <w:autoSpaceDE w:val="0"/>
        <w:autoSpaceDN w:val="0"/>
        <w:adjustRightInd w:val="0"/>
        <w:spacing w:before="29" w:line="288" w:lineRule="auto"/>
        <w:jc w:val="right"/>
        <w:rPr>
          <w:bCs/>
          <w:color w:val="000000"/>
          <w:kern w:val="0"/>
          <w:sz w:val="24"/>
          <w:szCs w:val="24"/>
        </w:rPr>
      </w:pPr>
      <w:r w:rsidRPr="004A0AA9">
        <w:rPr>
          <w:rFonts w:hint="eastAsia"/>
          <w:bCs/>
          <w:color w:val="000000"/>
          <w:kern w:val="0"/>
          <w:sz w:val="24"/>
          <w:szCs w:val="24"/>
        </w:rPr>
        <w:t>金额单位：人民币元</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259,505.30</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508,384.39</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7,611.10</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64,702,703.75</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65,478,204.54</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11.4</w:t>
      </w:r>
      <w:r w:rsidR="004061AC" w:rsidRPr="006B0D08">
        <w:rPr>
          <w:b/>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11.5</w:t>
      </w:r>
      <w:r w:rsidR="004061AC" w:rsidRPr="006B0D08">
        <w:rPr>
          <w:b/>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本基金本报告期末前十名股票中不存在流通受限情况。</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11.6</w:t>
      </w:r>
      <w:r w:rsidR="001675CD" w:rsidRPr="006B0D08">
        <w:rPr>
          <w:b/>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Default="006B2FF6" w:rsidP="00C15CAC">
      <w:pPr>
        <w:spacing w:before="29" w:line="288" w:lineRule="auto"/>
        <w:ind w:firstLineChars="200" w:firstLine="480"/>
        <w:rPr>
          <w:color w:val="000000"/>
          <w:sz w:val="24"/>
          <w:szCs w:val="24"/>
        </w:rPr>
      </w:pPr>
    </w:p>
    <w:p w:rsidR="001F3E2A" w:rsidRDefault="001F3E2A" w:rsidP="00C15CAC">
      <w:pPr>
        <w:spacing w:before="29" w:line="288" w:lineRule="auto"/>
        <w:ind w:firstLineChars="200" w:firstLine="480"/>
        <w:rPr>
          <w:color w:val="000000"/>
          <w:sz w:val="24"/>
          <w:szCs w:val="24"/>
        </w:rPr>
      </w:pPr>
    </w:p>
    <w:p w:rsidR="001F3E2A" w:rsidRPr="00414345" w:rsidRDefault="001F3E2A" w:rsidP="00C15CAC">
      <w:pPr>
        <w:spacing w:before="29" w:line="288" w:lineRule="auto"/>
        <w:ind w:firstLineChars="200" w:firstLine="480"/>
        <w:rPr>
          <w:color w:val="000000"/>
          <w:sz w:val="24"/>
          <w:szCs w:val="24"/>
        </w:rPr>
      </w:pPr>
    </w:p>
    <w:p w:rsidR="004061AC" w:rsidRPr="005A3D62" w:rsidRDefault="004061AC" w:rsidP="0011537B">
      <w:pPr>
        <w:pStyle w:val="1"/>
        <w:spacing w:beforeLines="100" w:before="312" w:afterLines="100" w:after="312" w:line="360" w:lineRule="auto"/>
        <w:jc w:val="center"/>
        <w:rPr>
          <w:rFonts w:eastAsiaTheme="minorEastAsia"/>
          <w:color w:val="000000" w:themeColor="text1"/>
          <w:kern w:val="0"/>
          <w:sz w:val="24"/>
          <w:szCs w:val="24"/>
        </w:rPr>
      </w:pPr>
      <w:r w:rsidRPr="005A3D62">
        <w:rPr>
          <w:rFonts w:eastAsiaTheme="minorEastAsia"/>
          <w:color w:val="000000" w:themeColor="text1"/>
          <w:kern w:val="0"/>
          <w:sz w:val="24"/>
          <w:szCs w:val="24"/>
        </w:rPr>
        <w:t>§</w:t>
      </w:r>
      <w:r w:rsidR="0072794E" w:rsidRPr="005A3D62">
        <w:rPr>
          <w:rFonts w:eastAsiaTheme="minorEastAsia"/>
          <w:color w:val="000000" w:themeColor="text1"/>
          <w:kern w:val="0"/>
          <w:sz w:val="24"/>
          <w:szCs w:val="24"/>
        </w:rPr>
        <w:t>6</w:t>
      </w:r>
      <w:r w:rsidRPr="005A3D62">
        <w:rPr>
          <w:rFonts w:eastAsiaTheme="minorEastAsia"/>
          <w:color w:val="000000" w:themeColor="text1"/>
          <w:kern w:val="0"/>
          <w:sz w:val="24"/>
          <w:szCs w:val="24"/>
        </w:rPr>
        <w:t xml:space="preserve">  </w:t>
      </w:r>
      <w:r w:rsidRPr="005A3D62">
        <w:rPr>
          <w:rFonts w:eastAsiaTheme="minorEastAsia"/>
          <w:color w:val="000000" w:themeColor="text1"/>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223,911,378.02</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135,594,828.33</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18,861,479.85</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340,644,726.50</w:t>
            </w:r>
          </w:p>
        </w:tc>
      </w:tr>
    </w:tbl>
    <w:p w:rsidR="005B4AC3" w:rsidRDefault="006E0904">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11537B">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B22DEE" w:rsidRPr="00E02660"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8</w:t>
      </w:r>
      <w:r w:rsidR="00834E74">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5B4AC3" w:rsidRDefault="006E0904">
      <w:pPr>
        <w:spacing w:before="29" w:line="288" w:lineRule="auto"/>
        <w:ind w:firstLineChars="200" w:firstLine="480"/>
        <w:rPr>
          <w:color w:val="000000"/>
          <w:sz w:val="24"/>
          <w:szCs w:val="24"/>
        </w:rPr>
      </w:pPr>
      <w:r>
        <w:rPr>
          <w:color w:val="000000"/>
          <w:sz w:val="24"/>
          <w:szCs w:val="24"/>
        </w:rPr>
        <w:t>1</w:t>
      </w:r>
      <w:r>
        <w:rPr>
          <w:color w:val="000000"/>
          <w:sz w:val="24"/>
          <w:szCs w:val="24"/>
        </w:rPr>
        <w:t>、中国证监会准予交银施罗德创新成长混合型证券投资基金募集注册的文件；</w:t>
      </w:r>
      <w:r>
        <w:rPr>
          <w:color w:val="000000"/>
          <w:sz w:val="24"/>
          <w:szCs w:val="24"/>
        </w:rPr>
        <w:t xml:space="preserve"> </w:t>
      </w:r>
    </w:p>
    <w:p w:rsidR="005B4AC3" w:rsidRDefault="006E0904">
      <w:pPr>
        <w:spacing w:before="29" w:line="288" w:lineRule="auto"/>
        <w:ind w:firstLineChars="200" w:firstLine="480"/>
        <w:rPr>
          <w:color w:val="000000"/>
          <w:sz w:val="24"/>
          <w:szCs w:val="24"/>
        </w:rPr>
      </w:pPr>
      <w:r>
        <w:rPr>
          <w:color w:val="000000"/>
          <w:sz w:val="24"/>
          <w:szCs w:val="24"/>
        </w:rPr>
        <w:t>2</w:t>
      </w:r>
      <w:r>
        <w:rPr>
          <w:color w:val="000000"/>
          <w:sz w:val="24"/>
          <w:szCs w:val="24"/>
        </w:rPr>
        <w:t>、《交银施罗德创新成长混合型证券投资基金基金合同》；</w:t>
      </w:r>
      <w:r>
        <w:rPr>
          <w:color w:val="000000"/>
          <w:sz w:val="24"/>
          <w:szCs w:val="24"/>
        </w:rPr>
        <w:t xml:space="preserve"> </w:t>
      </w:r>
    </w:p>
    <w:p w:rsidR="005B4AC3" w:rsidRDefault="006E0904">
      <w:pPr>
        <w:spacing w:before="29" w:line="288" w:lineRule="auto"/>
        <w:ind w:firstLineChars="200" w:firstLine="480"/>
        <w:rPr>
          <w:color w:val="000000"/>
          <w:sz w:val="24"/>
          <w:szCs w:val="24"/>
        </w:rPr>
      </w:pPr>
      <w:r>
        <w:rPr>
          <w:color w:val="000000"/>
          <w:sz w:val="24"/>
          <w:szCs w:val="24"/>
        </w:rPr>
        <w:t>3</w:t>
      </w:r>
      <w:r>
        <w:rPr>
          <w:color w:val="000000"/>
          <w:sz w:val="24"/>
          <w:szCs w:val="24"/>
        </w:rPr>
        <w:t>、《交银施罗德创新成长混合型证券投资基金招募说明书》；</w:t>
      </w:r>
      <w:r>
        <w:rPr>
          <w:color w:val="000000"/>
          <w:sz w:val="24"/>
          <w:szCs w:val="24"/>
        </w:rPr>
        <w:t xml:space="preserve"> </w:t>
      </w:r>
    </w:p>
    <w:p w:rsidR="005B4AC3" w:rsidRDefault="006E0904">
      <w:pPr>
        <w:spacing w:before="29" w:line="288" w:lineRule="auto"/>
        <w:ind w:firstLineChars="200" w:firstLine="480"/>
        <w:rPr>
          <w:color w:val="000000"/>
          <w:sz w:val="24"/>
          <w:szCs w:val="24"/>
        </w:rPr>
      </w:pPr>
      <w:r>
        <w:rPr>
          <w:color w:val="000000"/>
          <w:sz w:val="24"/>
          <w:szCs w:val="24"/>
        </w:rPr>
        <w:t>4</w:t>
      </w:r>
      <w:r>
        <w:rPr>
          <w:color w:val="000000"/>
          <w:sz w:val="24"/>
          <w:szCs w:val="24"/>
        </w:rPr>
        <w:t>、《交银施罗德创新成长混合型证券投资基金托管协议》；</w:t>
      </w:r>
      <w:r>
        <w:rPr>
          <w:color w:val="000000"/>
          <w:sz w:val="24"/>
          <w:szCs w:val="24"/>
        </w:rPr>
        <w:t xml:space="preserve"> </w:t>
      </w:r>
    </w:p>
    <w:p w:rsidR="005B4AC3" w:rsidRDefault="006E0904">
      <w:pPr>
        <w:spacing w:before="29" w:line="288" w:lineRule="auto"/>
        <w:ind w:firstLineChars="200" w:firstLine="480"/>
        <w:rPr>
          <w:color w:val="000000"/>
          <w:sz w:val="24"/>
          <w:szCs w:val="24"/>
        </w:rPr>
      </w:pPr>
      <w:r>
        <w:rPr>
          <w:color w:val="000000"/>
          <w:sz w:val="24"/>
          <w:szCs w:val="24"/>
        </w:rPr>
        <w:t>5</w:t>
      </w:r>
      <w:r>
        <w:rPr>
          <w:color w:val="000000"/>
          <w:sz w:val="24"/>
          <w:szCs w:val="24"/>
        </w:rPr>
        <w:t>、关于申请募集注册交银施罗德创新成长混合型证券投资基金的法律意见书；</w:t>
      </w:r>
      <w:r>
        <w:rPr>
          <w:color w:val="000000"/>
          <w:sz w:val="24"/>
          <w:szCs w:val="24"/>
        </w:rPr>
        <w:t xml:space="preserve"> </w:t>
      </w:r>
    </w:p>
    <w:p w:rsidR="005B4AC3" w:rsidRDefault="006E0904">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r>
        <w:rPr>
          <w:color w:val="000000"/>
          <w:sz w:val="24"/>
          <w:szCs w:val="24"/>
        </w:rPr>
        <w:t xml:space="preserve"> </w:t>
      </w:r>
    </w:p>
    <w:p w:rsidR="005B4AC3" w:rsidRDefault="006E0904">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r>
        <w:rPr>
          <w:color w:val="000000"/>
          <w:sz w:val="24"/>
          <w:szCs w:val="24"/>
        </w:rPr>
        <w:t xml:space="preserve"> </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、报告期内交银施罗德创新成长混合型证券投资基金在指定报刊上各项公告的原稿。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5B4AC3" w:rsidRDefault="006E0904">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AA1" w:rsidRDefault="00C11AA1" w:rsidP="00876D65">
      <w:r>
        <w:separator/>
      </w:r>
    </w:p>
  </w:endnote>
  <w:endnote w:type="continuationSeparator" w:id="0">
    <w:p w:rsidR="00C11AA1" w:rsidRDefault="00C11AA1"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angSong">
    <w:altName w:val="黑体"/>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3941E1">
      <w:rPr>
        <w:noProof/>
        <w:kern w:val="0"/>
        <w:szCs w:val="21"/>
      </w:rPr>
      <w:t>7</w:t>
    </w:r>
    <w:r w:rsidR="00381EE8">
      <w:rPr>
        <w:kern w:val="0"/>
        <w:szCs w:val="21"/>
      </w:rPr>
      <w:fldChar w:fldCharType="end"/>
    </w:r>
    <w:r>
      <w:rPr>
        <w:rFonts w:hint="eastAsia"/>
        <w:kern w:val="0"/>
        <w:szCs w:val="21"/>
      </w:rPr>
      <w:t>页共</w:t>
    </w:r>
    <w:r w:rsidR="00381EE8">
      <w:rPr>
        <w:kern w:val="0"/>
        <w:szCs w:val="21"/>
      </w:rPr>
      <w:fldChar w:fldCharType="begin"/>
    </w:r>
    <w:r>
      <w:rPr>
        <w:kern w:val="0"/>
        <w:szCs w:val="21"/>
      </w:rPr>
      <w:instrText xml:space="preserve"> NUMPAGES </w:instrText>
    </w:r>
    <w:r w:rsidR="00381EE8">
      <w:rPr>
        <w:kern w:val="0"/>
        <w:szCs w:val="21"/>
      </w:rPr>
      <w:fldChar w:fldCharType="separate"/>
    </w:r>
    <w:r w:rsidR="003941E1">
      <w:rPr>
        <w:noProof/>
        <w:kern w:val="0"/>
        <w:szCs w:val="21"/>
      </w:rPr>
      <w:t>12</w:t>
    </w:r>
    <w:r w:rsidR="00381EE8">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AA1" w:rsidRDefault="00C11AA1" w:rsidP="00876D65">
      <w:r>
        <w:separator/>
      </w:r>
    </w:p>
  </w:footnote>
  <w:footnote w:type="continuationSeparator" w:id="0">
    <w:p w:rsidR="00C11AA1" w:rsidRDefault="00C11AA1"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DC456F" w:rsidRDefault="00DC456F" w:rsidP="00090A26">
    <w:pPr>
      <w:pStyle w:val="a9"/>
      <w:pBdr>
        <w:bottom w:val="single" w:sz="6" w:space="0" w:color="auto"/>
      </w:pBdr>
      <w:jc w:val="right"/>
      <w:rPr>
        <w:sz w:val="24"/>
        <w:szCs w:val="24"/>
      </w:rPr>
    </w:pPr>
    <w:r w:rsidRPr="003E676C">
      <w:rPr>
        <w:sz w:val="24"/>
        <w:szCs w:val="24"/>
      </w:rPr>
      <w:t>交银施罗德创新成长混合型证券投资基金</w:t>
    </w:r>
    <w:r w:rsidRPr="003E676C">
      <w:rPr>
        <w:sz w:val="24"/>
        <w:szCs w:val="24"/>
      </w:rPr>
      <w:t>2020</w:t>
    </w:r>
    <w:r w:rsidRPr="003E676C">
      <w:rPr>
        <w:sz w:val="24"/>
        <w:szCs w:val="24"/>
      </w:rPr>
      <w:t>年第</w:t>
    </w:r>
    <w:r w:rsidRPr="003E676C">
      <w:rPr>
        <w:sz w:val="24"/>
        <w:szCs w:val="24"/>
      </w:rPr>
      <w:t>2</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66A97"/>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26E"/>
    <w:rsid w:val="001717D5"/>
    <w:rsid w:val="00171EF0"/>
    <w:rsid w:val="00173B44"/>
    <w:rsid w:val="001761D2"/>
    <w:rsid w:val="00176C21"/>
    <w:rsid w:val="0018138B"/>
    <w:rsid w:val="001830D7"/>
    <w:rsid w:val="00185A34"/>
    <w:rsid w:val="001934F6"/>
    <w:rsid w:val="00196E6C"/>
    <w:rsid w:val="001A280A"/>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5A47"/>
    <w:rsid w:val="003470E2"/>
    <w:rsid w:val="0035076C"/>
    <w:rsid w:val="00352719"/>
    <w:rsid w:val="0035383E"/>
    <w:rsid w:val="00355364"/>
    <w:rsid w:val="00364CCB"/>
    <w:rsid w:val="00365798"/>
    <w:rsid w:val="00372F16"/>
    <w:rsid w:val="00381EE8"/>
    <w:rsid w:val="0039085F"/>
    <w:rsid w:val="00394069"/>
    <w:rsid w:val="003941E1"/>
    <w:rsid w:val="00396809"/>
    <w:rsid w:val="003A58DC"/>
    <w:rsid w:val="003A6061"/>
    <w:rsid w:val="003B3494"/>
    <w:rsid w:val="003B5E08"/>
    <w:rsid w:val="003B6FBC"/>
    <w:rsid w:val="003C32C0"/>
    <w:rsid w:val="003C50AD"/>
    <w:rsid w:val="003D2269"/>
    <w:rsid w:val="003D742E"/>
    <w:rsid w:val="003E62FB"/>
    <w:rsid w:val="003E6867"/>
    <w:rsid w:val="003F0956"/>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6A8F"/>
    <w:rsid w:val="00427F58"/>
    <w:rsid w:val="00433805"/>
    <w:rsid w:val="00442F8D"/>
    <w:rsid w:val="00443869"/>
    <w:rsid w:val="00443ABF"/>
    <w:rsid w:val="00460575"/>
    <w:rsid w:val="00463EC0"/>
    <w:rsid w:val="00464787"/>
    <w:rsid w:val="00471408"/>
    <w:rsid w:val="00480B35"/>
    <w:rsid w:val="004858E0"/>
    <w:rsid w:val="00487A40"/>
    <w:rsid w:val="004917C3"/>
    <w:rsid w:val="00491C81"/>
    <w:rsid w:val="004934E9"/>
    <w:rsid w:val="004943C2"/>
    <w:rsid w:val="004949F3"/>
    <w:rsid w:val="004A0AA9"/>
    <w:rsid w:val="004A11A7"/>
    <w:rsid w:val="004A459C"/>
    <w:rsid w:val="004A6731"/>
    <w:rsid w:val="004A7B1D"/>
    <w:rsid w:val="004B2AF4"/>
    <w:rsid w:val="004C0914"/>
    <w:rsid w:val="004C20CA"/>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4A5"/>
    <w:rsid w:val="005B09FA"/>
    <w:rsid w:val="005B2E9C"/>
    <w:rsid w:val="005B3CC0"/>
    <w:rsid w:val="005B4AC3"/>
    <w:rsid w:val="005B4C8F"/>
    <w:rsid w:val="005B4F93"/>
    <w:rsid w:val="005B73D2"/>
    <w:rsid w:val="005D2B36"/>
    <w:rsid w:val="005E475E"/>
    <w:rsid w:val="005F118D"/>
    <w:rsid w:val="005F1F22"/>
    <w:rsid w:val="005F3996"/>
    <w:rsid w:val="005F3B8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0D08"/>
    <w:rsid w:val="006B11BB"/>
    <w:rsid w:val="006B2FF6"/>
    <w:rsid w:val="006B5457"/>
    <w:rsid w:val="006B5F69"/>
    <w:rsid w:val="006C12B8"/>
    <w:rsid w:val="006C2C1B"/>
    <w:rsid w:val="006C37FC"/>
    <w:rsid w:val="006C7EA3"/>
    <w:rsid w:val="006D2F96"/>
    <w:rsid w:val="006D39E9"/>
    <w:rsid w:val="006D3BE3"/>
    <w:rsid w:val="006D7004"/>
    <w:rsid w:val="006D789D"/>
    <w:rsid w:val="006D7FF8"/>
    <w:rsid w:val="006E042A"/>
    <w:rsid w:val="006E0904"/>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2639"/>
    <w:rsid w:val="007B4C04"/>
    <w:rsid w:val="007B5AFB"/>
    <w:rsid w:val="007B5F21"/>
    <w:rsid w:val="007C395A"/>
    <w:rsid w:val="007C5862"/>
    <w:rsid w:val="007D0922"/>
    <w:rsid w:val="007D100C"/>
    <w:rsid w:val="007E2686"/>
    <w:rsid w:val="007E57C0"/>
    <w:rsid w:val="007F29B1"/>
    <w:rsid w:val="007F6DD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868F3"/>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1009"/>
    <w:rsid w:val="009C5186"/>
    <w:rsid w:val="009C60F7"/>
    <w:rsid w:val="009D0952"/>
    <w:rsid w:val="009D1BD9"/>
    <w:rsid w:val="009E19A9"/>
    <w:rsid w:val="009E31DA"/>
    <w:rsid w:val="009E402C"/>
    <w:rsid w:val="009E7C6A"/>
    <w:rsid w:val="009F27F9"/>
    <w:rsid w:val="009F3659"/>
    <w:rsid w:val="009F4861"/>
    <w:rsid w:val="009F61BE"/>
    <w:rsid w:val="009F7643"/>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969"/>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AF6FFB"/>
    <w:rsid w:val="00B11A78"/>
    <w:rsid w:val="00B11BE5"/>
    <w:rsid w:val="00B11F31"/>
    <w:rsid w:val="00B12B7D"/>
    <w:rsid w:val="00B16985"/>
    <w:rsid w:val="00B22DEE"/>
    <w:rsid w:val="00B27479"/>
    <w:rsid w:val="00B32AA7"/>
    <w:rsid w:val="00B34678"/>
    <w:rsid w:val="00B34FB5"/>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3A00"/>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05E0"/>
    <w:rsid w:val="00BD70E0"/>
    <w:rsid w:val="00BD7473"/>
    <w:rsid w:val="00BD7703"/>
    <w:rsid w:val="00BE14ED"/>
    <w:rsid w:val="00BE420D"/>
    <w:rsid w:val="00BE5388"/>
    <w:rsid w:val="00BF0019"/>
    <w:rsid w:val="00C012F9"/>
    <w:rsid w:val="00C102E6"/>
    <w:rsid w:val="00C11AA1"/>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39AB"/>
    <w:rsid w:val="00CE473F"/>
    <w:rsid w:val="00CE7169"/>
    <w:rsid w:val="00CF04CF"/>
    <w:rsid w:val="00CF2D3E"/>
    <w:rsid w:val="00CF6572"/>
    <w:rsid w:val="00D01FE6"/>
    <w:rsid w:val="00D02347"/>
    <w:rsid w:val="00D03EB3"/>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D7A00"/>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1826"/>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04FC3"/>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B5B536B-9DA6-4920-8EA4-43C10A5F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581DF-BF16-4CFB-9DB7-147771A55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1829</TotalTime>
  <Pages>12</Pages>
  <Words>1042</Words>
  <Characters>5942</Characters>
  <Application>Microsoft Office Word</Application>
  <DocSecurity>0</DocSecurity>
  <Lines>49</Lines>
  <Paragraphs>13</Paragraphs>
  <ScaleCrop>false</ScaleCrop>
  <Company/>
  <LinksUpToDate>false</LinksUpToDate>
  <CharactersWithSpaces>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沈向文</cp:lastModifiedBy>
  <cp:revision>602</cp:revision>
  <dcterms:created xsi:type="dcterms:W3CDTF">2012-10-16T06:07:00Z</dcterms:created>
  <dcterms:modified xsi:type="dcterms:W3CDTF">2020-07-10T10:13:00Z</dcterms:modified>
</cp:coreProperties>
</file>