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3,382,876,578.93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3,382,775,012.27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101,566.66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31,604,858.49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602.21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3,700,960.07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-599.53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3,476,534,215.94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115,312.95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1.1353</w:t>
            </w:r>
          </w:p>
        </w:tc>
      </w:tr>
    </w:tbl>
    <w:p w:rsidR="00CC6346" w:rsidRDefault="001C11D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6346">
        <w:trPr>
          <w:jc w:val="center"/>
        </w:trPr>
        <w:tc>
          <w:tcPr>
            <w:tcW w:w="1266" w:type="dxa"/>
            <w:vAlign w:val="center"/>
          </w:tcPr>
          <w:p w:rsidR="00CC6346" w:rsidRDefault="001C11DF">
            <w:pPr>
              <w:jc w:val="left"/>
            </w:pPr>
            <w:r>
              <w:rPr>
                <w:color w:val="000000"/>
                <w:sz w:val="24"/>
              </w:rPr>
              <w:lastRenderedPageBreak/>
              <w:t>过去三个月</w:t>
            </w:r>
          </w:p>
        </w:tc>
        <w:tc>
          <w:tcPr>
            <w:tcW w:w="1267" w:type="dxa"/>
            <w:vAlign w:val="center"/>
          </w:tcPr>
          <w:p w:rsidR="00CC6346" w:rsidRDefault="001C11DF">
            <w:pPr>
              <w:jc w:val="center"/>
            </w:pPr>
            <w:r>
              <w:rPr>
                <w:color w:val="000000"/>
                <w:sz w:val="24"/>
              </w:rPr>
              <w:t>0.07%</w:t>
            </w:r>
          </w:p>
        </w:tc>
        <w:tc>
          <w:tcPr>
            <w:tcW w:w="1267" w:type="dxa"/>
            <w:vAlign w:val="center"/>
          </w:tcPr>
          <w:p w:rsidR="00CC6346" w:rsidRDefault="001C11DF">
            <w:pPr>
              <w:jc w:val="center"/>
            </w:pPr>
            <w:r>
              <w:rPr>
                <w:color w:val="000000"/>
                <w:sz w:val="24"/>
              </w:rPr>
              <w:t>0.06%</w:t>
            </w:r>
          </w:p>
        </w:tc>
        <w:tc>
          <w:tcPr>
            <w:tcW w:w="1267" w:type="dxa"/>
            <w:vAlign w:val="center"/>
          </w:tcPr>
          <w:p w:rsidR="00CC6346" w:rsidRDefault="001C11DF">
            <w:pPr>
              <w:jc w:val="center"/>
            </w:pPr>
            <w:r>
              <w:rPr>
                <w:color w:val="000000"/>
                <w:sz w:val="24"/>
              </w:rPr>
              <w:t>-1.04%</w:t>
            </w:r>
          </w:p>
        </w:tc>
        <w:tc>
          <w:tcPr>
            <w:tcW w:w="1267" w:type="dxa"/>
            <w:vAlign w:val="center"/>
          </w:tcPr>
          <w:p w:rsidR="00CC6346" w:rsidRDefault="001C11DF">
            <w:pPr>
              <w:jc w:val="center"/>
            </w:pPr>
            <w:r>
              <w:rPr>
                <w:color w:val="000000"/>
                <w:sz w:val="24"/>
              </w:rPr>
              <w:t>0.12%</w:t>
            </w:r>
          </w:p>
        </w:tc>
        <w:tc>
          <w:tcPr>
            <w:tcW w:w="1267" w:type="dxa"/>
            <w:vAlign w:val="center"/>
          </w:tcPr>
          <w:p w:rsidR="00CC6346" w:rsidRDefault="001C11DF">
            <w:pPr>
              <w:jc w:val="center"/>
            </w:pPr>
            <w:r>
              <w:rPr>
                <w:color w:val="000000"/>
                <w:sz w:val="24"/>
              </w:rPr>
              <w:t>1.11%</w:t>
            </w:r>
          </w:p>
        </w:tc>
        <w:tc>
          <w:tcPr>
            <w:tcW w:w="1267" w:type="dxa"/>
            <w:vAlign w:val="center"/>
          </w:tcPr>
          <w:p w:rsidR="00CC6346" w:rsidRDefault="001C11DF">
            <w:pPr>
              <w:jc w:val="center"/>
            </w:pPr>
            <w:r>
              <w:rPr>
                <w:color w:val="000000"/>
                <w:sz w:val="24"/>
              </w:rPr>
              <w:t>-0.06%</w:t>
            </w:r>
          </w:p>
        </w:tc>
      </w:tr>
      <w:tr w:rsidR="00CC6346">
        <w:trPr>
          <w:jc w:val="center"/>
        </w:trPr>
        <w:tc>
          <w:tcPr>
            <w:tcW w:w="1266" w:type="dxa"/>
            <w:vAlign w:val="center"/>
          </w:tcPr>
          <w:p w:rsidR="00CC6346" w:rsidRDefault="001C11DF">
            <w:pPr>
              <w:jc w:val="left"/>
            </w:pPr>
            <w:r>
              <w:rPr>
                <w:color w:val="000000"/>
                <w:sz w:val="24"/>
              </w:rPr>
              <w:t>过去六个月</w:t>
            </w:r>
          </w:p>
        </w:tc>
        <w:tc>
          <w:tcPr>
            <w:tcW w:w="1267" w:type="dxa"/>
            <w:vAlign w:val="center"/>
          </w:tcPr>
          <w:p w:rsidR="00CC6346" w:rsidRDefault="001C11DF">
            <w:pPr>
              <w:jc w:val="center"/>
            </w:pPr>
            <w:r>
              <w:rPr>
                <w:color w:val="000000"/>
                <w:sz w:val="24"/>
              </w:rPr>
              <w:t>1.49%</w:t>
            </w:r>
          </w:p>
        </w:tc>
        <w:tc>
          <w:tcPr>
            <w:tcW w:w="1267" w:type="dxa"/>
            <w:vAlign w:val="center"/>
          </w:tcPr>
          <w:p w:rsidR="00CC6346" w:rsidRDefault="001C11DF">
            <w:pPr>
              <w:jc w:val="center"/>
            </w:pPr>
            <w:r>
              <w:rPr>
                <w:color w:val="000000"/>
                <w:sz w:val="24"/>
              </w:rPr>
              <w:t>0.05%</w:t>
            </w:r>
          </w:p>
        </w:tc>
        <w:tc>
          <w:tcPr>
            <w:tcW w:w="1267" w:type="dxa"/>
            <w:vAlign w:val="center"/>
          </w:tcPr>
          <w:p w:rsidR="00CC6346" w:rsidRDefault="001C11DF">
            <w:pPr>
              <w:jc w:val="center"/>
            </w:pPr>
            <w:r>
              <w:rPr>
                <w:color w:val="000000"/>
                <w:sz w:val="24"/>
              </w:rPr>
              <w:t>0.79%</w:t>
            </w:r>
          </w:p>
        </w:tc>
        <w:tc>
          <w:tcPr>
            <w:tcW w:w="1267" w:type="dxa"/>
            <w:vAlign w:val="center"/>
          </w:tcPr>
          <w:p w:rsidR="00CC6346" w:rsidRDefault="001C11DF">
            <w:pPr>
              <w:jc w:val="center"/>
            </w:pPr>
            <w:r>
              <w:rPr>
                <w:color w:val="000000"/>
                <w:sz w:val="24"/>
              </w:rPr>
              <w:t>0.11%</w:t>
            </w:r>
          </w:p>
        </w:tc>
        <w:tc>
          <w:tcPr>
            <w:tcW w:w="1267" w:type="dxa"/>
            <w:vAlign w:val="center"/>
          </w:tcPr>
          <w:p w:rsidR="00CC6346" w:rsidRDefault="001C11DF">
            <w:pPr>
              <w:jc w:val="center"/>
            </w:pPr>
            <w:r>
              <w:rPr>
                <w:color w:val="000000"/>
                <w:sz w:val="24"/>
              </w:rPr>
              <w:t>0.70%</w:t>
            </w:r>
          </w:p>
        </w:tc>
        <w:tc>
          <w:tcPr>
            <w:tcW w:w="1267" w:type="dxa"/>
            <w:vAlign w:val="center"/>
          </w:tcPr>
          <w:p w:rsidR="00CC6346" w:rsidRDefault="001C11DF">
            <w:pPr>
              <w:jc w:val="center"/>
            </w:pPr>
            <w:r>
              <w:rPr>
                <w:color w:val="000000"/>
                <w:sz w:val="24"/>
              </w:rPr>
              <w:t>-0.06%</w:t>
            </w:r>
          </w:p>
        </w:tc>
      </w:tr>
      <w:tr w:rsidR="00CC6346">
        <w:trPr>
          <w:jc w:val="center"/>
        </w:trPr>
        <w:tc>
          <w:tcPr>
            <w:tcW w:w="1266" w:type="dxa"/>
            <w:vAlign w:val="center"/>
          </w:tcPr>
          <w:p w:rsidR="00CC6346" w:rsidRDefault="001C11DF">
            <w:pPr>
              <w:jc w:val="left"/>
            </w:pPr>
            <w:r>
              <w:rPr>
                <w:color w:val="000000"/>
                <w:sz w:val="24"/>
              </w:rPr>
              <w:t>过去一年</w:t>
            </w:r>
          </w:p>
        </w:tc>
        <w:tc>
          <w:tcPr>
            <w:tcW w:w="1267" w:type="dxa"/>
            <w:vAlign w:val="center"/>
          </w:tcPr>
          <w:p w:rsidR="00CC6346" w:rsidRDefault="001C11DF">
            <w:pPr>
              <w:jc w:val="center"/>
            </w:pPr>
            <w:r>
              <w:rPr>
                <w:color w:val="000000"/>
                <w:sz w:val="24"/>
              </w:rPr>
              <w:t>3.49%</w:t>
            </w:r>
          </w:p>
        </w:tc>
        <w:tc>
          <w:tcPr>
            <w:tcW w:w="1267" w:type="dxa"/>
            <w:vAlign w:val="center"/>
          </w:tcPr>
          <w:p w:rsidR="00CC6346" w:rsidRDefault="001C11DF">
            <w:pPr>
              <w:jc w:val="center"/>
            </w:pPr>
            <w:r>
              <w:rPr>
                <w:color w:val="000000"/>
                <w:sz w:val="24"/>
              </w:rPr>
              <w:t>0.04%</w:t>
            </w:r>
          </w:p>
        </w:tc>
        <w:tc>
          <w:tcPr>
            <w:tcW w:w="1267" w:type="dxa"/>
            <w:vAlign w:val="center"/>
          </w:tcPr>
          <w:p w:rsidR="00CC6346" w:rsidRDefault="001C11DF">
            <w:pPr>
              <w:jc w:val="center"/>
            </w:pPr>
            <w:r>
              <w:rPr>
                <w:color w:val="000000"/>
                <w:sz w:val="24"/>
              </w:rPr>
              <w:t>1.87%</w:t>
            </w:r>
          </w:p>
        </w:tc>
        <w:tc>
          <w:tcPr>
            <w:tcW w:w="1267" w:type="dxa"/>
            <w:vAlign w:val="center"/>
          </w:tcPr>
          <w:p w:rsidR="00CC6346" w:rsidRDefault="001C11DF">
            <w:pPr>
              <w:jc w:val="center"/>
            </w:pPr>
            <w:r>
              <w:rPr>
                <w:color w:val="000000"/>
                <w:sz w:val="24"/>
              </w:rPr>
              <w:t>0.08%</w:t>
            </w:r>
          </w:p>
        </w:tc>
        <w:tc>
          <w:tcPr>
            <w:tcW w:w="1267" w:type="dxa"/>
            <w:vAlign w:val="center"/>
          </w:tcPr>
          <w:p w:rsidR="00CC6346" w:rsidRDefault="001C11DF">
            <w:pPr>
              <w:jc w:val="center"/>
            </w:pPr>
            <w:r>
              <w:rPr>
                <w:color w:val="000000"/>
                <w:sz w:val="24"/>
              </w:rPr>
              <w:t>1.62%</w:t>
            </w:r>
          </w:p>
        </w:tc>
        <w:tc>
          <w:tcPr>
            <w:tcW w:w="1267" w:type="dxa"/>
            <w:vAlign w:val="center"/>
          </w:tcPr>
          <w:p w:rsidR="00CC6346" w:rsidRDefault="001C11DF">
            <w:pPr>
              <w:jc w:val="center"/>
            </w:pPr>
            <w:r>
              <w:rPr>
                <w:color w:val="000000"/>
                <w:sz w:val="24"/>
              </w:rPr>
              <w:t>-0.04%</w:t>
            </w:r>
          </w:p>
        </w:tc>
      </w:tr>
      <w:tr w:rsidR="00CC6346">
        <w:trPr>
          <w:jc w:val="center"/>
        </w:trPr>
        <w:tc>
          <w:tcPr>
            <w:tcW w:w="1266" w:type="dxa"/>
            <w:vAlign w:val="center"/>
          </w:tcPr>
          <w:p w:rsidR="00CC6346" w:rsidRDefault="001C11DF">
            <w:pPr>
              <w:jc w:val="left"/>
            </w:pPr>
            <w:r>
              <w:rPr>
                <w:color w:val="000000"/>
                <w:sz w:val="24"/>
              </w:rPr>
              <w:t>过去三年</w:t>
            </w:r>
          </w:p>
        </w:tc>
        <w:tc>
          <w:tcPr>
            <w:tcW w:w="1267" w:type="dxa"/>
            <w:vAlign w:val="center"/>
          </w:tcPr>
          <w:p w:rsidR="00CC6346" w:rsidRDefault="001C11DF">
            <w:pPr>
              <w:jc w:val="center"/>
            </w:pPr>
            <w:r>
              <w:rPr>
                <w:color w:val="000000"/>
                <w:sz w:val="24"/>
              </w:rPr>
              <w:t>12.76%</w:t>
            </w:r>
          </w:p>
        </w:tc>
        <w:tc>
          <w:tcPr>
            <w:tcW w:w="1267" w:type="dxa"/>
            <w:vAlign w:val="center"/>
          </w:tcPr>
          <w:p w:rsidR="00CC6346" w:rsidRDefault="001C11DF">
            <w:pPr>
              <w:jc w:val="center"/>
            </w:pPr>
            <w:r>
              <w:rPr>
                <w:color w:val="000000"/>
                <w:sz w:val="24"/>
              </w:rPr>
              <w:t>0.03%</w:t>
            </w:r>
          </w:p>
        </w:tc>
        <w:tc>
          <w:tcPr>
            <w:tcW w:w="1267" w:type="dxa"/>
            <w:vAlign w:val="center"/>
          </w:tcPr>
          <w:p w:rsidR="00CC6346" w:rsidRDefault="001C11DF">
            <w:pPr>
              <w:jc w:val="center"/>
            </w:pPr>
            <w:r>
              <w:rPr>
                <w:color w:val="000000"/>
                <w:sz w:val="24"/>
              </w:rPr>
              <w:t>5.61%</w:t>
            </w:r>
          </w:p>
        </w:tc>
        <w:tc>
          <w:tcPr>
            <w:tcW w:w="1267" w:type="dxa"/>
            <w:vAlign w:val="center"/>
          </w:tcPr>
          <w:p w:rsidR="00CC6346" w:rsidRDefault="001C11DF">
            <w:pPr>
              <w:jc w:val="center"/>
            </w:pPr>
            <w:r>
              <w:rPr>
                <w:color w:val="000000"/>
                <w:sz w:val="24"/>
              </w:rPr>
              <w:t>0.07%</w:t>
            </w:r>
          </w:p>
        </w:tc>
        <w:tc>
          <w:tcPr>
            <w:tcW w:w="1267" w:type="dxa"/>
            <w:vAlign w:val="center"/>
          </w:tcPr>
          <w:p w:rsidR="00CC6346" w:rsidRDefault="001C11DF">
            <w:pPr>
              <w:jc w:val="center"/>
            </w:pPr>
            <w:r>
              <w:rPr>
                <w:color w:val="000000"/>
                <w:sz w:val="24"/>
              </w:rPr>
              <w:t>7.15%</w:t>
            </w:r>
          </w:p>
        </w:tc>
        <w:tc>
          <w:tcPr>
            <w:tcW w:w="1267" w:type="dxa"/>
            <w:vAlign w:val="center"/>
          </w:tcPr>
          <w:p w:rsidR="00CC6346" w:rsidRDefault="001C11DF">
            <w:pPr>
              <w:jc w:val="center"/>
            </w:pPr>
            <w:r>
              <w:rPr>
                <w:color w:val="000000"/>
                <w:sz w:val="24"/>
              </w:rPr>
              <w:t>-0.04%</w:t>
            </w:r>
          </w:p>
        </w:tc>
      </w:tr>
      <w:tr w:rsidR="00CC6346">
        <w:trPr>
          <w:jc w:val="center"/>
        </w:trPr>
        <w:tc>
          <w:tcPr>
            <w:tcW w:w="1266" w:type="dxa"/>
            <w:vAlign w:val="center"/>
          </w:tcPr>
          <w:p w:rsidR="00CC6346" w:rsidRDefault="001C11DF">
            <w:pPr>
              <w:jc w:val="left"/>
            </w:pPr>
            <w:r>
              <w:rPr>
                <w:color w:val="000000"/>
                <w:sz w:val="24"/>
              </w:rPr>
              <w:t>自基金合同生效起至今</w:t>
            </w:r>
          </w:p>
        </w:tc>
        <w:tc>
          <w:tcPr>
            <w:tcW w:w="1267" w:type="dxa"/>
            <w:vAlign w:val="center"/>
          </w:tcPr>
          <w:p w:rsidR="00CC6346" w:rsidRDefault="001C11DF">
            <w:pPr>
              <w:jc w:val="center"/>
            </w:pPr>
            <w:r>
              <w:rPr>
                <w:color w:val="000000"/>
                <w:sz w:val="24"/>
              </w:rPr>
              <w:t>15.07%</w:t>
            </w:r>
          </w:p>
        </w:tc>
        <w:tc>
          <w:tcPr>
            <w:tcW w:w="1267" w:type="dxa"/>
            <w:vAlign w:val="center"/>
          </w:tcPr>
          <w:p w:rsidR="00CC6346" w:rsidRDefault="001C11DF">
            <w:pPr>
              <w:jc w:val="center"/>
            </w:pPr>
            <w:r>
              <w:rPr>
                <w:color w:val="000000"/>
                <w:sz w:val="24"/>
              </w:rPr>
              <w:t>0.03%</w:t>
            </w:r>
          </w:p>
        </w:tc>
        <w:tc>
          <w:tcPr>
            <w:tcW w:w="1267" w:type="dxa"/>
            <w:vAlign w:val="center"/>
          </w:tcPr>
          <w:p w:rsidR="00CC6346" w:rsidRDefault="001C11DF">
            <w:pPr>
              <w:jc w:val="center"/>
            </w:pPr>
            <w:r>
              <w:rPr>
                <w:color w:val="000000"/>
                <w:sz w:val="24"/>
              </w:rPr>
              <w:t>1.57%</w:t>
            </w:r>
          </w:p>
        </w:tc>
        <w:tc>
          <w:tcPr>
            <w:tcW w:w="1267" w:type="dxa"/>
            <w:vAlign w:val="center"/>
          </w:tcPr>
          <w:p w:rsidR="00CC6346" w:rsidRDefault="001C11DF">
            <w:pPr>
              <w:jc w:val="center"/>
            </w:pPr>
            <w:r>
              <w:rPr>
                <w:color w:val="000000"/>
                <w:sz w:val="24"/>
              </w:rPr>
              <w:t>0.08%</w:t>
            </w:r>
          </w:p>
        </w:tc>
        <w:tc>
          <w:tcPr>
            <w:tcW w:w="1267" w:type="dxa"/>
            <w:vAlign w:val="center"/>
          </w:tcPr>
          <w:p w:rsidR="00CC6346" w:rsidRDefault="001C11DF">
            <w:pPr>
              <w:jc w:val="center"/>
            </w:pPr>
            <w:r>
              <w:rPr>
                <w:color w:val="000000"/>
                <w:sz w:val="24"/>
              </w:rPr>
              <w:t>13.50%</w:t>
            </w:r>
          </w:p>
        </w:tc>
        <w:tc>
          <w:tcPr>
            <w:tcW w:w="1267" w:type="dxa"/>
            <w:vAlign w:val="center"/>
          </w:tcPr>
          <w:p w:rsidR="00CC6346" w:rsidRDefault="001C11DF">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6346">
        <w:trPr>
          <w:jc w:val="center"/>
        </w:trPr>
        <w:tc>
          <w:tcPr>
            <w:tcW w:w="1266" w:type="dxa"/>
            <w:vAlign w:val="center"/>
          </w:tcPr>
          <w:p w:rsidR="00CC6346" w:rsidRDefault="001C11DF">
            <w:pPr>
              <w:jc w:val="left"/>
            </w:pPr>
            <w:r>
              <w:rPr>
                <w:color w:val="000000"/>
                <w:sz w:val="24"/>
              </w:rPr>
              <w:t>过去三个月</w:t>
            </w:r>
          </w:p>
        </w:tc>
        <w:tc>
          <w:tcPr>
            <w:tcW w:w="1267" w:type="dxa"/>
            <w:vAlign w:val="center"/>
          </w:tcPr>
          <w:p w:rsidR="00CC6346" w:rsidRDefault="001C11DF">
            <w:pPr>
              <w:jc w:val="center"/>
            </w:pPr>
            <w:r>
              <w:rPr>
                <w:color w:val="000000"/>
                <w:sz w:val="24"/>
              </w:rPr>
              <w:t>-0.03%</w:t>
            </w:r>
          </w:p>
        </w:tc>
        <w:tc>
          <w:tcPr>
            <w:tcW w:w="1267" w:type="dxa"/>
            <w:vAlign w:val="center"/>
          </w:tcPr>
          <w:p w:rsidR="00CC6346" w:rsidRDefault="001C11DF">
            <w:pPr>
              <w:jc w:val="center"/>
            </w:pPr>
            <w:r>
              <w:rPr>
                <w:color w:val="000000"/>
                <w:sz w:val="24"/>
              </w:rPr>
              <w:t>0.06%</w:t>
            </w:r>
          </w:p>
        </w:tc>
        <w:tc>
          <w:tcPr>
            <w:tcW w:w="1267" w:type="dxa"/>
            <w:vAlign w:val="center"/>
          </w:tcPr>
          <w:p w:rsidR="00CC6346" w:rsidRDefault="001C11DF">
            <w:pPr>
              <w:jc w:val="center"/>
            </w:pPr>
            <w:r>
              <w:rPr>
                <w:color w:val="000000"/>
                <w:sz w:val="24"/>
              </w:rPr>
              <w:t>-1.04%</w:t>
            </w:r>
          </w:p>
        </w:tc>
        <w:tc>
          <w:tcPr>
            <w:tcW w:w="1267" w:type="dxa"/>
            <w:vAlign w:val="center"/>
          </w:tcPr>
          <w:p w:rsidR="00CC6346" w:rsidRDefault="001C11DF">
            <w:pPr>
              <w:jc w:val="center"/>
            </w:pPr>
            <w:r>
              <w:rPr>
                <w:color w:val="000000"/>
                <w:sz w:val="24"/>
              </w:rPr>
              <w:t>0.12%</w:t>
            </w:r>
          </w:p>
        </w:tc>
        <w:tc>
          <w:tcPr>
            <w:tcW w:w="1267" w:type="dxa"/>
            <w:vAlign w:val="center"/>
          </w:tcPr>
          <w:p w:rsidR="00CC6346" w:rsidRDefault="001C11DF">
            <w:pPr>
              <w:jc w:val="center"/>
            </w:pPr>
            <w:r>
              <w:rPr>
                <w:color w:val="000000"/>
                <w:sz w:val="24"/>
              </w:rPr>
              <w:t>1.01%</w:t>
            </w:r>
          </w:p>
        </w:tc>
        <w:tc>
          <w:tcPr>
            <w:tcW w:w="1267" w:type="dxa"/>
            <w:vAlign w:val="center"/>
          </w:tcPr>
          <w:p w:rsidR="00CC6346" w:rsidRDefault="001C11DF">
            <w:pPr>
              <w:jc w:val="center"/>
            </w:pPr>
            <w:r>
              <w:rPr>
                <w:color w:val="000000"/>
                <w:sz w:val="24"/>
              </w:rPr>
              <w:t>-0.06%</w:t>
            </w:r>
          </w:p>
        </w:tc>
      </w:tr>
      <w:tr w:rsidR="00CC6346">
        <w:trPr>
          <w:jc w:val="center"/>
        </w:trPr>
        <w:tc>
          <w:tcPr>
            <w:tcW w:w="1266" w:type="dxa"/>
            <w:vAlign w:val="center"/>
          </w:tcPr>
          <w:p w:rsidR="00CC6346" w:rsidRDefault="001C11DF">
            <w:pPr>
              <w:jc w:val="left"/>
            </w:pPr>
            <w:r>
              <w:rPr>
                <w:color w:val="000000"/>
                <w:sz w:val="24"/>
              </w:rPr>
              <w:t>过去六个月</w:t>
            </w:r>
          </w:p>
        </w:tc>
        <w:tc>
          <w:tcPr>
            <w:tcW w:w="1267" w:type="dxa"/>
            <w:vAlign w:val="center"/>
          </w:tcPr>
          <w:p w:rsidR="00CC6346" w:rsidRDefault="001C11DF">
            <w:pPr>
              <w:jc w:val="center"/>
            </w:pPr>
            <w:r>
              <w:rPr>
                <w:color w:val="000000"/>
                <w:sz w:val="24"/>
              </w:rPr>
              <w:t>1.29%</w:t>
            </w:r>
          </w:p>
        </w:tc>
        <w:tc>
          <w:tcPr>
            <w:tcW w:w="1267" w:type="dxa"/>
            <w:vAlign w:val="center"/>
          </w:tcPr>
          <w:p w:rsidR="00CC6346" w:rsidRDefault="001C11DF">
            <w:pPr>
              <w:jc w:val="center"/>
            </w:pPr>
            <w:r>
              <w:rPr>
                <w:color w:val="000000"/>
                <w:sz w:val="24"/>
              </w:rPr>
              <w:t>0.05%</w:t>
            </w:r>
          </w:p>
        </w:tc>
        <w:tc>
          <w:tcPr>
            <w:tcW w:w="1267" w:type="dxa"/>
            <w:vAlign w:val="center"/>
          </w:tcPr>
          <w:p w:rsidR="00CC6346" w:rsidRDefault="001C11DF">
            <w:pPr>
              <w:jc w:val="center"/>
            </w:pPr>
            <w:r>
              <w:rPr>
                <w:color w:val="000000"/>
                <w:sz w:val="24"/>
              </w:rPr>
              <w:t>0.79%</w:t>
            </w:r>
          </w:p>
        </w:tc>
        <w:tc>
          <w:tcPr>
            <w:tcW w:w="1267" w:type="dxa"/>
            <w:vAlign w:val="center"/>
          </w:tcPr>
          <w:p w:rsidR="00CC6346" w:rsidRDefault="001C11DF">
            <w:pPr>
              <w:jc w:val="center"/>
            </w:pPr>
            <w:r>
              <w:rPr>
                <w:color w:val="000000"/>
                <w:sz w:val="24"/>
              </w:rPr>
              <w:t>0.11%</w:t>
            </w:r>
          </w:p>
        </w:tc>
        <w:tc>
          <w:tcPr>
            <w:tcW w:w="1267" w:type="dxa"/>
            <w:vAlign w:val="center"/>
          </w:tcPr>
          <w:p w:rsidR="00CC6346" w:rsidRDefault="001C11DF">
            <w:pPr>
              <w:jc w:val="center"/>
            </w:pPr>
            <w:r>
              <w:rPr>
                <w:color w:val="000000"/>
                <w:sz w:val="24"/>
              </w:rPr>
              <w:t>0.50%</w:t>
            </w:r>
          </w:p>
        </w:tc>
        <w:tc>
          <w:tcPr>
            <w:tcW w:w="1267" w:type="dxa"/>
            <w:vAlign w:val="center"/>
          </w:tcPr>
          <w:p w:rsidR="00CC6346" w:rsidRDefault="001C11DF">
            <w:pPr>
              <w:jc w:val="center"/>
            </w:pPr>
            <w:r>
              <w:rPr>
                <w:color w:val="000000"/>
                <w:sz w:val="24"/>
              </w:rPr>
              <w:t>-0.06%</w:t>
            </w:r>
          </w:p>
        </w:tc>
      </w:tr>
      <w:tr w:rsidR="00CC6346">
        <w:trPr>
          <w:jc w:val="center"/>
        </w:trPr>
        <w:tc>
          <w:tcPr>
            <w:tcW w:w="1266" w:type="dxa"/>
            <w:vAlign w:val="center"/>
          </w:tcPr>
          <w:p w:rsidR="00CC6346" w:rsidRDefault="001C11DF">
            <w:pPr>
              <w:jc w:val="left"/>
            </w:pPr>
            <w:r>
              <w:rPr>
                <w:color w:val="000000"/>
                <w:sz w:val="24"/>
              </w:rPr>
              <w:t>过去一年</w:t>
            </w:r>
          </w:p>
        </w:tc>
        <w:tc>
          <w:tcPr>
            <w:tcW w:w="1267" w:type="dxa"/>
            <w:vAlign w:val="center"/>
          </w:tcPr>
          <w:p w:rsidR="00CC6346" w:rsidRDefault="001C11DF">
            <w:pPr>
              <w:jc w:val="center"/>
            </w:pPr>
            <w:r>
              <w:rPr>
                <w:color w:val="000000"/>
                <w:sz w:val="24"/>
              </w:rPr>
              <w:t>3.17%</w:t>
            </w:r>
          </w:p>
        </w:tc>
        <w:tc>
          <w:tcPr>
            <w:tcW w:w="1267" w:type="dxa"/>
            <w:vAlign w:val="center"/>
          </w:tcPr>
          <w:p w:rsidR="00CC6346" w:rsidRDefault="001C11DF">
            <w:pPr>
              <w:jc w:val="center"/>
            </w:pPr>
            <w:r>
              <w:rPr>
                <w:color w:val="000000"/>
                <w:sz w:val="24"/>
              </w:rPr>
              <w:t>0.04%</w:t>
            </w:r>
          </w:p>
        </w:tc>
        <w:tc>
          <w:tcPr>
            <w:tcW w:w="1267" w:type="dxa"/>
            <w:vAlign w:val="center"/>
          </w:tcPr>
          <w:p w:rsidR="00CC6346" w:rsidRDefault="001C11DF">
            <w:pPr>
              <w:jc w:val="center"/>
            </w:pPr>
            <w:r>
              <w:rPr>
                <w:color w:val="000000"/>
                <w:sz w:val="24"/>
              </w:rPr>
              <w:t>1.87%</w:t>
            </w:r>
          </w:p>
        </w:tc>
        <w:tc>
          <w:tcPr>
            <w:tcW w:w="1267" w:type="dxa"/>
            <w:vAlign w:val="center"/>
          </w:tcPr>
          <w:p w:rsidR="00CC6346" w:rsidRDefault="001C11DF">
            <w:pPr>
              <w:jc w:val="center"/>
            </w:pPr>
            <w:r>
              <w:rPr>
                <w:color w:val="000000"/>
                <w:sz w:val="24"/>
              </w:rPr>
              <w:t>0.08%</w:t>
            </w:r>
          </w:p>
        </w:tc>
        <w:tc>
          <w:tcPr>
            <w:tcW w:w="1267" w:type="dxa"/>
            <w:vAlign w:val="center"/>
          </w:tcPr>
          <w:p w:rsidR="00CC6346" w:rsidRDefault="001C11DF">
            <w:pPr>
              <w:jc w:val="center"/>
            </w:pPr>
            <w:r>
              <w:rPr>
                <w:color w:val="000000"/>
                <w:sz w:val="24"/>
              </w:rPr>
              <w:t>1.30%</w:t>
            </w:r>
          </w:p>
        </w:tc>
        <w:tc>
          <w:tcPr>
            <w:tcW w:w="1267" w:type="dxa"/>
            <w:vAlign w:val="center"/>
          </w:tcPr>
          <w:p w:rsidR="00CC6346" w:rsidRDefault="001C11DF">
            <w:pPr>
              <w:jc w:val="center"/>
            </w:pPr>
            <w:r>
              <w:rPr>
                <w:color w:val="000000"/>
                <w:sz w:val="24"/>
              </w:rPr>
              <w:t>-0.04%</w:t>
            </w:r>
          </w:p>
        </w:tc>
      </w:tr>
      <w:tr w:rsidR="00CC6346">
        <w:trPr>
          <w:jc w:val="center"/>
        </w:trPr>
        <w:tc>
          <w:tcPr>
            <w:tcW w:w="1266" w:type="dxa"/>
            <w:vAlign w:val="center"/>
          </w:tcPr>
          <w:p w:rsidR="00CC6346" w:rsidRDefault="001C11DF">
            <w:pPr>
              <w:jc w:val="left"/>
            </w:pPr>
            <w:r>
              <w:rPr>
                <w:color w:val="000000"/>
                <w:sz w:val="24"/>
              </w:rPr>
              <w:t>过去三年</w:t>
            </w:r>
          </w:p>
        </w:tc>
        <w:tc>
          <w:tcPr>
            <w:tcW w:w="1267" w:type="dxa"/>
            <w:vAlign w:val="center"/>
          </w:tcPr>
          <w:p w:rsidR="00CC6346" w:rsidRDefault="001C11DF">
            <w:pPr>
              <w:jc w:val="center"/>
            </w:pPr>
            <w:r>
              <w:rPr>
                <w:color w:val="000000"/>
                <w:sz w:val="24"/>
              </w:rPr>
              <w:t>11.53%</w:t>
            </w:r>
          </w:p>
        </w:tc>
        <w:tc>
          <w:tcPr>
            <w:tcW w:w="1267" w:type="dxa"/>
            <w:vAlign w:val="center"/>
          </w:tcPr>
          <w:p w:rsidR="00CC6346" w:rsidRDefault="001C11DF">
            <w:pPr>
              <w:jc w:val="center"/>
            </w:pPr>
            <w:r>
              <w:rPr>
                <w:color w:val="000000"/>
                <w:sz w:val="24"/>
              </w:rPr>
              <w:t>0.03%</w:t>
            </w:r>
          </w:p>
        </w:tc>
        <w:tc>
          <w:tcPr>
            <w:tcW w:w="1267" w:type="dxa"/>
            <w:vAlign w:val="center"/>
          </w:tcPr>
          <w:p w:rsidR="00CC6346" w:rsidRDefault="001C11DF">
            <w:pPr>
              <w:jc w:val="center"/>
            </w:pPr>
            <w:r>
              <w:rPr>
                <w:color w:val="000000"/>
                <w:sz w:val="24"/>
              </w:rPr>
              <w:t>5.61%</w:t>
            </w:r>
          </w:p>
        </w:tc>
        <w:tc>
          <w:tcPr>
            <w:tcW w:w="1267" w:type="dxa"/>
            <w:vAlign w:val="center"/>
          </w:tcPr>
          <w:p w:rsidR="00CC6346" w:rsidRDefault="001C11DF">
            <w:pPr>
              <w:jc w:val="center"/>
            </w:pPr>
            <w:r>
              <w:rPr>
                <w:color w:val="000000"/>
                <w:sz w:val="24"/>
              </w:rPr>
              <w:t>0.07%</w:t>
            </w:r>
          </w:p>
        </w:tc>
        <w:tc>
          <w:tcPr>
            <w:tcW w:w="1267" w:type="dxa"/>
            <w:vAlign w:val="center"/>
          </w:tcPr>
          <w:p w:rsidR="00CC6346" w:rsidRDefault="001C11DF">
            <w:pPr>
              <w:jc w:val="center"/>
            </w:pPr>
            <w:r>
              <w:rPr>
                <w:color w:val="000000"/>
                <w:sz w:val="24"/>
              </w:rPr>
              <w:t>5.92%</w:t>
            </w:r>
          </w:p>
        </w:tc>
        <w:tc>
          <w:tcPr>
            <w:tcW w:w="1267" w:type="dxa"/>
            <w:vAlign w:val="center"/>
          </w:tcPr>
          <w:p w:rsidR="00CC6346" w:rsidRDefault="001C11DF">
            <w:pPr>
              <w:jc w:val="center"/>
            </w:pPr>
            <w:r>
              <w:rPr>
                <w:color w:val="000000"/>
                <w:sz w:val="24"/>
              </w:rPr>
              <w:t>-0.04%</w:t>
            </w:r>
          </w:p>
        </w:tc>
      </w:tr>
      <w:tr w:rsidR="00CC6346">
        <w:trPr>
          <w:jc w:val="center"/>
        </w:trPr>
        <w:tc>
          <w:tcPr>
            <w:tcW w:w="1266" w:type="dxa"/>
            <w:vAlign w:val="center"/>
          </w:tcPr>
          <w:p w:rsidR="00CC6346" w:rsidRDefault="001C11DF">
            <w:pPr>
              <w:jc w:val="left"/>
            </w:pPr>
            <w:r>
              <w:rPr>
                <w:color w:val="000000"/>
                <w:sz w:val="24"/>
              </w:rPr>
              <w:t>自基金合同生效起至今</w:t>
            </w:r>
          </w:p>
        </w:tc>
        <w:tc>
          <w:tcPr>
            <w:tcW w:w="1267" w:type="dxa"/>
            <w:vAlign w:val="center"/>
          </w:tcPr>
          <w:p w:rsidR="00CC6346" w:rsidRDefault="001C11DF">
            <w:pPr>
              <w:jc w:val="center"/>
            </w:pPr>
            <w:r>
              <w:rPr>
                <w:color w:val="000000"/>
                <w:sz w:val="24"/>
              </w:rPr>
              <w:t>13.53%</w:t>
            </w:r>
          </w:p>
        </w:tc>
        <w:tc>
          <w:tcPr>
            <w:tcW w:w="1267" w:type="dxa"/>
            <w:vAlign w:val="center"/>
          </w:tcPr>
          <w:p w:rsidR="00CC6346" w:rsidRDefault="001C11DF">
            <w:pPr>
              <w:jc w:val="center"/>
            </w:pPr>
            <w:r>
              <w:rPr>
                <w:color w:val="000000"/>
                <w:sz w:val="24"/>
              </w:rPr>
              <w:t>0.03%</w:t>
            </w:r>
          </w:p>
        </w:tc>
        <w:tc>
          <w:tcPr>
            <w:tcW w:w="1267" w:type="dxa"/>
            <w:vAlign w:val="center"/>
          </w:tcPr>
          <w:p w:rsidR="00CC6346" w:rsidRDefault="001C11DF">
            <w:pPr>
              <w:jc w:val="center"/>
            </w:pPr>
            <w:r>
              <w:rPr>
                <w:color w:val="000000"/>
                <w:sz w:val="24"/>
              </w:rPr>
              <w:t>1.57%</w:t>
            </w:r>
          </w:p>
        </w:tc>
        <w:tc>
          <w:tcPr>
            <w:tcW w:w="1267" w:type="dxa"/>
            <w:vAlign w:val="center"/>
          </w:tcPr>
          <w:p w:rsidR="00CC6346" w:rsidRDefault="001C11DF">
            <w:pPr>
              <w:jc w:val="center"/>
            </w:pPr>
            <w:r>
              <w:rPr>
                <w:color w:val="000000"/>
                <w:sz w:val="24"/>
              </w:rPr>
              <w:t>0.08%</w:t>
            </w:r>
          </w:p>
        </w:tc>
        <w:tc>
          <w:tcPr>
            <w:tcW w:w="1267" w:type="dxa"/>
            <w:vAlign w:val="center"/>
          </w:tcPr>
          <w:p w:rsidR="00CC6346" w:rsidRDefault="001C11DF">
            <w:pPr>
              <w:jc w:val="center"/>
            </w:pPr>
            <w:r>
              <w:rPr>
                <w:color w:val="000000"/>
                <w:sz w:val="24"/>
              </w:rPr>
              <w:t>11.96%</w:t>
            </w:r>
          </w:p>
        </w:tc>
        <w:tc>
          <w:tcPr>
            <w:tcW w:w="1267" w:type="dxa"/>
            <w:vAlign w:val="center"/>
          </w:tcPr>
          <w:p w:rsidR="00CC6346" w:rsidRDefault="001C11DF">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C6346">
        <w:trPr>
          <w:jc w:val="center"/>
        </w:trPr>
        <w:tc>
          <w:tcPr>
            <w:tcW w:w="946" w:type="dxa"/>
            <w:vAlign w:val="center"/>
          </w:tcPr>
          <w:p w:rsidR="00CC6346" w:rsidRDefault="001C11DF">
            <w:pPr>
              <w:jc w:val="center"/>
            </w:pPr>
            <w:r>
              <w:rPr>
                <w:color w:val="000000"/>
                <w:sz w:val="24"/>
              </w:rPr>
              <w:t>连端清</w:t>
            </w:r>
          </w:p>
        </w:tc>
        <w:tc>
          <w:tcPr>
            <w:tcW w:w="924" w:type="dxa"/>
            <w:vAlign w:val="center"/>
          </w:tcPr>
          <w:p w:rsidR="00CC6346" w:rsidRDefault="001C11DF">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CC6346" w:rsidRDefault="001C11DF">
            <w:pPr>
              <w:jc w:val="center"/>
            </w:pPr>
            <w:r>
              <w:rPr>
                <w:color w:val="000000"/>
                <w:sz w:val="24"/>
              </w:rPr>
              <w:t>2017-03-31</w:t>
            </w:r>
          </w:p>
        </w:tc>
        <w:tc>
          <w:tcPr>
            <w:tcW w:w="1300" w:type="dxa"/>
            <w:vAlign w:val="center"/>
          </w:tcPr>
          <w:p w:rsidR="00CC6346" w:rsidRDefault="001C11DF">
            <w:pPr>
              <w:jc w:val="center"/>
            </w:pPr>
            <w:r>
              <w:rPr>
                <w:color w:val="000000"/>
                <w:sz w:val="24"/>
              </w:rPr>
              <w:t>-</w:t>
            </w:r>
          </w:p>
        </w:tc>
        <w:tc>
          <w:tcPr>
            <w:tcW w:w="1245" w:type="dxa"/>
            <w:vAlign w:val="center"/>
          </w:tcPr>
          <w:p w:rsidR="00CC6346" w:rsidRDefault="001C11DF">
            <w:pPr>
              <w:jc w:val="center"/>
            </w:pPr>
            <w:r>
              <w:rPr>
                <w:color w:val="000000"/>
                <w:sz w:val="24"/>
              </w:rPr>
              <w:t>7</w:t>
            </w:r>
            <w:r>
              <w:rPr>
                <w:color w:val="000000"/>
                <w:sz w:val="24"/>
              </w:rPr>
              <w:t>年</w:t>
            </w:r>
          </w:p>
        </w:tc>
        <w:tc>
          <w:tcPr>
            <w:tcW w:w="3251" w:type="dxa"/>
            <w:vAlign w:val="center"/>
          </w:tcPr>
          <w:p w:rsidR="00CC6346" w:rsidRDefault="001C11D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w:t>
            </w:r>
            <w:r>
              <w:rPr>
                <w:color w:val="000000"/>
                <w:sz w:val="24"/>
              </w:rPr>
              <w:t>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w:t>
            </w:r>
            <w:r>
              <w:rPr>
                <w:color w:val="000000"/>
                <w:sz w:val="24"/>
              </w:rPr>
              <w:lastRenderedPageBreak/>
              <w:t>券投资基金的基金经理。</w:t>
            </w:r>
          </w:p>
        </w:tc>
      </w:tr>
    </w:tbl>
    <w:p w:rsidR="00CC6346" w:rsidRDefault="001C11DF">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CC6346" w:rsidRDefault="001C11D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C6346" w:rsidRDefault="001C11D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6346" w:rsidRDefault="001C11D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6346" w:rsidRDefault="001C11D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C6346" w:rsidRDefault="001C11DF">
      <w:pPr>
        <w:spacing w:before="29" w:line="288" w:lineRule="auto"/>
        <w:ind w:firstLineChars="200" w:firstLine="480"/>
        <w:rPr>
          <w:color w:val="000000"/>
          <w:sz w:val="24"/>
        </w:rPr>
      </w:pPr>
      <w:r>
        <w:rPr>
          <w:color w:val="000000"/>
          <w:sz w:val="24"/>
        </w:rPr>
        <w:t>2020</w:t>
      </w:r>
      <w:r>
        <w:rPr>
          <w:color w:val="000000"/>
          <w:sz w:val="24"/>
        </w:rPr>
        <w:t>年二季度，我国在本土疫情防控取得初步胜利的前提下，国内经济迎来修复期，主要经济指标逐步改善。二季度国内新增新冠病例保持较低水平，为深入开展复工复产提供了较好的支撑。二季度，中采</w:t>
      </w:r>
      <w:r>
        <w:rPr>
          <w:color w:val="000000"/>
          <w:sz w:val="24"/>
        </w:rPr>
        <w:t>PMI</w:t>
      </w:r>
      <w:r>
        <w:rPr>
          <w:color w:val="000000"/>
          <w:sz w:val="24"/>
        </w:rPr>
        <w:t>逐月保持在</w:t>
      </w:r>
      <w:r>
        <w:rPr>
          <w:color w:val="000000"/>
          <w:sz w:val="24"/>
        </w:rPr>
        <w:t>50%</w:t>
      </w:r>
      <w:r>
        <w:rPr>
          <w:color w:val="000000"/>
          <w:sz w:val="24"/>
        </w:rPr>
        <w:t>以上；</w:t>
      </w:r>
      <w:r>
        <w:rPr>
          <w:color w:val="000000"/>
          <w:sz w:val="24"/>
        </w:rPr>
        <w:t>FAI</w:t>
      </w:r>
      <w:r>
        <w:rPr>
          <w:color w:val="000000"/>
          <w:sz w:val="24"/>
        </w:rPr>
        <w:t>也逐月修复，其中房地产与基建投资修复相对较快；出口修复好于预期；社会消费逐步改善；金融条件为实体经济提供有力支持，四至五月</w:t>
      </w:r>
      <w:r>
        <w:rPr>
          <w:color w:val="000000"/>
          <w:sz w:val="24"/>
        </w:rPr>
        <w:t>M2</w:t>
      </w:r>
      <w:r>
        <w:rPr>
          <w:color w:val="000000"/>
          <w:sz w:val="24"/>
        </w:rPr>
        <w:t>同比增速均高达</w:t>
      </w:r>
      <w:r>
        <w:rPr>
          <w:color w:val="000000"/>
          <w:sz w:val="24"/>
        </w:rPr>
        <w:t>11.1%</w:t>
      </w:r>
      <w:r>
        <w:rPr>
          <w:color w:val="000000"/>
          <w:sz w:val="24"/>
        </w:rPr>
        <w:t>。</w:t>
      </w:r>
    </w:p>
    <w:p w:rsidR="00CC6346" w:rsidRDefault="001C11DF">
      <w:pPr>
        <w:spacing w:before="29" w:line="288" w:lineRule="auto"/>
        <w:ind w:firstLineChars="200" w:firstLine="480"/>
        <w:rPr>
          <w:color w:val="000000"/>
          <w:sz w:val="24"/>
        </w:rPr>
      </w:pPr>
      <w:r>
        <w:rPr>
          <w:color w:val="000000"/>
          <w:sz w:val="24"/>
        </w:rPr>
        <w:t>二季度货币政策经历了先密集放松后逐渐收敛的过程，但财政政</w:t>
      </w:r>
      <w:r>
        <w:rPr>
          <w:color w:val="000000"/>
          <w:sz w:val="24"/>
        </w:rPr>
        <w:t>策刺激力度继续增强。货币政策方面，四月初中国人民银行决定对中小银行定向降准</w:t>
      </w:r>
      <w:r>
        <w:rPr>
          <w:color w:val="000000"/>
          <w:sz w:val="24"/>
        </w:rPr>
        <w:t>1</w:t>
      </w:r>
      <w:r>
        <w:rPr>
          <w:color w:val="000000"/>
          <w:sz w:val="24"/>
        </w:rPr>
        <w:t>个百分点，并且下调超额存款准备金利率，四月中旬下调</w:t>
      </w:r>
      <w:r>
        <w:rPr>
          <w:color w:val="000000"/>
          <w:sz w:val="24"/>
        </w:rPr>
        <w:t>MLF</w:t>
      </w:r>
      <w:r>
        <w:rPr>
          <w:color w:val="000000"/>
          <w:sz w:val="24"/>
        </w:rPr>
        <w:t>利率</w:t>
      </w:r>
      <w:r>
        <w:rPr>
          <w:color w:val="000000"/>
          <w:sz w:val="24"/>
        </w:rPr>
        <w:t>20</w:t>
      </w:r>
      <w:r>
        <w:rPr>
          <w:color w:val="000000"/>
          <w:sz w:val="24"/>
        </w:rPr>
        <w:t>个</w:t>
      </w:r>
      <w:r>
        <w:rPr>
          <w:color w:val="000000"/>
          <w:sz w:val="24"/>
        </w:rPr>
        <w:t>BP</w:t>
      </w:r>
      <w:r>
        <w:rPr>
          <w:color w:val="000000"/>
          <w:sz w:val="24"/>
        </w:rPr>
        <w:t>。但自五月以来，随着经济数据边际改善，以及资金套利空转引起监管层重视，央行货币政策操作上呈现边际收敛态势；针对货币市场资金面收紧的状况，央行通过七天与十四天逆回购向公开市场谨慎投放流动性，而且减量续作</w:t>
      </w:r>
      <w:r>
        <w:rPr>
          <w:color w:val="000000"/>
          <w:sz w:val="24"/>
        </w:rPr>
        <w:t>MLF</w:t>
      </w:r>
      <w:r>
        <w:rPr>
          <w:color w:val="000000"/>
          <w:sz w:val="24"/>
        </w:rPr>
        <w:t>；二季度央行在公开市场净回笼资金</w:t>
      </w:r>
      <w:r>
        <w:rPr>
          <w:color w:val="000000"/>
          <w:sz w:val="24"/>
        </w:rPr>
        <w:t>3763</w:t>
      </w:r>
      <w:r>
        <w:rPr>
          <w:color w:val="000000"/>
          <w:sz w:val="24"/>
        </w:rPr>
        <w:t>亿元。财政政策方面，二季度国债地方债发行量显著提升，财政逆周期刺激力度加强。</w:t>
      </w:r>
    </w:p>
    <w:p w:rsidR="00CC6346" w:rsidRDefault="001C11DF">
      <w:pPr>
        <w:spacing w:before="29" w:line="288" w:lineRule="auto"/>
        <w:ind w:firstLineChars="200" w:firstLine="480"/>
        <w:rPr>
          <w:color w:val="000000"/>
          <w:sz w:val="24"/>
        </w:rPr>
      </w:pPr>
      <w:r>
        <w:rPr>
          <w:color w:val="000000"/>
          <w:sz w:val="24"/>
        </w:rPr>
        <w:t>资金面上，二季度受央行货币政策操作边际变化</w:t>
      </w:r>
      <w:r>
        <w:rPr>
          <w:color w:val="000000"/>
          <w:sz w:val="24"/>
        </w:rPr>
        <w:t>、政府债券发行量上升等影响，市场资金面波动较大。四月货币市场资金面较为宽松，五月中下旬开始资金面持续趋紧，货币品种收益率在四月达到历史低位之后中枢不断抬升；三个月股份制银行存单收益率六月末较三月末上升</w:t>
      </w:r>
      <w:r>
        <w:rPr>
          <w:color w:val="000000"/>
          <w:sz w:val="24"/>
        </w:rPr>
        <w:t>50</w:t>
      </w:r>
      <w:r>
        <w:rPr>
          <w:color w:val="000000"/>
          <w:sz w:val="24"/>
        </w:rPr>
        <w:t>个</w:t>
      </w:r>
      <w:r>
        <w:rPr>
          <w:color w:val="000000"/>
          <w:sz w:val="24"/>
        </w:rPr>
        <w:t>BP</w:t>
      </w:r>
      <w:r>
        <w:rPr>
          <w:color w:val="000000"/>
          <w:sz w:val="24"/>
        </w:rPr>
        <w:t>以上。主要受国内经济数据改善及货币政策边际收敛等影响，二季度债市大幅波动；在四月份大涨之后，五月开始债市大幅调整；六月末</w:t>
      </w:r>
      <w:r>
        <w:rPr>
          <w:color w:val="000000"/>
          <w:sz w:val="24"/>
        </w:rPr>
        <w:t>10</w:t>
      </w:r>
      <w:r>
        <w:rPr>
          <w:color w:val="000000"/>
          <w:sz w:val="24"/>
        </w:rPr>
        <w:t>年期国开债</w:t>
      </w:r>
      <w:r>
        <w:rPr>
          <w:color w:val="000000"/>
          <w:sz w:val="24"/>
        </w:rPr>
        <w:t>YTM</w:t>
      </w:r>
      <w:r>
        <w:rPr>
          <w:color w:val="000000"/>
          <w:sz w:val="24"/>
        </w:rPr>
        <w:t>较四月末低位回调约</w:t>
      </w:r>
      <w:r>
        <w:rPr>
          <w:color w:val="000000"/>
          <w:sz w:val="24"/>
        </w:rPr>
        <w:t>30</w:t>
      </w:r>
      <w:r>
        <w:rPr>
          <w:color w:val="000000"/>
          <w:sz w:val="24"/>
        </w:rPr>
        <w:t>个</w:t>
      </w:r>
      <w:r>
        <w:rPr>
          <w:color w:val="000000"/>
          <w:sz w:val="24"/>
        </w:rPr>
        <w:t>BP</w:t>
      </w:r>
      <w:r>
        <w:rPr>
          <w:color w:val="000000"/>
          <w:sz w:val="24"/>
        </w:rPr>
        <w:t>。</w:t>
      </w:r>
    </w:p>
    <w:p w:rsidR="00CC6346" w:rsidRDefault="001C11DF">
      <w:pPr>
        <w:spacing w:before="29" w:line="288" w:lineRule="auto"/>
        <w:ind w:firstLineChars="200" w:firstLine="480"/>
        <w:rPr>
          <w:color w:val="000000"/>
          <w:sz w:val="24"/>
        </w:rPr>
      </w:pPr>
      <w:r>
        <w:rPr>
          <w:color w:val="000000"/>
          <w:sz w:val="24"/>
        </w:rPr>
        <w:t>基金操作方面，报告期内本基金把握市场走势，择机调整组合杠杆与持仓债券，管控信用风险，为持有人创造稳健的回报。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国内经济修复势头可能将维持一段时间，但力度上有趋弱的风险，来自于海外疫情冲击风险及外需压力可能较大。尽管二季度欧美等重启了经济活动，但由于美国等的疫情形势更加严重，海外经济深度衰退风险在上升。考虑国内外形势的复杂性，预计短期内人行货币政策整体上维持宽松格局的概率较大。我们将密切关注央行货币政策操作边际上的变化，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4,093,579,000.00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4,044,547,000.00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49,032,000.00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16,350,724.48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64,061,438.74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4,173,991,163.22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1,633,163,000.00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512,383,000.00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194,883,000.00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150,217,000.00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1,772,884,000.00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50.99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293,400,000.00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8.44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4,044,547,000.00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116.33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C6346">
        <w:trPr>
          <w:jc w:val="center"/>
        </w:trPr>
        <w:tc>
          <w:tcPr>
            <w:tcW w:w="1075" w:type="dxa"/>
            <w:vAlign w:val="center"/>
          </w:tcPr>
          <w:p w:rsidR="00CC6346" w:rsidRDefault="001C11DF">
            <w:pPr>
              <w:jc w:val="center"/>
            </w:pPr>
            <w:r>
              <w:rPr>
                <w:color w:val="000000"/>
                <w:sz w:val="24"/>
              </w:rPr>
              <w:t>1</w:t>
            </w:r>
          </w:p>
        </w:tc>
        <w:tc>
          <w:tcPr>
            <w:tcW w:w="1533" w:type="dxa"/>
            <w:vAlign w:val="center"/>
          </w:tcPr>
          <w:p w:rsidR="00CC6346" w:rsidRDefault="001C11DF">
            <w:pPr>
              <w:jc w:val="center"/>
            </w:pPr>
            <w:r>
              <w:rPr>
                <w:color w:val="000000"/>
                <w:sz w:val="24"/>
              </w:rPr>
              <w:t>110207</w:t>
            </w:r>
          </w:p>
        </w:tc>
        <w:tc>
          <w:tcPr>
            <w:tcW w:w="1533" w:type="dxa"/>
            <w:vAlign w:val="center"/>
          </w:tcPr>
          <w:p w:rsidR="00CC6346" w:rsidRDefault="001C11DF">
            <w:pPr>
              <w:jc w:val="center"/>
            </w:pPr>
            <w:r>
              <w:rPr>
                <w:color w:val="000000"/>
                <w:sz w:val="24"/>
              </w:rPr>
              <w:t>11</w:t>
            </w:r>
            <w:r>
              <w:rPr>
                <w:color w:val="000000"/>
                <w:sz w:val="24"/>
              </w:rPr>
              <w:t>国开</w:t>
            </w:r>
            <w:r>
              <w:rPr>
                <w:color w:val="000000"/>
                <w:sz w:val="24"/>
              </w:rPr>
              <w:t>07</w:t>
            </w:r>
          </w:p>
        </w:tc>
        <w:tc>
          <w:tcPr>
            <w:tcW w:w="1394" w:type="dxa"/>
            <w:vAlign w:val="center"/>
          </w:tcPr>
          <w:p w:rsidR="00CC6346" w:rsidRDefault="001C11DF">
            <w:pPr>
              <w:jc w:val="right"/>
            </w:pPr>
            <w:r>
              <w:rPr>
                <w:color w:val="000000"/>
                <w:sz w:val="24"/>
              </w:rPr>
              <w:t>4,000,000</w:t>
            </w:r>
          </w:p>
        </w:tc>
        <w:tc>
          <w:tcPr>
            <w:tcW w:w="1944" w:type="dxa"/>
            <w:vAlign w:val="center"/>
          </w:tcPr>
          <w:p w:rsidR="00CC6346" w:rsidRDefault="001C11DF">
            <w:pPr>
              <w:jc w:val="right"/>
            </w:pPr>
            <w:r>
              <w:rPr>
                <w:color w:val="000000"/>
                <w:sz w:val="24"/>
              </w:rPr>
              <w:t>400,320,000.00</w:t>
            </w:r>
          </w:p>
        </w:tc>
        <w:tc>
          <w:tcPr>
            <w:tcW w:w="1389" w:type="dxa"/>
            <w:vAlign w:val="center"/>
          </w:tcPr>
          <w:p w:rsidR="00CC6346" w:rsidRDefault="001C11DF">
            <w:pPr>
              <w:jc w:val="right"/>
            </w:pPr>
            <w:r>
              <w:rPr>
                <w:color w:val="000000"/>
                <w:sz w:val="24"/>
              </w:rPr>
              <w:t>11.51</w:t>
            </w:r>
          </w:p>
        </w:tc>
      </w:tr>
      <w:tr w:rsidR="00CC6346">
        <w:trPr>
          <w:jc w:val="center"/>
        </w:trPr>
        <w:tc>
          <w:tcPr>
            <w:tcW w:w="1075" w:type="dxa"/>
            <w:vAlign w:val="center"/>
          </w:tcPr>
          <w:p w:rsidR="00CC6346" w:rsidRDefault="001C11DF">
            <w:pPr>
              <w:jc w:val="center"/>
            </w:pPr>
            <w:r>
              <w:rPr>
                <w:color w:val="000000"/>
                <w:sz w:val="24"/>
              </w:rPr>
              <w:t>2</w:t>
            </w:r>
          </w:p>
        </w:tc>
        <w:tc>
          <w:tcPr>
            <w:tcW w:w="1533" w:type="dxa"/>
            <w:vAlign w:val="center"/>
          </w:tcPr>
          <w:p w:rsidR="00CC6346" w:rsidRDefault="001C11DF">
            <w:pPr>
              <w:jc w:val="center"/>
            </w:pPr>
            <w:r>
              <w:rPr>
                <w:color w:val="000000"/>
                <w:sz w:val="24"/>
              </w:rPr>
              <w:t>091701002</w:t>
            </w:r>
          </w:p>
        </w:tc>
        <w:tc>
          <w:tcPr>
            <w:tcW w:w="1533" w:type="dxa"/>
            <w:vAlign w:val="center"/>
          </w:tcPr>
          <w:p w:rsidR="00CC6346" w:rsidRDefault="001C11DF">
            <w:pPr>
              <w:jc w:val="center"/>
            </w:pPr>
            <w:r>
              <w:rPr>
                <w:color w:val="000000"/>
                <w:sz w:val="24"/>
              </w:rPr>
              <w:t>17</w:t>
            </w:r>
            <w:r>
              <w:rPr>
                <w:color w:val="000000"/>
                <w:sz w:val="24"/>
              </w:rPr>
              <w:t>中国信达债</w:t>
            </w:r>
            <w:r>
              <w:rPr>
                <w:color w:val="000000"/>
                <w:sz w:val="24"/>
              </w:rPr>
              <w:t>02</w:t>
            </w:r>
          </w:p>
        </w:tc>
        <w:tc>
          <w:tcPr>
            <w:tcW w:w="1394" w:type="dxa"/>
            <w:vAlign w:val="center"/>
          </w:tcPr>
          <w:p w:rsidR="00CC6346" w:rsidRDefault="001C11DF">
            <w:pPr>
              <w:jc w:val="right"/>
            </w:pPr>
            <w:r>
              <w:rPr>
                <w:color w:val="000000"/>
                <w:sz w:val="24"/>
              </w:rPr>
              <w:t>3,000,000</w:t>
            </w:r>
          </w:p>
        </w:tc>
        <w:tc>
          <w:tcPr>
            <w:tcW w:w="1944" w:type="dxa"/>
            <w:vAlign w:val="center"/>
          </w:tcPr>
          <w:p w:rsidR="00CC6346" w:rsidRDefault="001C11DF">
            <w:pPr>
              <w:jc w:val="right"/>
            </w:pPr>
            <w:r>
              <w:rPr>
                <w:color w:val="000000"/>
                <w:sz w:val="24"/>
              </w:rPr>
              <w:t>308,070,000.00</w:t>
            </w:r>
          </w:p>
        </w:tc>
        <w:tc>
          <w:tcPr>
            <w:tcW w:w="1389" w:type="dxa"/>
            <w:vAlign w:val="center"/>
          </w:tcPr>
          <w:p w:rsidR="00CC6346" w:rsidRDefault="001C11DF">
            <w:pPr>
              <w:jc w:val="right"/>
            </w:pPr>
            <w:r>
              <w:rPr>
                <w:color w:val="000000"/>
                <w:sz w:val="24"/>
              </w:rPr>
              <w:t>8.86</w:t>
            </w:r>
          </w:p>
        </w:tc>
      </w:tr>
      <w:tr w:rsidR="00CC6346">
        <w:trPr>
          <w:jc w:val="center"/>
        </w:trPr>
        <w:tc>
          <w:tcPr>
            <w:tcW w:w="1075" w:type="dxa"/>
            <w:vAlign w:val="center"/>
          </w:tcPr>
          <w:p w:rsidR="00CC6346" w:rsidRDefault="001C11DF">
            <w:pPr>
              <w:jc w:val="center"/>
            </w:pPr>
            <w:r>
              <w:rPr>
                <w:color w:val="000000"/>
                <w:sz w:val="24"/>
              </w:rPr>
              <w:t>3</w:t>
            </w:r>
          </w:p>
        </w:tc>
        <w:tc>
          <w:tcPr>
            <w:tcW w:w="1533" w:type="dxa"/>
            <w:vAlign w:val="center"/>
          </w:tcPr>
          <w:p w:rsidR="00CC6346" w:rsidRDefault="001C11DF">
            <w:pPr>
              <w:jc w:val="center"/>
            </w:pPr>
            <w:r>
              <w:rPr>
                <w:color w:val="000000"/>
                <w:sz w:val="24"/>
              </w:rPr>
              <w:t>1728015</w:t>
            </w:r>
          </w:p>
        </w:tc>
        <w:tc>
          <w:tcPr>
            <w:tcW w:w="1533" w:type="dxa"/>
            <w:vAlign w:val="center"/>
          </w:tcPr>
          <w:p w:rsidR="00CC6346" w:rsidRDefault="001C11DF">
            <w:pPr>
              <w:jc w:val="center"/>
            </w:pPr>
            <w:r>
              <w:rPr>
                <w:color w:val="000000"/>
                <w:sz w:val="24"/>
              </w:rPr>
              <w:t>17</w:t>
            </w:r>
            <w:r>
              <w:rPr>
                <w:color w:val="000000"/>
                <w:sz w:val="24"/>
              </w:rPr>
              <w:t>招商银行</w:t>
            </w:r>
            <w:r>
              <w:rPr>
                <w:color w:val="000000"/>
                <w:sz w:val="24"/>
              </w:rPr>
              <w:t>02</w:t>
            </w:r>
          </w:p>
        </w:tc>
        <w:tc>
          <w:tcPr>
            <w:tcW w:w="1394" w:type="dxa"/>
            <w:vAlign w:val="center"/>
          </w:tcPr>
          <w:p w:rsidR="00CC6346" w:rsidRDefault="001C11DF">
            <w:pPr>
              <w:jc w:val="right"/>
            </w:pPr>
            <w:r>
              <w:rPr>
                <w:color w:val="000000"/>
                <w:sz w:val="24"/>
              </w:rPr>
              <w:t>3,000,000</w:t>
            </w:r>
          </w:p>
        </w:tc>
        <w:tc>
          <w:tcPr>
            <w:tcW w:w="1944" w:type="dxa"/>
            <w:vAlign w:val="center"/>
          </w:tcPr>
          <w:p w:rsidR="00CC6346" w:rsidRDefault="001C11DF">
            <w:pPr>
              <w:jc w:val="right"/>
            </w:pPr>
            <w:r>
              <w:rPr>
                <w:color w:val="000000"/>
                <w:sz w:val="24"/>
              </w:rPr>
              <w:t>303,360,000.00</w:t>
            </w:r>
          </w:p>
        </w:tc>
        <w:tc>
          <w:tcPr>
            <w:tcW w:w="1389" w:type="dxa"/>
            <w:vAlign w:val="center"/>
          </w:tcPr>
          <w:p w:rsidR="00CC6346" w:rsidRDefault="001C11DF">
            <w:pPr>
              <w:jc w:val="right"/>
            </w:pPr>
            <w:r>
              <w:rPr>
                <w:color w:val="000000"/>
                <w:sz w:val="24"/>
              </w:rPr>
              <w:t>8.73</w:t>
            </w:r>
          </w:p>
        </w:tc>
      </w:tr>
      <w:tr w:rsidR="00CC6346">
        <w:trPr>
          <w:jc w:val="center"/>
        </w:trPr>
        <w:tc>
          <w:tcPr>
            <w:tcW w:w="1075" w:type="dxa"/>
            <w:vAlign w:val="center"/>
          </w:tcPr>
          <w:p w:rsidR="00CC6346" w:rsidRDefault="001C11DF">
            <w:pPr>
              <w:jc w:val="center"/>
            </w:pPr>
            <w:r>
              <w:rPr>
                <w:color w:val="000000"/>
                <w:sz w:val="24"/>
              </w:rPr>
              <w:t>4</w:t>
            </w:r>
          </w:p>
        </w:tc>
        <w:tc>
          <w:tcPr>
            <w:tcW w:w="1533" w:type="dxa"/>
            <w:vAlign w:val="center"/>
          </w:tcPr>
          <w:p w:rsidR="00CC6346" w:rsidRDefault="001C11DF">
            <w:pPr>
              <w:jc w:val="center"/>
            </w:pPr>
            <w:r>
              <w:rPr>
                <w:color w:val="000000"/>
                <w:sz w:val="24"/>
              </w:rPr>
              <w:t>112018107</w:t>
            </w:r>
          </w:p>
        </w:tc>
        <w:tc>
          <w:tcPr>
            <w:tcW w:w="1533" w:type="dxa"/>
            <w:vAlign w:val="center"/>
          </w:tcPr>
          <w:p w:rsidR="00CC6346" w:rsidRDefault="001C11DF">
            <w:pPr>
              <w:jc w:val="center"/>
            </w:pPr>
            <w:r>
              <w:rPr>
                <w:color w:val="000000"/>
                <w:sz w:val="24"/>
              </w:rPr>
              <w:t>20</w:t>
            </w:r>
            <w:r>
              <w:rPr>
                <w:color w:val="000000"/>
                <w:sz w:val="24"/>
              </w:rPr>
              <w:t>华夏银行</w:t>
            </w:r>
            <w:r>
              <w:rPr>
                <w:color w:val="000000"/>
                <w:sz w:val="24"/>
              </w:rPr>
              <w:t>CD107</w:t>
            </w:r>
          </w:p>
        </w:tc>
        <w:tc>
          <w:tcPr>
            <w:tcW w:w="1394" w:type="dxa"/>
            <w:vAlign w:val="center"/>
          </w:tcPr>
          <w:p w:rsidR="00CC6346" w:rsidRDefault="001C11DF">
            <w:pPr>
              <w:jc w:val="right"/>
            </w:pPr>
            <w:r>
              <w:rPr>
                <w:color w:val="000000"/>
                <w:sz w:val="24"/>
              </w:rPr>
              <w:t>3,000,000</w:t>
            </w:r>
          </w:p>
        </w:tc>
        <w:tc>
          <w:tcPr>
            <w:tcW w:w="1944" w:type="dxa"/>
            <w:vAlign w:val="center"/>
          </w:tcPr>
          <w:p w:rsidR="00CC6346" w:rsidRDefault="001C11DF">
            <w:pPr>
              <w:jc w:val="right"/>
            </w:pPr>
            <w:r>
              <w:rPr>
                <w:color w:val="000000"/>
                <w:sz w:val="24"/>
              </w:rPr>
              <w:t>293,400,000.00</w:t>
            </w:r>
          </w:p>
        </w:tc>
        <w:tc>
          <w:tcPr>
            <w:tcW w:w="1389" w:type="dxa"/>
            <w:vAlign w:val="center"/>
          </w:tcPr>
          <w:p w:rsidR="00CC6346" w:rsidRDefault="001C11DF">
            <w:pPr>
              <w:jc w:val="right"/>
            </w:pPr>
            <w:r>
              <w:rPr>
                <w:color w:val="000000"/>
                <w:sz w:val="24"/>
              </w:rPr>
              <w:t>8.44</w:t>
            </w:r>
          </w:p>
        </w:tc>
      </w:tr>
      <w:tr w:rsidR="00CC6346">
        <w:trPr>
          <w:jc w:val="center"/>
        </w:trPr>
        <w:tc>
          <w:tcPr>
            <w:tcW w:w="1075" w:type="dxa"/>
            <w:vAlign w:val="center"/>
          </w:tcPr>
          <w:p w:rsidR="00CC6346" w:rsidRDefault="001C11DF">
            <w:pPr>
              <w:jc w:val="center"/>
            </w:pPr>
            <w:r>
              <w:rPr>
                <w:color w:val="000000"/>
                <w:sz w:val="24"/>
              </w:rPr>
              <w:t>5</w:t>
            </w:r>
          </w:p>
        </w:tc>
        <w:tc>
          <w:tcPr>
            <w:tcW w:w="1533" w:type="dxa"/>
            <w:vAlign w:val="center"/>
          </w:tcPr>
          <w:p w:rsidR="00CC6346" w:rsidRDefault="001C11DF">
            <w:pPr>
              <w:jc w:val="center"/>
            </w:pPr>
            <w:r>
              <w:rPr>
                <w:color w:val="000000"/>
                <w:sz w:val="24"/>
              </w:rPr>
              <w:t>101652017</w:t>
            </w:r>
          </w:p>
        </w:tc>
        <w:tc>
          <w:tcPr>
            <w:tcW w:w="1533" w:type="dxa"/>
            <w:vAlign w:val="center"/>
          </w:tcPr>
          <w:p w:rsidR="00CC6346" w:rsidRDefault="001C11DF">
            <w:pPr>
              <w:jc w:val="center"/>
            </w:pPr>
            <w:r>
              <w:rPr>
                <w:color w:val="000000"/>
                <w:sz w:val="24"/>
              </w:rPr>
              <w:t>16</w:t>
            </w:r>
            <w:r>
              <w:rPr>
                <w:color w:val="000000"/>
                <w:sz w:val="24"/>
              </w:rPr>
              <w:t>首旅</w:t>
            </w:r>
            <w:r>
              <w:rPr>
                <w:color w:val="000000"/>
                <w:sz w:val="24"/>
              </w:rPr>
              <w:t>MTN001</w:t>
            </w:r>
          </w:p>
        </w:tc>
        <w:tc>
          <w:tcPr>
            <w:tcW w:w="1394" w:type="dxa"/>
            <w:vAlign w:val="center"/>
          </w:tcPr>
          <w:p w:rsidR="00CC6346" w:rsidRDefault="001C11DF">
            <w:pPr>
              <w:jc w:val="right"/>
            </w:pPr>
            <w:r>
              <w:rPr>
                <w:color w:val="000000"/>
                <w:sz w:val="24"/>
              </w:rPr>
              <w:t>2,400,000</w:t>
            </w:r>
          </w:p>
        </w:tc>
        <w:tc>
          <w:tcPr>
            <w:tcW w:w="1944" w:type="dxa"/>
            <w:vAlign w:val="center"/>
          </w:tcPr>
          <w:p w:rsidR="00CC6346" w:rsidRDefault="001C11DF">
            <w:pPr>
              <w:jc w:val="right"/>
            </w:pPr>
            <w:r>
              <w:rPr>
                <w:color w:val="000000"/>
                <w:sz w:val="24"/>
              </w:rPr>
              <w:t>241,896,000.00</w:t>
            </w:r>
          </w:p>
        </w:tc>
        <w:tc>
          <w:tcPr>
            <w:tcW w:w="1389" w:type="dxa"/>
            <w:vAlign w:val="center"/>
          </w:tcPr>
          <w:p w:rsidR="00CC6346" w:rsidRDefault="001C11DF">
            <w:pPr>
              <w:jc w:val="right"/>
            </w:pPr>
            <w:r>
              <w:rPr>
                <w:color w:val="000000"/>
                <w:sz w:val="24"/>
              </w:rPr>
              <w:t>6.96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1433"/>
        <w:gridCol w:w="1473"/>
        <w:gridCol w:w="1443"/>
        <w:gridCol w:w="1480"/>
        <w:gridCol w:w="1596"/>
        <w:gridCol w:w="1443"/>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5324E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CC6346">
        <w:trPr>
          <w:jc w:val="center"/>
        </w:trPr>
        <w:tc>
          <w:tcPr>
            <w:tcW w:w="0" w:type="auto"/>
            <w:vAlign w:val="center"/>
          </w:tcPr>
          <w:p w:rsidR="00CC6346" w:rsidRDefault="001C11DF">
            <w:pPr>
              <w:jc w:val="center"/>
            </w:pPr>
            <w:r>
              <w:rPr>
                <w:color w:val="000000"/>
                <w:sz w:val="24"/>
              </w:rPr>
              <w:t>1</w:t>
            </w:r>
          </w:p>
        </w:tc>
        <w:tc>
          <w:tcPr>
            <w:tcW w:w="0" w:type="auto"/>
            <w:vAlign w:val="center"/>
          </w:tcPr>
          <w:p w:rsidR="00CC6346" w:rsidRDefault="001C11DF">
            <w:pPr>
              <w:jc w:val="center"/>
            </w:pPr>
            <w:r>
              <w:rPr>
                <w:color w:val="000000"/>
                <w:sz w:val="24"/>
              </w:rPr>
              <w:t>1889203</w:t>
            </w:r>
          </w:p>
        </w:tc>
        <w:tc>
          <w:tcPr>
            <w:tcW w:w="0" w:type="auto"/>
            <w:vAlign w:val="center"/>
          </w:tcPr>
          <w:p w:rsidR="00CC6346" w:rsidRDefault="001C11DF">
            <w:pPr>
              <w:jc w:val="center"/>
            </w:pPr>
            <w:r>
              <w:rPr>
                <w:color w:val="000000"/>
                <w:sz w:val="24"/>
              </w:rPr>
              <w:t>18</w:t>
            </w:r>
            <w:r>
              <w:rPr>
                <w:color w:val="000000"/>
                <w:sz w:val="24"/>
              </w:rPr>
              <w:t>工元</w:t>
            </w:r>
            <w:r>
              <w:rPr>
                <w:color w:val="000000"/>
                <w:sz w:val="24"/>
              </w:rPr>
              <w:t>9A1</w:t>
            </w:r>
          </w:p>
        </w:tc>
        <w:tc>
          <w:tcPr>
            <w:tcW w:w="0" w:type="auto"/>
            <w:vAlign w:val="center"/>
          </w:tcPr>
          <w:p w:rsidR="00CC6346" w:rsidRDefault="001C11DF">
            <w:pPr>
              <w:jc w:val="right"/>
            </w:pPr>
            <w:r>
              <w:rPr>
                <w:color w:val="000000"/>
                <w:sz w:val="24"/>
              </w:rPr>
              <w:t>2,400,000</w:t>
            </w:r>
          </w:p>
        </w:tc>
        <w:tc>
          <w:tcPr>
            <w:tcW w:w="0" w:type="auto"/>
            <w:vAlign w:val="center"/>
          </w:tcPr>
          <w:p w:rsidR="00CC6346" w:rsidRDefault="001C11DF">
            <w:pPr>
              <w:jc w:val="right"/>
            </w:pPr>
            <w:r>
              <w:rPr>
                <w:color w:val="000000"/>
                <w:sz w:val="24"/>
              </w:rPr>
              <w:t>49,032,000.00</w:t>
            </w:r>
          </w:p>
        </w:tc>
        <w:tc>
          <w:tcPr>
            <w:tcW w:w="0" w:type="auto"/>
            <w:vAlign w:val="center"/>
          </w:tcPr>
          <w:p w:rsidR="00CC6346" w:rsidRDefault="001C11DF">
            <w:pPr>
              <w:jc w:val="right"/>
            </w:pPr>
            <w:r>
              <w:rPr>
                <w:color w:val="000000"/>
                <w:sz w:val="24"/>
              </w:rPr>
              <w:t>1.41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64,061,438.74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64,061,438.74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3,382,768,485.29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14,040.43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306,200.95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100,670.25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299,673.97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13,144.02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3,382,775,012.27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101,566.66</w:t>
            </w:r>
          </w:p>
        </w:tc>
      </w:tr>
    </w:tbl>
    <w:p w:rsidR="00CC6346" w:rsidRDefault="001C11D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C6346">
        <w:tc>
          <w:tcPr>
            <w:tcW w:w="992" w:type="dxa"/>
            <w:vMerge w:val="restart"/>
          </w:tcPr>
          <w:p w:rsidR="00CC6346" w:rsidRDefault="00CC6346"/>
          <w:p w:rsidR="00CC6346" w:rsidRDefault="001C11DF">
            <w:r>
              <w:rPr>
                <w:rFonts w:ascii="宋体" w:hAnsi="宋体" w:hint="eastAsia"/>
                <w:bCs/>
                <w:color w:val="000000"/>
                <w:kern w:val="0"/>
                <w:szCs w:val="21"/>
              </w:rPr>
              <w:t>机构</w:t>
            </w:r>
          </w:p>
        </w:tc>
        <w:tc>
          <w:tcPr>
            <w:tcW w:w="991" w:type="dxa"/>
            <w:vAlign w:val="center"/>
          </w:tcPr>
          <w:p w:rsidR="00CC6346" w:rsidRDefault="001C11DF">
            <w:pPr>
              <w:jc w:val="center"/>
            </w:pPr>
            <w:r>
              <w:rPr>
                <w:rFonts w:ascii="宋体" w:hAnsi="宋体" w:hint="eastAsia"/>
                <w:color w:val="000000"/>
                <w:kern w:val="0"/>
                <w:szCs w:val="21"/>
              </w:rPr>
              <w:t>1</w:t>
            </w:r>
          </w:p>
        </w:tc>
        <w:tc>
          <w:tcPr>
            <w:tcW w:w="1843" w:type="dxa"/>
            <w:vAlign w:val="center"/>
          </w:tcPr>
          <w:p w:rsidR="00CC6346" w:rsidRDefault="001C11DF">
            <w:pPr>
              <w:jc w:val="center"/>
            </w:pPr>
            <w:r>
              <w:rPr>
                <w:rFonts w:ascii="宋体" w:hAnsi="宋体" w:hint="eastAsia"/>
                <w:color w:val="000000"/>
                <w:kern w:val="0"/>
                <w:szCs w:val="21"/>
              </w:rPr>
              <w:t>2020/4/1-2020/6/30</w:t>
            </w:r>
          </w:p>
        </w:tc>
        <w:tc>
          <w:tcPr>
            <w:tcW w:w="851" w:type="dxa"/>
            <w:vAlign w:val="center"/>
          </w:tcPr>
          <w:p w:rsidR="00CC6346" w:rsidRDefault="001C11DF">
            <w:pPr>
              <w:jc w:val="center"/>
            </w:pPr>
            <w:r>
              <w:rPr>
                <w:rFonts w:ascii="宋体" w:hAnsi="宋体" w:hint="eastAsia"/>
                <w:color w:val="000000"/>
                <w:kern w:val="0"/>
                <w:szCs w:val="21"/>
              </w:rPr>
              <w:t>3,382,690,550.12</w:t>
            </w:r>
          </w:p>
        </w:tc>
        <w:tc>
          <w:tcPr>
            <w:tcW w:w="850" w:type="dxa"/>
            <w:vAlign w:val="center"/>
          </w:tcPr>
          <w:p w:rsidR="00CC6346" w:rsidRDefault="001C11DF">
            <w:pPr>
              <w:jc w:val="center"/>
            </w:pPr>
            <w:r>
              <w:rPr>
                <w:rFonts w:ascii="宋体" w:hAnsi="宋体" w:hint="eastAsia"/>
                <w:color w:val="000000"/>
                <w:kern w:val="0"/>
                <w:szCs w:val="21"/>
              </w:rPr>
              <w:t>-</w:t>
            </w:r>
          </w:p>
        </w:tc>
        <w:tc>
          <w:tcPr>
            <w:tcW w:w="1134" w:type="dxa"/>
            <w:vAlign w:val="center"/>
          </w:tcPr>
          <w:p w:rsidR="00CC6346" w:rsidRDefault="001C11DF">
            <w:pPr>
              <w:jc w:val="center"/>
            </w:pPr>
            <w:r>
              <w:rPr>
                <w:rFonts w:ascii="宋体" w:hAnsi="宋体" w:hint="eastAsia"/>
                <w:color w:val="000000"/>
                <w:kern w:val="0"/>
                <w:szCs w:val="21"/>
              </w:rPr>
              <w:t>-</w:t>
            </w:r>
          </w:p>
        </w:tc>
        <w:tc>
          <w:tcPr>
            <w:tcW w:w="1419" w:type="dxa"/>
            <w:vAlign w:val="center"/>
          </w:tcPr>
          <w:p w:rsidR="00CC6346" w:rsidRDefault="001C11DF">
            <w:pPr>
              <w:jc w:val="center"/>
            </w:pPr>
            <w:r>
              <w:rPr>
                <w:rFonts w:ascii="宋体" w:hAnsi="宋体" w:hint="eastAsia"/>
                <w:color w:val="000000"/>
                <w:kern w:val="0"/>
                <w:szCs w:val="21"/>
              </w:rPr>
              <w:t>3,382,690,550.12</w:t>
            </w:r>
          </w:p>
        </w:tc>
        <w:tc>
          <w:tcPr>
            <w:tcW w:w="1130" w:type="dxa"/>
            <w:vAlign w:val="center"/>
          </w:tcPr>
          <w:p w:rsidR="00CC6346" w:rsidRDefault="001C11DF">
            <w:pPr>
              <w:jc w:val="center"/>
            </w:pPr>
            <w:r>
              <w:rPr>
                <w:rFonts w:ascii="宋体" w:hAnsi="宋体" w:hint="eastAsia"/>
                <w:color w:val="000000"/>
                <w:kern w:val="0"/>
                <w:szCs w:val="21"/>
              </w:rPr>
              <w:t>99.99%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C6346" w:rsidRDefault="001C11D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DF" w:rsidRDefault="001C11DF">
      <w:r>
        <w:separator/>
      </w:r>
    </w:p>
  </w:endnote>
  <w:endnote w:type="continuationSeparator" w:id="0">
    <w:p w:rsidR="001C11DF" w:rsidRDefault="001C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06A8E">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06A8E">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DF" w:rsidRDefault="001C11DF">
      <w:r>
        <w:separator/>
      </w:r>
    </w:p>
  </w:footnote>
  <w:footnote w:type="continuationSeparator" w:id="0">
    <w:p w:rsidR="001C11DF" w:rsidRDefault="001C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1DF"/>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6346"/>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A8E"/>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909B-E0E2-41FD-AAFA-2E24CF38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Pages>
  <Words>1229</Words>
  <Characters>7010</Characters>
  <Application>Microsoft Office Word</Application>
  <DocSecurity>0</DocSecurity>
  <Lines>58</Lines>
  <Paragraphs>16</Paragraphs>
  <ScaleCrop>false</ScaleCrop>
  <Company>TRT. Ltd. Co.</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406</cp:revision>
  <cp:lastPrinted>2007-07-19T00:46:00Z</cp:lastPrinted>
  <dcterms:created xsi:type="dcterms:W3CDTF">2014-01-17T06:19:00Z</dcterms:created>
  <dcterms:modified xsi:type="dcterms:W3CDTF">2020-07-17T05:42:00Z</dcterms:modified>
</cp:coreProperties>
</file>