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交银施罗德新生活力灵活配置混合型证券投资基金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2016年11月11日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4,250,365,307.13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218,106,709.42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1,847,945,740.86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0.4586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11,088,695,619.99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21.07%</w:t>
            </w:r>
          </w:p>
        </w:tc>
        <w:tc>
          <w:tcPr>
            <w:vAlign w:val="center"/>
          </w:tcPr>
          <w:p>
            <w:pPr>
              <w:jc w:val="center"/>
            </w:pPr>
            <w:r>
              <w:rPr>
                <w:color w:val="000000"/>
                <w:sz w:val="24"/>
                <w:szCs w:val="24"/>
              </w:rPr>
              <w:t>0.97%</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13.53%</w:t>
            </w:r>
          </w:p>
        </w:tc>
        <w:tc>
          <w:tcPr>
            <w:vAlign w:val="center"/>
          </w:tcPr>
          <w:p>
            <w:pPr>
              <w:jc w:val="center"/>
            </w:pPr>
            <w:r>
              <w:rPr>
                <w:color w:val="000000"/>
                <w:sz w:val="24"/>
                <w:szCs w:val="24"/>
              </w:rPr>
              <w:t>0.43%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29.93%</w:t>
            </w:r>
          </w:p>
        </w:tc>
        <w:tc>
          <w:tcPr>
            <w:vAlign w:val="center"/>
          </w:tcPr>
          <w:p>
            <w:pPr>
              <w:jc w:val="center"/>
            </w:pPr>
            <w:r>
              <w:rPr>
                <w:color w:val="000000"/>
                <w:sz w:val="24"/>
                <w:szCs w:val="24"/>
              </w:rPr>
              <w:t>1.51%</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27.66%</w:t>
            </w:r>
          </w:p>
        </w:tc>
        <w:tc>
          <w:tcPr>
            <w:vAlign w:val="center"/>
          </w:tcPr>
          <w:p>
            <w:pPr>
              <w:jc w:val="center"/>
            </w:pPr>
            <w:r>
              <w:rPr>
                <w:color w:val="000000"/>
                <w:sz w:val="24"/>
                <w:szCs w:val="24"/>
              </w:rPr>
              <w:t>0.61%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64.50%</w:t>
            </w:r>
          </w:p>
        </w:tc>
        <w:tc>
          <w:tcPr>
            <w:vAlign w:val="center"/>
          </w:tcPr>
          <w:p>
            <w:pPr>
              <w:jc w:val="center"/>
            </w:pPr>
            <w:r>
              <w:rPr>
                <w:color w:val="000000"/>
                <w:sz w:val="24"/>
                <w:szCs w:val="24"/>
              </w:rPr>
              <w:t>1.33%</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56.72%</w:t>
            </w:r>
          </w:p>
        </w:tc>
        <w:tc>
          <w:tcPr>
            <w:vAlign w:val="center"/>
          </w:tcPr>
          <w:p>
            <w:pPr>
              <w:jc w:val="center"/>
            </w:pPr>
            <w:r>
              <w:rPr>
                <w:color w:val="000000"/>
                <w:sz w:val="24"/>
                <w:szCs w:val="24"/>
              </w:rPr>
              <w:t>0.61%</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150.14%</w:t>
            </w:r>
          </w:p>
        </w:tc>
        <w:tc>
          <w:tcPr>
            <w:vAlign w:val="center"/>
          </w:tcPr>
          <w:p>
            <w:pPr>
              <w:jc w:val="center"/>
            </w:pPr>
            <w:r>
              <w:rPr>
                <w:color w:val="000000"/>
                <w:sz w:val="24"/>
                <w:szCs w:val="24"/>
              </w:rPr>
              <w:t>1.39%</w:t>
            </w:r>
          </w:p>
        </w:tc>
        <w:tc>
          <w:tcPr>
            <w:vAlign w:val="center"/>
          </w:tcPr>
          <w:p>
            <w:pPr>
              <w:jc w:val="center"/>
            </w:pPr>
            <w:r>
              <w:rPr>
                <w:color w:val="000000"/>
                <w:sz w:val="24"/>
                <w:szCs w:val="24"/>
              </w:rPr>
              <w:t>16.18%</w:t>
            </w:r>
          </w:p>
        </w:tc>
        <w:tc>
          <w:tcPr>
            <w:vAlign w:val="center"/>
          </w:tcPr>
          <w:p>
            <w:pPr>
              <w:jc w:val="center"/>
            </w:pPr>
            <w:r>
              <w:rPr>
                <w:color w:val="000000"/>
                <w:sz w:val="24"/>
                <w:szCs w:val="24"/>
              </w:rPr>
              <w:t>0.75%</w:t>
            </w:r>
          </w:p>
        </w:tc>
        <w:tc>
          <w:tcPr>
            <w:vAlign w:val="center"/>
          </w:tcPr>
          <w:p>
            <w:pPr>
              <w:jc w:val="center"/>
            </w:pPr>
            <w:r>
              <w:rPr>
                <w:color w:val="000000"/>
                <w:sz w:val="24"/>
                <w:szCs w:val="24"/>
              </w:rPr>
              <w:t>133.96%</w:t>
            </w:r>
          </w:p>
        </w:tc>
        <w:tc>
          <w:tcPr>
            <w:vAlign w:val="center"/>
          </w:tcPr>
          <w:p>
            <w:pPr>
              <w:jc w:val="center"/>
            </w:pPr>
            <w:r>
              <w:rPr>
                <w:color w:val="000000"/>
                <w:sz w:val="24"/>
                <w:szCs w:val="24"/>
              </w:rPr>
              <w:t>0.64%</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160.90%</w:t>
            </w:r>
          </w:p>
        </w:tc>
        <w:tc>
          <w:tcPr>
            <w:vAlign w:val="center"/>
          </w:tcPr>
          <w:p>
            <w:pPr>
              <w:jc w:val="center"/>
            </w:pPr>
            <w:r>
              <w:rPr>
                <w:color w:val="000000"/>
                <w:sz w:val="24"/>
                <w:szCs w:val="24"/>
              </w:rPr>
              <w:t>1.30%</w:t>
            </w:r>
          </w:p>
        </w:tc>
        <w:tc>
          <w:tcPr>
            <w:vAlign w:val="center"/>
          </w:tcPr>
          <w:p>
            <w:pPr>
              <w:jc w:val="center"/>
            </w:pPr>
            <w:r>
              <w:rPr>
                <w:color w:val="000000"/>
                <w:sz w:val="24"/>
                <w:szCs w:val="24"/>
              </w:rPr>
              <w:t>21.03%</w:t>
            </w:r>
          </w:p>
        </w:tc>
        <w:tc>
          <w:tcPr>
            <w:vAlign w:val="center"/>
          </w:tcPr>
          <w:p>
            <w:pPr>
              <w:jc w:val="center"/>
            </w:pPr>
            <w:r>
              <w:rPr>
                <w:color w:val="000000"/>
                <w:sz w:val="24"/>
                <w:szCs w:val="24"/>
              </w:rPr>
              <w:t>0.70%</w:t>
            </w:r>
          </w:p>
        </w:tc>
        <w:tc>
          <w:tcPr>
            <w:vAlign w:val="center"/>
          </w:tcPr>
          <w:p>
            <w:pPr>
              <w:jc w:val="center"/>
            </w:pPr>
            <w:r>
              <w:rPr>
                <w:color w:val="000000"/>
                <w:sz w:val="24"/>
                <w:szCs w:val="24"/>
              </w:rPr>
              <w:t>139.87%</w:t>
            </w:r>
          </w:p>
        </w:tc>
        <w:tc>
          <w:tcPr>
            <w:vAlign w:val="center"/>
          </w:tcPr>
          <w:p>
            <w:pPr>
              <w:jc w:val="center"/>
            </w:pPr>
            <w:r>
              <w:rPr>
                <w:color w:val="000000"/>
                <w:sz w:val="24"/>
                <w:szCs w:val="24"/>
              </w:rPr>
              <w:t>0.60%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交银施罗德新生活力灵活配置混合型证券投资基金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2016年11月11日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2016-11-11</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第二季度，上证指数上涨8.52%，创业板指数上涨30.25%，市场呈现出较为极端的成长股风格偏好，与当下流动性宽松低利率环境有较大关系。同时因为疫情对全球经济的负面影响和中美贸易摩擦，成长股板块中的相对逆经济周期品种表现更为突出，比如医药、半导体、食品饮料、基建等。</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本报告期跑赢业绩比较基准，主要是我们在线上娱乐与办公、新零售与供应链物流、可穿戴设备、云计算等领域上投资的个股获得不错的收益。我们的基金产品更为重视个股研究，追求平衡和稳健。在纷繁的成长股牛市中，我们一方面警惕风格化资金对于热门行业的疯狂追逐导致的估值泡沫，一方面也在积极的去体会社会经济的深层次变化，努力不错过这个革新的时代。商业社会在供给侧改革、科技赋能、消费升级三重作用下带来的投资机会是接下来我们最关注的。虽然我们在过去几个季报中也先后有所提及，但随着产业的发展，商业革新的变化更为清晰。我们特别关注一些具备平台化能力的公司而不是大单品公司，我们相信这些有能力把产品做得规整，甚至具备多产品类别能力的公司将会创造更多增量价值。</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9,160,928,343.90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9,160,928,343.90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501,423,532.02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501,423,532.02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1,190,001,035.00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10.39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465,607,138.30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130,163,264.80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11,448,123,314.02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406,921,811.52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4,773,214,418.24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732,673,520.92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1,360,068,556.80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169,100,522.62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139,545,144.76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79,828,895.56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458,236,610.25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1,041,326,096.91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9,160,928,343.90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82.62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13,634,954</w:t>
            </w:r>
          </w:p>
        </w:tc>
        <w:tc>
          <w:tcPr>
            <w:vAlign w:val="center"/>
          </w:tcPr>
          <w:p>
            <w:pPr>
              <w:jc w:val="right"/>
            </w:pPr>
            <w:r>
              <w:rPr>
                <w:color w:val="000000"/>
                <w:sz w:val="24"/>
                <w:szCs w:val="24"/>
              </w:rPr>
              <w:t>888,999,000.80</w:t>
            </w:r>
          </w:p>
        </w:tc>
        <w:tc>
          <w:tcPr>
            <w:vAlign w:val="center"/>
          </w:tcPr>
          <w:p>
            <w:pPr>
              <w:jc w:val="right"/>
            </w:pPr>
            <w:r>
              <w:rPr>
                <w:color w:val="000000"/>
                <w:sz w:val="24"/>
                <w:szCs w:val="24"/>
              </w:rPr>
              <w:t>8.02</w:t>
            </w:r>
          </w:p>
        </w:tc>
      </w:tr>
      <w:tr>
        <w:tc>
          <w:tcPr>
            <w:vAlign w:val="center"/>
          </w:tcPr>
          <w:p>
            <w:pPr>
              <w:jc w:val="center"/>
            </w:pPr>
            <w:r>
              <w:rPr>
                <w:color w:val="000000"/>
                <w:sz w:val="24"/>
                <w:szCs w:val="24"/>
              </w:rPr>
              <w:t>2</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13,309,254</w:t>
            </w:r>
          </w:p>
        </w:tc>
        <w:tc>
          <w:tcPr>
            <w:vAlign w:val="center"/>
          </w:tcPr>
          <w:p>
            <w:pPr>
              <w:jc w:val="right"/>
            </w:pPr>
            <w:r>
              <w:rPr>
                <w:color w:val="000000"/>
                <w:sz w:val="24"/>
                <w:szCs w:val="24"/>
              </w:rPr>
              <w:t>727,080,193.80</w:t>
            </w:r>
          </w:p>
        </w:tc>
        <w:tc>
          <w:tcPr>
            <w:vAlign w:val="center"/>
          </w:tcPr>
          <w:p>
            <w:pPr>
              <w:jc w:val="right"/>
            </w:pPr>
            <w:r>
              <w:rPr>
                <w:color w:val="000000"/>
                <w:sz w:val="24"/>
                <w:szCs w:val="24"/>
              </w:rPr>
              <w:t>6.56</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9,493,751</w:t>
            </w:r>
          </w:p>
        </w:tc>
        <w:tc>
          <w:tcPr>
            <w:vAlign w:val="center"/>
          </w:tcPr>
          <w:p>
            <w:pPr>
              <w:jc w:val="right"/>
            </w:pPr>
            <w:r>
              <w:rPr>
                <w:color w:val="000000"/>
                <w:sz w:val="24"/>
                <w:szCs w:val="24"/>
              </w:rPr>
              <w:t>671,587,945.74</w:t>
            </w:r>
          </w:p>
        </w:tc>
        <w:tc>
          <w:tcPr>
            <w:vAlign w:val="center"/>
          </w:tcPr>
          <w:p>
            <w:pPr>
              <w:jc w:val="right"/>
            </w:pPr>
            <w:r>
              <w:rPr>
                <w:color w:val="000000"/>
                <w:sz w:val="24"/>
                <w:szCs w:val="24"/>
              </w:rPr>
              <w:t>6.06</w:t>
            </w:r>
          </w:p>
        </w:tc>
      </w:tr>
      <w:tr>
        <w:tc>
          <w:tcPr>
            <w:vAlign w:val="center"/>
          </w:tcPr>
          <w:p>
            <w:pPr>
              <w:jc w:val="center"/>
            </w:pPr>
            <w:r>
              <w:rPr>
                <w:color w:val="000000"/>
                <w:sz w:val="24"/>
                <w:szCs w:val="24"/>
              </w:rPr>
              <w:t>4</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6,266,510</w:t>
            </w:r>
          </w:p>
        </w:tc>
        <w:tc>
          <w:tcPr>
            <w:vAlign w:val="center"/>
          </w:tcPr>
          <w:p>
            <w:pPr>
              <w:jc w:val="right"/>
            </w:pPr>
            <w:r>
              <w:rPr>
                <w:color w:val="000000"/>
                <w:sz w:val="24"/>
                <w:szCs w:val="24"/>
              </w:rPr>
              <w:t>610,260,075.20</w:t>
            </w:r>
          </w:p>
        </w:tc>
        <w:tc>
          <w:tcPr>
            <w:vAlign w:val="center"/>
          </w:tcPr>
          <w:p>
            <w:pPr>
              <w:jc w:val="right"/>
            </w:pPr>
            <w:r>
              <w:rPr>
                <w:color w:val="000000"/>
                <w:sz w:val="24"/>
                <w:szCs w:val="24"/>
              </w:rPr>
              <w:t>5.50</w:t>
            </w:r>
          </w:p>
        </w:tc>
      </w:tr>
      <w:tr>
        <w:tc>
          <w:tcPr>
            <w:vAlign w:val="center"/>
          </w:tcPr>
          <w:p>
            <w:pPr>
              <w:jc w:val="center"/>
            </w:pPr>
            <w:r>
              <w:rPr>
                <w:color w:val="000000"/>
                <w:sz w:val="24"/>
                <w:szCs w:val="24"/>
              </w:rPr>
              <w:t>5</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31,072,713</w:t>
            </w:r>
          </w:p>
        </w:tc>
        <w:tc>
          <w:tcPr>
            <w:vAlign w:val="center"/>
          </w:tcPr>
          <w:p>
            <w:pPr>
              <w:jc w:val="right"/>
            </w:pPr>
            <w:r>
              <w:rPr>
                <w:color w:val="000000"/>
                <w:sz w:val="24"/>
                <w:szCs w:val="24"/>
              </w:rPr>
              <w:t>549,987,020.10</w:t>
            </w:r>
          </w:p>
        </w:tc>
        <w:tc>
          <w:tcPr>
            <w:vAlign w:val="center"/>
          </w:tcPr>
          <w:p>
            <w:pPr>
              <w:jc w:val="right"/>
            </w:pPr>
            <w:r>
              <w:rPr>
                <w:color w:val="000000"/>
                <w:sz w:val="24"/>
                <w:szCs w:val="24"/>
              </w:rPr>
              <w:t>4.96</w:t>
            </w:r>
          </w:p>
        </w:tc>
      </w:tr>
      <w:tr>
        <w:tc>
          <w:tcPr>
            <w:vAlign w:val="center"/>
          </w:tcPr>
          <w:p>
            <w:pPr>
              <w:jc w:val="center"/>
            </w:pPr>
            <w:r>
              <w:rPr>
                <w:color w:val="000000"/>
                <w:sz w:val="24"/>
                <w:szCs w:val="24"/>
              </w:rPr>
              <w:t>6</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23,734,481</w:t>
            </w:r>
          </w:p>
        </w:tc>
        <w:tc>
          <w:tcPr>
            <w:vAlign w:val="center"/>
          </w:tcPr>
          <w:p>
            <w:pPr>
              <w:jc w:val="right"/>
            </w:pPr>
            <w:r>
              <w:rPr>
                <w:color w:val="000000"/>
                <w:sz w:val="24"/>
                <w:szCs w:val="24"/>
              </w:rPr>
              <w:t>519,785,133.90</w:t>
            </w:r>
          </w:p>
        </w:tc>
        <w:tc>
          <w:tcPr>
            <w:vAlign w:val="center"/>
          </w:tcPr>
          <w:p>
            <w:pPr>
              <w:jc w:val="right"/>
            </w:pPr>
            <w:r>
              <w:rPr>
                <w:color w:val="000000"/>
                <w:sz w:val="24"/>
                <w:szCs w:val="24"/>
              </w:rPr>
              <w:t>4.69</w:t>
            </w:r>
          </w:p>
        </w:tc>
      </w:tr>
      <w:tr>
        <w:tc>
          <w:tcPr>
            <w:vAlign w:val="center"/>
          </w:tcPr>
          <w:p>
            <w:pPr>
              <w:jc w:val="center"/>
            </w:pPr>
            <w:r>
              <w:rPr>
                <w:color w:val="000000"/>
                <w:sz w:val="24"/>
                <w:szCs w:val="24"/>
              </w:rPr>
              <w:t>7</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10,952,157</w:t>
            </w:r>
          </w:p>
        </w:tc>
        <w:tc>
          <w:tcPr>
            <w:vAlign w:val="center"/>
          </w:tcPr>
          <w:p>
            <w:pPr>
              <w:jc w:val="right"/>
            </w:pPr>
            <w:r>
              <w:rPr>
                <w:color w:val="000000"/>
                <w:sz w:val="24"/>
                <w:szCs w:val="24"/>
              </w:rPr>
              <w:t>507,685,947.60</w:t>
            </w:r>
          </w:p>
        </w:tc>
        <w:tc>
          <w:tcPr>
            <w:vAlign w:val="center"/>
          </w:tcPr>
          <w:p>
            <w:pPr>
              <w:jc w:val="right"/>
            </w:pPr>
            <w:r>
              <w:rPr>
                <w:color w:val="000000"/>
                <w:sz w:val="24"/>
                <w:szCs w:val="24"/>
              </w:rPr>
              <w:t>4.58</w:t>
            </w:r>
          </w:p>
        </w:tc>
      </w:tr>
      <w:tr>
        <w:tc>
          <w:tcPr>
            <w:vAlign w:val="center"/>
          </w:tcPr>
          <w:p>
            <w:pPr>
              <w:jc w:val="center"/>
            </w:pPr>
            <w:r>
              <w:rPr>
                <w:color w:val="000000"/>
                <w:sz w:val="24"/>
                <w:szCs w:val="24"/>
              </w:rPr>
              <w:t>8</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11,774,646</w:t>
            </w:r>
          </w:p>
        </w:tc>
        <w:tc>
          <w:tcPr>
            <w:vAlign w:val="center"/>
          </w:tcPr>
          <w:p>
            <w:pPr>
              <w:jc w:val="right"/>
            </w:pPr>
            <w:r>
              <w:rPr>
                <w:color w:val="000000"/>
                <w:sz w:val="24"/>
                <w:szCs w:val="24"/>
              </w:rPr>
              <w:t>478,403,866.98</w:t>
            </w:r>
          </w:p>
        </w:tc>
        <w:tc>
          <w:tcPr>
            <w:vAlign w:val="center"/>
          </w:tcPr>
          <w:p>
            <w:pPr>
              <w:jc w:val="right"/>
            </w:pPr>
            <w:r>
              <w:rPr>
                <w:color w:val="000000"/>
                <w:sz w:val="24"/>
                <w:szCs w:val="24"/>
              </w:rPr>
              <w:t>4.31</w:t>
            </w:r>
          </w:p>
        </w:tc>
      </w:tr>
      <w:tr>
        <w:tc>
          <w:tcPr>
            <w:vAlign w:val="center"/>
          </w:tcPr>
          <w:p>
            <w:pPr>
              <w:jc w:val="center"/>
            </w:pPr>
            <w:r>
              <w:rPr>
                <w:color w:val="000000"/>
                <w:sz w:val="24"/>
                <w:szCs w:val="24"/>
              </w:rPr>
              <w:t>9</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16,513,031</w:t>
            </w:r>
          </w:p>
        </w:tc>
        <w:tc>
          <w:tcPr>
            <w:vAlign w:val="center"/>
          </w:tcPr>
          <w:p>
            <w:pPr>
              <w:jc w:val="right"/>
            </w:pPr>
            <w:r>
              <w:rPr>
                <w:color w:val="000000"/>
                <w:sz w:val="24"/>
                <w:szCs w:val="24"/>
              </w:rPr>
              <w:t>458,236,610.25</w:t>
            </w:r>
          </w:p>
        </w:tc>
        <w:tc>
          <w:tcPr>
            <w:vAlign w:val="center"/>
          </w:tcPr>
          <w:p>
            <w:pPr>
              <w:jc w:val="right"/>
            </w:pPr>
            <w:r>
              <w:rPr>
                <w:color w:val="000000"/>
                <w:sz w:val="24"/>
                <w:szCs w:val="24"/>
              </w:rPr>
              <w:t>4.13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38,675,401</w:t>
            </w:r>
          </w:p>
        </w:tc>
        <w:tc>
          <w:tcPr>
            <w:vAlign w:val="center"/>
          </w:tcPr>
          <w:p>
            <w:pPr>
              <w:jc w:val="right"/>
            </w:pPr>
            <w:r>
              <w:rPr>
                <w:color w:val="000000"/>
                <w:sz w:val="24"/>
                <w:szCs w:val="24"/>
              </w:rPr>
              <w:t>442,833,341.45</w:t>
            </w:r>
          </w:p>
        </w:tc>
        <w:tc>
          <w:tcPr>
            <w:vAlign w:val="center"/>
          </w:tcPr>
          <w:p>
            <w:pPr>
              <w:jc w:val="right"/>
            </w:pPr>
            <w:r>
              <w:rPr>
                <w:color w:val="000000"/>
                <w:sz w:val="24"/>
                <w:szCs w:val="24"/>
              </w:rPr>
              <w:t>3.99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470,657,000.00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470,657,000.00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30,766,532.02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0.28</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501,423,532.02</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3,200,000</w:t>
            </w:r>
          </w:p>
        </w:tc>
        <w:tc>
          <w:tcPr>
            <w:vAlign w:val="center"/>
          </w:tcPr>
          <w:p>
            <w:pPr>
              <w:jc w:val="right"/>
            </w:pPr>
            <w:r>
              <w:rPr>
                <w:color w:val="000000"/>
                <w:sz w:val="24"/>
                <w:szCs w:val="24"/>
              </w:rPr>
              <w:t>320,672,000.00</w:t>
            </w:r>
          </w:p>
        </w:tc>
        <w:tc>
          <w:tcPr>
            <w:vAlign w:val="center"/>
          </w:tcPr>
          <w:p>
            <w:pPr>
              <w:jc w:val="right"/>
            </w:pPr>
            <w:r>
              <w:rPr>
                <w:color w:val="000000"/>
                <w:sz w:val="24"/>
                <w:szCs w:val="24"/>
              </w:rPr>
              <w:t>2.89</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1,000,000</w:t>
            </w:r>
          </w:p>
        </w:tc>
        <w:tc>
          <w:tcPr>
            <w:vAlign w:val="center"/>
          </w:tcPr>
          <w:p>
            <w:pPr>
              <w:jc w:val="right"/>
            </w:pPr>
            <w:r>
              <w:rPr>
                <w:color w:val="000000"/>
                <w:sz w:val="24"/>
                <w:szCs w:val="24"/>
              </w:rPr>
              <w:t>100,190,000.00</w:t>
            </w:r>
          </w:p>
        </w:tc>
        <w:tc>
          <w:tcPr>
            <w:vAlign w:val="center"/>
          </w:tcPr>
          <w:p>
            <w:pPr>
              <w:jc w:val="right"/>
            </w:pPr>
            <w:r>
              <w:rPr>
                <w:color w:val="000000"/>
                <w:sz w:val="24"/>
                <w:szCs w:val="24"/>
              </w:rPr>
              <w:t>0.90</w:t>
            </w:r>
          </w:p>
        </w:tc>
      </w:tr>
      <w:tr>
        <w:tc>
          <w:tcPr>
            <w:vAlign w:val="center"/>
          </w:tcPr>
          <w:p>
            <w:pPr>
              <w:jc w:val="center"/>
            </w:pPr>
            <w:r>
              <w:rPr>
                <w:color w:val="000000"/>
                <w:sz w:val="24"/>
                <w:szCs w:val="24"/>
              </w:rPr>
              <w:t>3</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300,000</w:t>
            </w:r>
          </w:p>
        </w:tc>
        <w:tc>
          <w:tcPr>
            <w:vAlign w:val="center"/>
          </w:tcPr>
          <w:p>
            <w:pPr>
              <w:jc w:val="right"/>
            </w:pPr>
            <w:r>
              <w:rPr>
                <w:color w:val="000000"/>
                <w:sz w:val="24"/>
                <w:szCs w:val="24"/>
              </w:rPr>
              <w:t>29,949,000.00</w:t>
            </w:r>
          </w:p>
        </w:tc>
        <w:tc>
          <w:tcPr>
            <w:vAlign w:val="center"/>
          </w:tcPr>
          <w:p>
            <w:pPr>
              <w:jc w:val="right"/>
            </w:pPr>
            <w:r>
              <w:rPr>
                <w:color w:val="000000"/>
                <w:sz w:val="24"/>
                <w:szCs w:val="24"/>
              </w:rPr>
              <w:t>0.27</w:t>
            </w:r>
          </w:p>
        </w:tc>
      </w:tr>
      <w:tr>
        <w:tc>
          <w:tcPr>
            <w:vAlign w:val="center"/>
          </w:tcPr>
          <w:p>
            <w:pPr>
              <w:jc w:val="center"/>
            </w:pPr>
            <w:r>
              <w:rPr>
                <w:color w:val="000000"/>
                <w:sz w:val="24"/>
                <w:szCs w:val="24"/>
              </w:rPr>
              <w:t>4</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200,000</w:t>
            </w:r>
          </w:p>
        </w:tc>
        <w:tc>
          <w:tcPr>
            <w:vAlign w:val="center"/>
          </w:tcPr>
          <w:p>
            <w:pPr>
              <w:jc w:val="right"/>
            </w:pPr>
            <w:r>
              <w:rPr>
                <w:color w:val="000000"/>
                <w:sz w:val="24"/>
                <w:szCs w:val="24"/>
              </w:rPr>
              <w:t>19,846,000.00</w:t>
            </w:r>
          </w:p>
        </w:tc>
        <w:tc>
          <w:tcPr>
            <w:vAlign w:val="center"/>
          </w:tcPr>
          <w:p>
            <w:pPr>
              <w:jc w:val="right"/>
            </w:pPr>
            <w:r>
              <w:rPr>
                <w:color w:val="000000"/>
                <w:sz w:val="24"/>
                <w:szCs w:val="24"/>
              </w:rPr>
              <w:t>0.18</w:t>
            </w:r>
          </w:p>
        </w:tc>
      </w:tr>
      <w:tr>
        <w:tc>
          <w:tcPr>
            <w:vAlign w:val="center"/>
          </w:tcPr>
          <w:p>
            <w:pPr>
              <w:jc w:val="center"/>
            </w:pPr>
            <w:r>
              <w:rPr>
                <w:color w:val="000000"/>
                <w:sz w:val="24"/>
                <w:szCs w:val="24"/>
              </w:rPr>
              <w:t>5</w:t>
            </w:r>
          </w:p>
        </w:tc>
        <w:tc>
          <w:tcPr>
            <w:vAlign w:val="center"/>
          </w:tcPr>
          <w:p>
            <w:pPr>
              <w:jc w:val="center"/>
            </w:pPr>
            <w:r>
              <w:rPr>
                <w:color w:val="000000"/>
                <w:sz w:val="24"/>
                <w:szCs w:val="24"/>
              </w:rPr>
              <w:t>123041</w:t>
            </w:r>
          </w:p>
        </w:tc>
        <w:tc>
          <w:tcPr>
            <w:vAlign w:val="center"/>
          </w:tcPr>
          <w:p>
            <w:pPr>
              <w:jc w:val="center"/>
            </w:pPr>
            <w:r>
              <w:rPr>
                <w:color w:val="000000"/>
                <w:sz w:val="24"/>
                <w:szCs w:val="24"/>
              </w:rPr>
              <w:t>东财转2</w:t>
            </w:r>
          </w:p>
        </w:tc>
        <w:tc>
          <w:tcPr>
            <w:vAlign w:val="center"/>
          </w:tcPr>
          <w:p>
            <w:pPr>
              <w:jc w:val="right"/>
            </w:pPr>
            <w:r>
              <w:rPr>
                <w:color w:val="000000"/>
                <w:sz w:val="24"/>
                <w:szCs w:val="24"/>
              </w:rPr>
              <w:t>124,986</w:t>
            </w:r>
          </w:p>
        </w:tc>
        <w:tc>
          <w:tcPr>
            <w:vAlign w:val="center"/>
          </w:tcPr>
          <w:p>
            <w:pPr>
              <w:jc w:val="right"/>
            </w:pPr>
            <w:r>
              <w:rPr>
                <w:color w:val="000000"/>
                <w:sz w:val="24"/>
                <w:szCs w:val="24"/>
              </w:rPr>
              <w:t>18,851,638.38</w:t>
            </w:r>
          </w:p>
        </w:tc>
        <w:tc>
          <w:tcPr>
            <w:vAlign w:val="center"/>
          </w:tcPr>
          <w:p>
            <w:pPr>
              <w:jc w:val="right"/>
            </w:pPr>
            <w:r>
              <w:rPr>
                <w:color w:val="000000"/>
                <w:sz w:val="24"/>
                <w:szCs w:val="24"/>
              </w:rPr>
              <w:t>0.17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4,500,029.76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4,472,235.79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8,078,152.08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113,112,847.17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130,163,264.80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200,585,000.00</w:t>
            </w:r>
          </w:p>
        </w:tc>
        <w:tc>
          <w:tcPr>
            <w:vAlign w:val="center"/>
          </w:tcPr>
          <w:p>
            <w:pPr>
              <w:jc w:val="right"/>
            </w:pPr>
            <w:r>
              <w:rPr>
                <w:color w:val="000000"/>
                <w:sz w:val="24"/>
                <w:szCs w:val="24"/>
              </w:rPr>
              <w:t>1.81</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65,325,000.00</w:t>
            </w:r>
          </w:p>
        </w:tc>
        <w:tc>
          <w:tcPr>
            <w:vAlign w:val="center"/>
          </w:tcPr>
          <w:p>
            <w:pPr>
              <w:jc w:val="right"/>
            </w:pPr>
            <w:r>
              <w:rPr>
                <w:color w:val="000000"/>
                <w:sz w:val="24"/>
                <w:szCs w:val="24"/>
              </w:rPr>
              <w:t>0.59</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3</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48,294,000.00</w:t>
            </w:r>
          </w:p>
        </w:tc>
        <w:tc>
          <w:tcPr>
            <w:vAlign w:val="center"/>
          </w:tcPr>
          <w:p>
            <w:pPr>
              <w:jc w:val="right"/>
            </w:pPr>
            <w:r>
              <w:rPr>
                <w:color w:val="000000"/>
                <w:sz w:val="24"/>
                <w:szCs w:val="24"/>
              </w:rPr>
              <w:t>0.44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3,942,804,296.05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1,145,756,384.80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838,195,373.72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4,250,365,307.13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    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1、中国证监会准予交银施罗德新生活力灵活配置混合型证券投资基金募集注册的文件；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2、《交银施罗德新生活力灵活配置混合型证券投资基金基金合同》；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3、《交银施罗德新生活力灵活配置混合型证券投资基金招募说明书》；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4、《交银施罗德新生活力灵活配置混合型证券投资基金托管协议》；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5、关于申请募集注册交银施罗德新生活力灵活配置混合型证券投资基金的法律意见书；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8、报告期内交银施罗德新生活力灵活配置混合型证券投资基金在指定报刊上各项公告的原稿。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交银施罗德新生活力灵活配置混合型证券投资基金2020年第2季度报告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