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交银施罗德创新领航混合型证券投资基金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招商银行股份有限公司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基金托管人招商银行股份有限公司根据本基金合同规定，于2020年7月20日复核了本报告中的财务指标、净值表现和投资组合报告等内容，保证复核内容不存在虚假记载、误导性陈述或者重大遗漏。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交银创新领航混合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008955</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008955</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2020年2月27日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4,812,010,168.13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在合理控制风险并保持基金资产良好流动性的前提下，追求超越业绩比较基准的投资回报，力争实现基金资产的长期稳健增值。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沪深300指数收益率×65%+恒生指数收益率×5%+中证综合债券指数收益率×30%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-22,314,601.48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505,898,128.61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0.1014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5,178,921,920.37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1.0762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10.54%</w:t>
            </w:r>
          </w:p>
        </w:tc>
        <w:tc>
          <w:tcPr>
            <w:vAlign w:val="center"/>
          </w:tcPr>
          <w:p>
            <w:pPr>
              <w:jc w:val="center"/>
            </w:pPr>
            <w:r>
              <w:rPr>
                <w:color w:val="000000"/>
                <w:sz w:val="24"/>
                <w:szCs w:val="24"/>
              </w:rPr>
              <w:t>0.40%</w:t>
            </w:r>
          </w:p>
        </w:tc>
        <w:tc>
          <w:tcPr>
            <w:vAlign w:val="center"/>
          </w:tcPr>
          <w:p>
            <w:pPr>
              <w:jc w:val="center"/>
            </w:pPr>
            <w:r>
              <w:rPr>
                <w:color w:val="000000"/>
                <w:sz w:val="24"/>
                <w:szCs w:val="24"/>
              </w:rPr>
              <w:t>8.42%</w:t>
            </w:r>
          </w:p>
        </w:tc>
        <w:tc>
          <w:tcPr>
            <w:vAlign w:val="center"/>
          </w:tcPr>
          <w:p>
            <w:pPr>
              <w:jc w:val="center"/>
            </w:pPr>
            <w:r>
              <w:rPr>
                <w:color w:val="000000"/>
                <w:sz w:val="24"/>
                <w:szCs w:val="24"/>
              </w:rPr>
              <w:t>0.65%</w:t>
            </w:r>
          </w:p>
        </w:tc>
        <w:tc>
          <w:tcPr>
            <w:vAlign w:val="center"/>
          </w:tcPr>
          <w:p>
            <w:pPr>
              <w:jc w:val="center"/>
            </w:pPr>
            <w:r>
              <w:rPr>
                <w:color w:val="000000"/>
                <w:sz w:val="24"/>
                <w:szCs w:val="24"/>
              </w:rPr>
              <w:t>2.12%</w:t>
            </w:r>
          </w:p>
        </w:tc>
        <w:tc>
          <w:tcPr>
            <w:vAlign w:val="center"/>
          </w:tcPr>
          <w:p>
            <w:pPr>
              <w:jc w:val="center"/>
            </w:pPr>
            <w:r>
              <w:rPr>
                <w:color w:val="000000"/>
                <w:sz w:val="24"/>
                <w:szCs w:val="24"/>
              </w:rPr>
              <w:t>-0.25%</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7.62%</w:t>
            </w:r>
          </w:p>
        </w:tc>
        <w:tc>
          <w:tcPr>
            <w:vAlign w:val="center"/>
          </w:tcPr>
          <w:p>
            <w:pPr>
              <w:jc w:val="center"/>
            </w:pPr>
            <w:r>
              <w:rPr>
                <w:color w:val="000000"/>
                <w:sz w:val="24"/>
                <w:szCs w:val="24"/>
              </w:rPr>
              <w:t>0.42%</w:t>
            </w:r>
          </w:p>
        </w:tc>
        <w:tc>
          <w:tcPr>
            <w:vAlign w:val="center"/>
          </w:tcPr>
          <w:p>
            <w:pPr>
              <w:jc w:val="center"/>
            </w:pPr>
            <w:r>
              <w:rPr>
                <w:color w:val="000000"/>
                <w:sz w:val="24"/>
                <w:szCs w:val="24"/>
              </w:rPr>
              <w:t>1.39%</w:t>
            </w:r>
          </w:p>
        </w:tc>
        <w:tc>
          <w:tcPr>
            <w:vAlign w:val="center"/>
          </w:tcPr>
          <w:p>
            <w:pPr>
              <w:jc w:val="center"/>
            </w:pPr>
            <w:r>
              <w:rPr>
                <w:color w:val="000000"/>
                <w:sz w:val="24"/>
                <w:szCs w:val="24"/>
              </w:rPr>
              <w:t>0.99%</w:t>
            </w:r>
          </w:p>
        </w:tc>
        <w:tc>
          <w:tcPr>
            <w:vAlign w:val="center"/>
          </w:tcPr>
          <w:p>
            <w:pPr>
              <w:jc w:val="center"/>
            </w:pPr>
            <w:r>
              <w:rPr>
                <w:color w:val="000000"/>
                <w:sz w:val="24"/>
                <w:szCs w:val="24"/>
              </w:rPr>
              <w:t>6.23%</w:t>
            </w:r>
          </w:p>
        </w:tc>
        <w:tc>
          <w:tcPr>
            <w:vAlign w:val="center"/>
          </w:tcPr>
          <w:p>
            <w:pPr>
              <w:jc w:val="center"/>
            </w:pPr>
            <w:r>
              <w:rPr>
                <w:color w:val="000000"/>
                <w:sz w:val="24"/>
                <w:szCs w:val="24"/>
              </w:rPr>
              <w:t>-0.57%</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交银施罗德创新领航混合型证券投资基金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2020年2月27日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注：本基金基金合同生效日为2020年2月27日，基金合同生效日至报告期期末，本基金运作时间未满一年。本基金建仓期为自基金合同生效日起的6个月。截至2020年6月30日，本基金尚处于建仓期。</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交银成长30混合、交银经济新动力混合、交银创新领航混合的基金经理</w:t>
            </w:r>
          </w:p>
        </w:tc>
        <w:tc>
          <w:tcPr>
            <w:vAlign w:val="center"/>
          </w:tcPr>
          <w:p>
            <w:pPr>
              <w:jc w:val="center"/>
            </w:pPr>
            <w:r>
              <w:rPr>
                <w:color w:val="000000"/>
                <w:sz w:val="24"/>
                <w:szCs w:val="24"/>
              </w:rPr>
              <w:t>2020-02-27</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2020年的二季度足以载入史册，尽管海外疫情仍在继续，在史无前例的流动性刺激下，海外市场先抑后扬，国内市场也韧性十足。</w:t>
      </w:r>
    </w:p>
    <w:p>
      <w:pPr>
        <w:spacing w:before="29" w:line="288" w:lineRule="auto"/>
        <w:ind w:firstLine="480" w:firstLineChars="200"/>
        <w:rPr>
          <w:color w:val="000000"/>
          <w:sz w:val="24"/>
          <w:szCs w:val="24"/>
        </w:rPr>
      </w:pPr>
      <w:r>
        <w:rPr>
          <w:color w:val="000000"/>
          <w:sz w:val="24"/>
          <w:szCs w:val="24"/>
        </w:rPr>
        <w:t>报告期内，本基金重点配置了新能源汽车、创新硬件、半导体等领域的成长股以及部分低估值的地产建材蓝筹。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轻抗疫重刺激”的海外局势让外需与内需的天平正在发生微妙的变化。我们适度增加了对以外需导向为主的成长品种的配置并提升了总体仓位水平。在4G/5G代际之交、新能源革命已然启动以及数据经济/企业数字化转型加速到来的当下，我们认为科技成长仍将是未来市场的主线。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4,122,494,343.68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4,122,494,343.68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76.72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1,234,607,063.22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22.98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16,060,333.50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0.30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5,373,161,740.40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75,076,228.74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1.45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3,123,550,638.13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54,618,364.54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30,193,341.00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107,122,237.30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174,938,893.24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65,124,921.20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410,603,610.20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76,425,968.01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4,827,375.00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4,122,494,343.68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79.60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6,387,114</w:t>
            </w:r>
          </w:p>
        </w:tc>
        <w:tc>
          <w:tcPr>
            <w:vAlign w:val="center"/>
          </w:tcPr>
          <w:p>
            <w:pPr>
              <w:jc w:val="right"/>
            </w:pPr>
            <w:r>
              <w:rPr>
                <w:color w:val="000000"/>
                <w:sz w:val="24"/>
                <w:szCs w:val="24"/>
              </w:rPr>
              <w:t>464,662,543.50</w:t>
            </w:r>
          </w:p>
        </w:tc>
        <w:tc>
          <w:tcPr>
            <w:vAlign w:val="center"/>
          </w:tcPr>
          <w:p>
            <w:pPr>
              <w:jc w:val="right"/>
            </w:pPr>
            <w:r>
              <w:rPr>
                <w:color w:val="000000"/>
                <w:sz w:val="24"/>
                <w:szCs w:val="24"/>
              </w:rPr>
              <w:t>8.97</w:t>
            </w:r>
          </w:p>
        </w:tc>
      </w:tr>
      <w:tr>
        <w:tc>
          <w:tcPr>
            <w:vAlign w:val="center"/>
          </w:tcPr>
          <w:p>
            <w:pPr>
              <w:jc w:val="center"/>
            </w:pPr>
            <w:r>
              <w:rPr>
                <w:color w:val="000000"/>
                <w:sz w:val="24"/>
                <w:szCs w:val="24"/>
              </w:rPr>
              <w:t>2</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8,610,426</w:t>
            </w:r>
          </w:p>
        </w:tc>
        <w:tc>
          <w:tcPr>
            <w:vAlign w:val="center"/>
          </w:tcPr>
          <w:p>
            <w:pPr>
              <w:jc w:val="right"/>
            </w:pPr>
            <w:r>
              <w:rPr>
                <w:color w:val="000000"/>
                <w:sz w:val="24"/>
                <w:szCs w:val="24"/>
              </w:rPr>
              <w:t>412,008,884.10</w:t>
            </w:r>
          </w:p>
        </w:tc>
        <w:tc>
          <w:tcPr>
            <w:vAlign w:val="center"/>
          </w:tcPr>
          <w:p>
            <w:pPr>
              <w:jc w:val="right"/>
            </w:pPr>
            <w:r>
              <w:rPr>
                <w:color w:val="000000"/>
                <w:sz w:val="24"/>
                <w:szCs w:val="24"/>
              </w:rPr>
              <w:t>7.96</w:t>
            </w:r>
          </w:p>
        </w:tc>
      </w:tr>
      <w:tr>
        <w:tc>
          <w:tcPr>
            <w:vAlign w:val="center"/>
          </w:tcPr>
          <w:p>
            <w:pPr>
              <w:jc w:val="center"/>
            </w:pPr>
            <w:r>
              <w:rPr>
                <w:color w:val="000000"/>
                <w:sz w:val="24"/>
                <w:szCs w:val="24"/>
              </w:rPr>
              <w:t>3</w:t>
            </w:r>
          </w:p>
        </w:tc>
        <w:tc>
          <w:tcPr>
            <w:vAlign w:val="center"/>
          </w:tcPr>
          <w:p>
            <w:pPr>
              <w:jc w:val="center"/>
            </w:pPr>
            <w:r>
              <w:rPr>
                <w:color w:val="000000"/>
                <w:sz w:val="24"/>
                <w:szCs w:val="24"/>
              </w:rPr>
              <w:t>002271</w:t>
            </w:r>
          </w:p>
        </w:tc>
        <w:tc>
          <w:tcPr>
            <w:vAlign w:val="center"/>
          </w:tcPr>
          <w:p>
            <w:pPr>
              <w:jc w:val="center"/>
            </w:pPr>
            <w:r>
              <w:rPr>
                <w:color w:val="000000"/>
                <w:sz w:val="24"/>
                <w:szCs w:val="24"/>
              </w:rPr>
              <w:t>东方雨虹</w:t>
            </w:r>
          </w:p>
        </w:tc>
        <w:tc>
          <w:tcPr>
            <w:vAlign w:val="center"/>
          </w:tcPr>
          <w:p>
            <w:pPr>
              <w:jc w:val="right"/>
            </w:pPr>
            <w:r>
              <w:rPr>
                <w:color w:val="000000"/>
                <w:sz w:val="24"/>
                <w:szCs w:val="24"/>
              </w:rPr>
              <w:t>5,766,613</w:t>
            </w:r>
          </w:p>
        </w:tc>
        <w:tc>
          <w:tcPr>
            <w:vAlign w:val="center"/>
          </w:tcPr>
          <w:p>
            <w:pPr>
              <w:jc w:val="right"/>
            </w:pPr>
            <w:r>
              <w:rPr>
                <w:color w:val="000000"/>
                <w:sz w:val="24"/>
                <w:szCs w:val="24"/>
              </w:rPr>
              <w:t>234,297,486.19</w:t>
            </w:r>
          </w:p>
        </w:tc>
        <w:tc>
          <w:tcPr>
            <w:vAlign w:val="center"/>
          </w:tcPr>
          <w:p>
            <w:pPr>
              <w:jc w:val="right"/>
            </w:pPr>
            <w:r>
              <w:rPr>
                <w:color w:val="000000"/>
                <w:sz w:val="24"/>
                <w:szCs w:val="24"/>
              </w:rPr>
              <w:t>4.52</w:t>
            </w:r>
          </w:p>
        </w:tc>
      </w:tr>
      <w:tr>
        <w:tc>
          <w:tcPr>
            <w:vAlign w:val="center"/>
          </w:tcPr>
          <w:p>
            <w:pPr>
              <w:jc w:val="center"/>
            </w:pPr>
            <w:r>
              <w:rPr>
                <w:color w:val="000000"/>
                <w:sz w:val="24"/>
                <w:szCs w:val="24"/>
              </w:rPr>
              <w:t>4</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7,625,487</w:t>
            </w:r>
          </w:p>
        </w:tc>
        <w:tc>
          <w:tcPr>
            <w:vAlign w:val="center"/>
          </w:tcPr>
          <w:p>
            <w:pPr>
              <w:jc w:val="right"/>
            </w:pPr>
            <w:r>
              <w:rPr>
                <w:color w:val="000000"/>
                <w:sz w:val="24"/>
                <w:szCs w:val="24"/>
              </w:rPr>
              <w:t>199,330,230.18</w:t>
            </w:r>
          </w:p>
        </w:tc>
        <w:tc>
          <w:tcPr>
            <w:vAlign w:val="center"/>
          </w:tcPr>
          <w:p>
            <w:pPr>
              <w:jc w:val="right"/>
            </w:pPr>
            <w:r>
              <w:rPr>
                <w:color w:val="000000"/>
                <w:sz w:val="24"/>
                <w:szCs w:val="24"/>
              </w:rPr>
              <w:t>3.85</w:t>
            </w:r>
          </w:p>
        </w:tc>
      </w:tr>
      <w:tr>
        <w:tc>
          <w:tcPr>
            <w:vAlign w:val="center"/>
          </w:tcPr>
          <w:p>
            <w:pPr>
              <w:jc w:val="center"/>
            </w:pPr>
            <w:r>
              <w:rPr>
                <w:color w:val="000000"/>
                <w:sz w:val="24"/>
                <w:szCs w:val="24"/>
              </w:rPr>
              <w:t>5</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6,998,700</w:t>
            </w:r>
          </w:p>
        </w:tc>
        <w:tc>
          <w:tcPr>
            <w:vAlign w:val="center"/>
          </w:tcPr>
          <w:p>
            <w:pPr>
              <w:jc w:val="right"/>
            </w:pPr>
            <w:r>
              <w:rPr>
                <w:color w:val="000000"/>
                <w:sz w:val="24"/>
                <w:szCs w:val="24"/>
              </w:rPr>
              <w:t>132,275,430.00</w:t>
            </w:r>
          </w:p>
        </w:tc>
        <w:tc>
          <w:tcPr>
            <w:vAlign w:val="center"/>
          </w:tcPr>
          <w:p>
            <w:pPr>
              <w:jc w:val="right"/>
            </w:pPr>
            <w:r>
              <w:rPr>
                <w:color w:val="000000"/>
                <w:sz w:val="24"/>
                <w:szCs w:val="24"/>
              </w:rPr>
              <w:t>2.55</w:t>
            </w:r>
          </w:p>
        </w:tc>
      </w:tr>
      <w:tr>
        <w:tc>
          <w:tcPr>
            <w:vAlign w:val="center"/>
          </w:tcPr>
          <w:p>
            <w:pPr>
              <w:jc w:val="center"/>
            </w:pPr>
            <w:r>
              <w:rPr>
                <w:color w:val="000000"/>
                <w:sz w:val="24"/>
                <w:szCs w:val="24"/>
              </w:rPr>
              <w:t>6</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9,500,337</w:t>
            </w:r>
          </w:p>
        </w:tc>
        <w:tc>
          <w:tcPr>
            <w:vAlign w:val="center"/>
          </w:tcPr>
          <w:p>
            <w:pPr>
              <w:jc w:val="right"/>
            </w:pPr>
            <w:r>
              <w:rPr>
                <w:color w:val="000000"/>
                <w:sz w:val="24"/>
                <w:szCs w:val="24"/>
              </w:rPr>
              <w:t>130,154,616.90</w:t>
            </w:r>
          </w:p>
        </w:tc>
        <w:tc>
          <w:tcPr>
            <w:vAlign w:val="center"/>
          </w:tcPr>
          <w:p>
            <w:pPr>
              <w:jc w:val="right"/>
            </w:pPr>
            <w:r>
              <w:rPr>
                <w:color w:val="000000"/>
                <w:sz w:val="24"/>
                <w:szCs w:val="24"/>
              </w:rPr>
              <w:t>2.51</w:t>
            </w:r>
          </w:p>
        </w:tc>
      </w:tr>
      <w:tr>
        <w:tc>
          <w:tcPr>
            <w:vAlign w:val="center"/>
          </w:tcPr>
          <w:p>
            <w:pPr>
              <w:jc w:val="center"/>
            </w:pPr>
            <w:r>
              <w:rPr>
                <w:color w:val="000000"/>
                <w:sz w:val="24"/>
                <w:szCs w:val="24"/>
              </w:rPr>
              <w:t>7</w:t>
            </w:r>
          </w:p>
        </w:tc>
        <w:tc>
          <w:tcPr>
            <w:vAlign w:val="center"/>
          </w:tcPr>
          <w:p>
            <w:pPr>
              <w:jc w:val="center"/>
            </w:pPr>
            <w:r>
              <w:rPr>
                <w:color w:val="000000"/>
                <w:sz w:val="24"/>
                <w:szCs w:val="24"/>
              </w:rPr>
              <w:t>000725</w:t>
            </w:r>
          </w:p>
        </w:tc>
        <w:tc>
          <w:tcPr>
            <w:vAlign w:val="center"/>
          </w:tcPr>
          <w:p>
            <w:pPr>
              <w:jc w:val="center"/>
            </w:pPr>
            <w:r>
              <w:rPr>
                <w:color w:val="000000"/>
                <w:sz w:val="24"/>
                <w:szCs w:val="24"/>
              </w:rPr>
              <w:t>京东方A</w:t>
            </w:r>
          </w:p>
        </w:tc>
        <w:tc>
          <w:tcPr>
            <w:vAlign w:val="center"/>
          </w:tcPr>
          <w:p>
            <w:pPr>
              <w:jc w:val="right"/>
            </w:pPr>
            <w:r>
              <w:rPr>
                <w:color w:val="000000"/>
                <w:sz w:val="24"/>
                <w:szCs w:val="24"/>
              </w:rPr>
              <w:t>24,209,500</w:t>
            </w:r>
          </w:p>
        </w:tc>
        <w:tc>
          <w:tcPr>
            <w:vAlign w:val="center"/>
          </w:tcPr>
          <w:p>
            <w:pPr>
              <w:jc w:val="right"/>
            </w:pPr>
            <w:r>
              <w:rPr>
                <w:color w:val="000000"/>
                <w:sz w:val="24"/>
                <w:szCs w:val="24"/>
              </w:rPr>
              <w:t>113,058,365.00</w:t>
            </w:r>
          </w:p>
        </w:tc>
        <w:tc>
          <w:tcPr>
            <w:vAlign w:val="center"/>
          </w:tcPr>
          <w:p>
            <w:pPr>
              <w:jc w:val="right"/>
            </w:pPr>
            <w:r>
              <w:rPr>
                <w:color w:val="000000"/>
                <w:sz w:val="24"/>
                <w:szCs w:val="24"/>
              </w:rPr>
              <w:t>2.18</w:t>
            </w:r>
          </w:p>
        </w:tc>
      </w:tr>
      <w:tr>
        <w:tc>
          <w:tcPr>
            <w:vAlign w:val="center"/>
          </w:tcPr>
          <w:p>
            <w:pPr>
              <w:jc w:val="center"/>
            </w:pPr>
            <w:r>
              <w:rPr>
                <w:color w:val="000000"/>
                <w:sz w:val="24"/>
                <w:szCs w:val="24"/>
              </w:rPr>
              <w:t>8</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1,958,359</w:t>
            </w:r>
          </w:p>
        </w:tc>
        <w:tc>
          <w:tcPr>
            <w:vAlign w:val="center"/>
          </w:tcPr>
          <w:p>
            <w:pPr>
              <w:jc w:val="right"/>
            </w:pPr>
            <w:r>
              <w:rPr>
                <w:color w:val="000000"/>
                <w:sz w:val="24"/>
                <w:szCs w:val="24"/>
              </w:rPr>
              <w:t>107,122,237.30</w:t>
            </w:r>
          </w:p>
        </w:tc>
        <w:tc>
          <w:tcPr>
            <w:vAlign w:val="center"/>
          </w:tcPr>
          <w:p>
            <w:pPr>
              <w:jc w:val="right"/>
            </w:pPr>
            <w:r>
              <w:rPr>
                <w:color w:val="000000"/>
                <w:sz w:val="24"/>
                <w:szCs w:val="24"/>
              </w:rPr>
              <w:t>2.07</w:t>
            </w:r>
          </w:p>
        </w:tc>
      </w:tr>
      <w:tr>
        <w:tc>
          <w:tcPr>
            <w:vAlign w:val="center"/>
          </w:tcPr>
          <w:p>
            <w:pPr>
              <w:jc w:val="center"/>
            </w:pPr>
            <w:r>
              <w:rPr>
                <w:color w:val="000000"/>
                <w:sz w:val="24"/>
                <w:szCs w:val="24"/>
              </w:rPr>
              <w:t>9</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11,157,951</w:t>
            </w:r>
          </w:p>
        </w:tc>
        <w:tc>
          <w:tcPr>
            <w:vAlign w:val="center"/>
          </w:tcPr>
          <w:p>
            <w:pPr>
              <w:jc w:val="right"/>
            </w:pPr>
            <w:r>
              <w:rPr>
                <w:color w:val="000000"/>
                <w:sz w:val="24"/>
                <w:szCs w:val="24"/>
              </w:rPr>
              <w:t>103,099,467.24</w:t>
            </w:r>
          </w:p>
        </w:tc>
        <w:tc>
          <w:tcPr>
            <w:vAlign w:val="center"/>
          </w:tcPr>
          <w:p>
            <w:pPr>
              <w:jc w:val="right"/>
            </w:pPr>
            <w:r>
              <w:rPr>
                <w:color w:val="000000"/>
                <w:sz w:val="24"/>
                <w:szCs w:val="24"/>
              </w:rPr>
              <w:t>1.99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002384</w:t>
            </w:r>
          </w:p>
        </w:tc>
        <w:tc>
          <w:tcPr>
            <w:vAlign w:val="center"/>
          </w:tcPr>
          <w:p>
            <w:pPr>
              <w:jc w:val="center"/>
            </w:pPr>
            <w:r>
              <w:rPr>
                <w:color w:val="000000"/>
                <w:sz w:val="24"/>
                <w:szCs w:val="24"/>
              </w:rPr>
              <w:t>东山精密</w:t>
            </w:r>
          </w:p>
        </w:tc>
        <w:tc>
          <w:tcPr>
            <w:vAlign w:val="center"/>
          </w:tcPr>
          <w:p>
            <w:pPr>
              <w:jc w:val="right"/>
            </w:pPr>
            <w:r>
              <w:rPr>
                <w:color w:val="000000"/>
                <w:sz w:val="24"/>
                <w:szCs w:val="24"/>
              </w:rPr>
              <w:t>3,344,295</w:t>
            </w:r>
          </w:p>
        </w:tc>
        <w:tc>
          <w:tcPr>
            <w:vAlign w:val="center"/>
          </w:tcPr>
          <w:p>
            <w:pPr>
              <w:jc w:val="right"/>
            </w:pPr>
            <w:r>
              <w:rPr>
                <w:color w:val="000000"/>
                <w:sz w:val="24"/>
                <w:szCs w:val="24"/>
              </w:rPr>
              <w:t>100,161,635.25</w:t>
            </w:r>
          </w:p>
        </w:tc>
        <w:tc>
          <w:tcPr>
            <w:vAlign w:val="center"/>
          </w:tcPr>
          <w:p>
            <w:pPr>
              <w:jc w:val="right"/>
            </w:pPr>
            <w:r>
              <w:rPr>
                <w:color w:val="000000"/>
                <w:sz w:val="24"/>
                <w:szCs w:val="24"/>
              </w:rPr>
              <w:t>1.93</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642,662.08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381,564.13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155,185.47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14,880,921.82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16,060,333.50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4,947,499,112.58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441,513,041.75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577,001,986.20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4,812,010,168.13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1、中国证监会准予交银施罗德创新领航混合型证券投资基金募集注册的文件；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2、《交银施罗德创新领航混合型证券投资基金基金合同》；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3、《交银施罗德创新领航混合型证券投资基金招募说明书》；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4、《交银施罗德创新领航混合型证券投资基金托管协议》；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5、关于申请募集注册交银施罗德创新领航混合型证券投资基金的法律意见书；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8、报告期内交银施罗德创新领航混合型证券投资基金在指定报刊上各项公告的原稿。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交银施罗德创新领航混合型证券投资基金2020年第2季度报告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