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
      </w:r>
      <w:proofErr w:type="spellStart"/>
      <w:proofErr w:type="gramStart"/>
      <w:r w:rsidRPr="001E1B20">
        <w:rPr>
          <w:b/>
          <w:sz w:val="36"/>
          <w:szCs w:val="36"/>
        </w:rPr>
        <w:t/>
      </w:r>
      <w:proofErr w:type="spellEnd"/>
      <w:proofErr w:type="gramEnd"/>
      <w:r w:rsidRPr="001E1B20">
        <w:rPr>
          <w:b/>
          <w:sz w:val="36"/>
          <w:szCs w:val="36"/>
        </w:rPr>
        <w:t>交银施罗德天益宝货币市场基金</w:t>
      </w: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2020年第2季度报告</w:t>
      </w:r>
    </w:p>
    <w:p w:rsidP="00281564" w:rsidR="002B45A4" w:rsidRDefault="00D87D00" w:rsidRPr="001E1B20">
      <w:pPr>
        <w:spacing w:before="29" w:line="288" w:lineRule="auto"/>
        <w:jc w:val="center"/>
        <w:rPr>
          <w:b/>
          <w:sz w:val="36"/>
          <w:szCs w:val="36"/>
        </w:rPr>
      </w:pPr>
      <w:r w:rsidRPr="001E1B20">
        <w:rPr>
          <w:b/>
          <w:sz w:val="36"/>
          <w:szCs w:val="36"/>
        </w:rPr>
        <w:t/>
      </w:r>
      <w:proofErr w:type="spellStart"/>
      <w:proofErr w:type="gramStart"/>
      <w:r w:rsidRPr="001E1B20">
        <w:rPr>
          <w:b/>
          <w:sz w:val="36"/>
          <w:szCs w:val="36"/>
        </w:rPr>
        <w:t/>
      </w:r>
      <w:proofErr w:type="spellEnd"/>
      <w:proofErr w:type="gramEnd"/>
      <w:r w:rsidRPr="001E1B20">
        <w:rPr>
          <w:b/>
          <w:sz w:val="36"/>
          <w:szCs w:val="36"/>
        </w:rPr>
        <w:t>2020年6月30日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
      </w:r>
      <w:proofErr w:type="spellStart"/>
      <w:proofErr w:type="gramStart"/>
      <w:r w:rsidRPr="001E1B20">
        <w:rPr>
          <w:b/>
          <w:color w:val="000000"/>
          <w:sz w:val="24"/>
        </w:rPr>
        <w:t/>
      </w:r>
      <w:proofErr w:type="spellEnd"/>
      <w:proofErr w:type="gramEnd"/>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
      </w:r>
      <w:proofErr w:type="spellStart"/>
      <w:proofErr w:type="gramStart"/>
      <w:r w:rsidRPr="001E1B20">
        <w:rPr>
          <w:b/>
          <w:color w:val="000000"/>
          <w:sz w:val="24"/>
        </w:rPr>
        <w:t/>
      </w:r>
      <w:proofErr w:type="spellEnd"/>
      <w:proofErr w:type="gramEnd"/>
      <w:r w:rsidRPr="001E1B20">
        <w:rPr>
          <w:b/>
          <w:color w:val="000000"/>
          <w:sz w:val="24"/>
        </w:rPr>
        <w:t>中国工商银行股份有限公司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proofErr w:type="spellStart"/>
      <w:proofErr w:type="gramStart"/>
      <w:r w:rsidR="00EF56FA" w:rsidRPr="001E1B20">
        <w:rPr>
          <w:b/>
          <w:color w:val="000000"/>
          <w:sz w:val="24"/>
        </w:rPr>
        <w:t/>
      </w:r>
      <w:r w:rsidR="00D87D00" w:rsidRPr="001E1B20">
        <w:rPr>
          <w:b/>
          <w:color w:val="000000"/>
          <w:sz w:val="24"/>
        </w:rPr>
        <w:t/>
      </w:r>
      <w:proofErr w:type="spellEnd"/>
      <w:proofErr w:type="gramEnd"/>
      <w:r w:rsidR="00EF56FA" w:rsidRPr="001E1B20">
        <w:rPr>
          <w:b/>
          <w:color w:val="000000"/>
          <w:sz w:val="24"/>
        </w:rPr>
        <w:t>二〇二〇年七月二十一日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基金托管人中国工商银行股份有限公司根据本基金合同规定，于2020年7月20日复核了本报告中的财务指标、净值表现和投资组合报告等内容，保证复核内容不存在虚假记载、误导性陈述或者重大遗漏。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本报告期自2020年4月1日起至6月30日止。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交银天益宝货币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003968</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2016年12月20日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7,431,270,654.85</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中国工商银行股份有限公司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sz w:val="24"/>
              </w:rPr>
              <w:t/>
            </w:r>
            <w:proofErr w:type="spellEnd"/>
            <w:r w:rsidRPr="000E4C40">
              <w:rPr>
                <w:sz w:val="24"/>
              </w:rPr>
              <w:t/>
            </w:r>
            <w:r w:rsidR="007B082A" w:rsidRPr="000E4C40">
              <w:rPr>
                <w:sz w:val="24"/>
              </w:rPr>
              <w:t/>
            </w:r>
            <w:r w:rsidRPr="000E4C40">
              <w:rPr>
                <w:sz w:val="24"/>
              </w:rPr>
              <w:t>交银天益宝货币A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交银天益宝货币E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sz w:val="24"/>
              </w:rPr>
              <w:t/>
            </w:r>
            <w:proofErr w:type="spellEnd"/>
            <w:r w:rsidRPr="000E4C40">
              <w:rPr>
                <w:sz w:val="24"/>
              </w:rPr>
              <w:t/>
            </w:r>
            <w:r w:rsidR="007B082A" w:rsidRPr="000E4C40">
              <w:rPr>
                <w:sz w:val="24"/>
              </w:rPr>
              <w:t/>
            </w:r>
            <w:r w:rsidRPr="000E4C40">
              <w:rPr>
                <w:sz w:val="24"/>
              </w:rPr>
              <w:t>003968</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003969</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proofErr w:type="spellStart"/>
            <w:r w:rsidR="004702DF" w:rsidRPr="000E4C40">
              <w:rPr>
                <w:color w:val="000000"/>
                <w:kern w:val="0"/>
                <w:sz w:val="24"/>
              </w:rPr>
              <w:t/>
            </w:r>
            <w:proofErr w:type="spellEnd"/>
            <w:r w:rsidRPr="000E4C40">
              <w:rPr>
                <w:sz w:val="24"/>
              </w:rPr>
              <w:t/>
            </w:r>
            <w:r w:rsidR="007B082A" w:rsidRPr="000E4C40">
              <w:rPr>
                <w:sz w:val="24"/>
              </w:rPr>
              <w:t/>
            </w:r>
            <w:r w:rsidRPr="000E4C40">
              <w:rPr>
                <w:sz w:val="24"/>
              </w:rPr>
              <w:t>3,360,114.65</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7,427,910,540.20</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w:t>
            </w:r>
            <w:proofErr w:type="spellStart"/>
            <w:r w:rsidRPr="000E4C40">
              <w:rPr>
                <w:color w:val="000000"/>
                <w:sz w:val="24"/>
              </w:rPr>
              <w:t/>
            </w:r>
            <w:proofErr w:type="spellEnd"/>
            <w:r w:rsidRPr="000E4C40">
              <w:rPr>
                <w:color w:val="000000"/>
                <w:sz w:val="24"/>
              </w:rPr>
              <w:t>2020年4月1日-</w:t>
            </w:r>
            <w:proofErr w:type="spellStart"/>
            <w:r w:rsidRPr="000E4C40">
              <w:rPr>
                <w:color w:val="000000"/>
                <w:sz w:val="24"/>
              </w:rPr>
              <w:t/>
            </w:r>
            <w:proofErr w:type="spellEnd"/>
            <w:r w:rsidRPr="000E4C40">
              <w:rPr>
                <w:color w:val="000000"/>
                <w:sz w:val="24"/>
              </w:rPr>
              <w:t>2020年6月30日)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proofErr w:type="spellStart"/>
            <w:r w:rsidRPr="000E4C40">
              <w:rPr>
                <w:sz w:val="24"/>
              </w:rPr>
              <w:t/>
            </w:r>
            <w:proofErr w:type="spellEnd"/>
            <w:r w:rsidRPr="000E4C40">
              <w:rPr>
                <w:sz w:val="24"/>
              </w:rPr>
              <w:t>交银天益宝货币A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交银天益宝货币E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14,032.17</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43,180,539.77</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14,032.17</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43,180,539.77</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3,360,114.65</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7,427,910,540.20</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w:t>
      </w:r>
      <w:proofErr w:type="gramStart"/>
      <w:r w:rsidRPr="000E4C40">
        <w:rPr>
          <w:rFonts w:hAnsi="宋体"/>
          <w:b/>
          <w:color w:val="000000"/>
          <w:kern w:val="0"/>
          <w:sz w:val="24"/>
        </w:rPr>
        <w:t>期基金</w:t>
      </w:r>
      <w:proofErr w:type="gramEnd"/>
      <w:r w:rsidRPr="000E4C40">
        <w:rPr>
          <w:rFonts w:hAnsi="宋体"/>
          <w:b/>
          <w:color w:val="000000"/>
          <w:kern w:val="0"/>
          <w:sz w:val="24"/>
        </w:rPr>
        <w:t>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proofErr w:type="spellStart"/>
      <w:r w:rsidR="0024424F" w:rsidRPr="000E4C40">
        <w:rPr>
          <w:rFonts w:ascii="Times New Roman" w:hAnsi="Times New Roman"/>
          <w:b/>
          <w:color w:val="000000"/>
        </w:rPr>
        <w:t/>
      </w:r>
      <w:r w:rsidR="0024424F" w:rsidRPr="000E4C40">
        <w:rPr>
          <w:rFonts w:ascii="Times New Roman" w:hAnsi="Times New Roman"/>
          <w:b/>
          <w:color w:val="auto"/>
        </w:rPr>
        <w:t/>
      </w:r>
      <w:proofErr w:type="spellEnd"/>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交银天益宝货币A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roofErr w:type="spellStart"/>
            <w:r w:rsidR="00636B17" w:rsidRPr="000E4C40">
              <w:rPr>
                <w:rFonts w:ascii="Times New Roman" w:hAnsi="Times New Roman"/>
                <w:color w:val="000000"/>
                <w:szCs w:val="24"/>
              </w:rPr>
              <w:t/>
            </w:r>
            <w:proofErr w:type="spellEnd"/>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0.4148%</w:t>
            </w:r>
          </w:p>
        </w:tc>
        <w:tc>
          <w:tcPr>
            <w:vAlign w:val="center"/>
          </w:tcPr>
          <w:p>
            <w:pPr>
              <w:jc w:val="center"/>
            </w:pPr>
            <w:r>
              <w:rPr>
                <w:rFonts w:ascii="Times New Roman" w:hAnsi="Times New Roman"/>
                <w:color w:val="000000"/>
              </w:rPr>
              <w:t>0.0013%</w:t>
            </w:r>
          </w:p>
        </w:tc>
        <w:tc>
          <w:tcPr>
            <w:vAlign w:val="center"/>
          </w:tcPr>
          <w:p>
            <w:pPr>
              <w:jc w:val="center"/>
            </w:pPr>
            <w:r>
              <w:rPr>
                <w:rFonts w:ascii="Times New Roman" w:hAnsi="Times New Roman"/>
                <w:color w:val="000000"/>
              </w:rPr>
              <w:t>0.0873%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0.3275%</w:t>
            </w:r>
          </w:p>
        </w:tc>
        <w:tc>
          <w:tcPr>
            <w:vAlign w:val="center"/>
          </w:tcPr>
          <w:p>
            <w:pPr>
              <w:jc w:val="center"/>
            </w:pPr>
            <w:r>
              <w:rPr>
                <w:rFonts w:ascii="Times New Roman" w:hAnsi="Times New Roman"/>
                <w:color w:val="000000"/>
              </w:rPr>
              <w:t>0.0013%</w:t>
            </w:r>
          </w:p>
        </w:tc>
      </w:tr>
      <w:tr>
        <w:tc>
          <w:tcPr>
            <w:vAlign w:val="center"/>
          </w:tcPr>
          <w:p>
            <w:pPr>
              <w:jc w:val="left"/>
            </w:pPr>
            <w:r>
              <w:rPr>
                <w:rFonts w:ascii="Times New Roman" w:hAnsi="Times New Roman"/>
                <w:color w:val="000000"/>
              </w:rPr>
              <w:t>过去六个月</w:t>
            </w:r>
          </w:p>
        </w:tc>
        <w:tc>
          <w:tcPr>
            <w:vAlign w:val="center"/>
          </w:tcPr>
          <w:p>
            <w:pPr>
              <w:jc w:val="center"/>
            </w:pPr>
            <w:r>
              <w:rPr>
                <w:rFonts w:ascii="Times New Roman" w:hAnsi="Times New Roman"/>
                <w:color w:val="000000"/>
              </w:rPr>
              <w:t>1.0218%</w:t>
            </w:r>
          </w:p>
        </w:tc>
        <w:tc>
          <w:tcPr>
            <w:vAlign w:val="center"/>
          </w:tcPr>
          <w:p>
            <w:pPr>
              <w:jc w:val="center"/>
            </w:pPr>
            <w:r>
              <w:rPr>
                <w:rFonts w:ascii="Times New Roman" w:hAnsi="Times New Roman"/>
                <w:color w:val="000000"/>
              </w:rPr>
              <w:t>0.0016%</w:t>
            </w:r>
          </w:p>
        </w:tc>
        <w:tc>
          <w:tcPr>
            <w:vAlign w:val="center"/>
          </w:tcPr>
          <w:p>
            <w:pPr>
              <w:jc w:val="center"/>
            </w:pPr>
            <w:r>
              <w:rPr>
                <w:rFonts w:ascii="Times New Roman" w:hAnsi="Times New Roman"/>
                <w:color w:val="000000"/>
              </w:rPr>
              <w:t>0.1745%</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0.8473%</w:t>
            </w:r>
          </w:p>
        </w:tc>
        <w:tc>
          <w:tcPr>
            <w:vAlign w:val="center"/>
          </w:tcPr>
          <w:p>
            <w:pPr>
              <w:jc w:val="center"/>
            </w:pPr>
            <w:r>
              <w:rPr>
                <w:rFonts w:ascii="Times New Roman" w:hAnsi="Times New Roman"/>
                <w:color w:val="000000"/>
              </w:rPr>
              <w:t>0.0016%</w:t>
            </w:r>
          </w:p>
        </w:tc>
      </w:tr>
      <w:tr>
        <w:tc>
          <w:tcPr>
            <w:vAlign w:val="center"/>
          </w:tcPr>
          <w:p>
            <w:pPr>
              <w:jc w:val="left"/>
            </w:pPr>
            <w:r>
              <w:rPr>
                <w:rFonts w:ascii="Times New Roman" w:hAnsi="Times New Roman"/>
                <w:color w:val="000000"/>
              </w:rPr>
              <w:t>过去一年</w:t>
            </w:r>
          </w:p>
        </w:tc>
        <w:tc>
          <w:tcPr>
            <w:vAlign w:val="center"/>
          </w:tcPr>
          <w:p>
            <w:pPr>
              <w:jc w:val="center"/>
            </w:pPr>
            <w:r>
              <w:rPr>
                <w:rFonts w:ascii="Times New Roman" w:hAnsi="Times New Roman"/>
                <w:color w:val="000000"/>
              </w:rPr>
              <w:t>2.2988%</w:t>
            </w:r>
          </w:p>
        </w:tc>
        <w:tc>
          <w:tcPr>
            <w:vAlign w:val="center"/>
          </w:tcPr>
          <w:p>
            <w:pPr>
              <w:jc w:val="center"/>
            </w:pPr>
            <w:r>
              <w:rPr>
                <w:rFonts w:ascii="Times New Roman" w:hAnsi="Times New Roman"/>
                <w:color w:val="000000"/>
              </w:rPr>
              <w:t>0.0015%</w:t>
            </w:r>
          </w:p>
        </w:tc>
        <w:tc>
          <w:tcPr>
            <w:vAlign w:val="center"/>
          </w:tcPr>
          <w:p>
            <w:pPr>
              <w:jc w:val="center"/>
            </w:pPr>
            <w:r>
              <w:rPr>
                <w:rFonts w:ascii="Times New Roman" w:hAnsi="Times New Roman"/>
                <w:color w:val="000000"/>
              </w:rPr>
              <w:t>0.3510%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1.9478%</w:t>
            </w:r>
          </w:p>
        </w:tc>
        <w:tc>
          <w:tcPr>
            <w:vAlign w:val="center"/>
          </w:tcPr>
          <w:p>
            <w:pPr>
              <w:jc w:val="center"/>
            </w:pPr>
            <w:r>
              <w:rPr>
                <w:rFonts w:ascii="Times New Roman" w:hAnsi="Times New Roman"/>
                <w:color w:val="000000"/>
              </w:rPr>
              <w:t>0.0015%</w:t>
            </w:r>
          </w:p>
        </w:tc>
      </w:tr>
      <w:tr>
        <w:tc>
          <w:tcPr>
            <w:vAlign w:val="center"/>
          </w:tcPr>
          <w:p>
            <w:pPr>
              <w:jc w:val="left"/>
            </w:pPr>
            <w:r>
              <w:rPr>
                <w:rFonts w:ascii="Times New Roman" w:hAnsi="Times New Roman"/>
                <w:color w:val="000000"/>
              </w:rPr>
              <w:t>过去三年</w:t>
            </w:r>
          </w:p>
        </w:tc>
        <w:tc>
          <w:tcPr>
            <w:vAlign w:val="center"/>
          </w:tcPr>
          <w:p>
            <w:pPr>
              <w:jc w:val="center"/>
            </w:pPr>
            <w:r>
              <w:rPr>
                <w:rFonts w:ascii="Times New Roman" w:hAnsi="Times New Roman"/>
                <w:color w:val="000000"/>
              </w:rPr>
              <w:t>9.3035%</w:t>
            </w:r>
          </w:p>
        </w:tc>
        <w:tc>
          <w:tcPr>
            <w:vAlign w:val="center"/>
          </w:tcPr>
          <w:p>
            <w:pPr>
              <w:jc w:val="center"/>
            </w:pPr>
            <w:r>
              <w:rPr>
                <w:rFonts w:ascii="Times New Roman" w:hAnsi="Times New Roman"/>
                <w:color w:val="000000"/>
              </w:rPr>
              <w:t>0.0025%</w:t>
            </w:r>
          </w:p>
        </w:tc>
        <w:tc>
          <w:tcPr>
            <w:vAlign w:val="center"/>
          </w:tcPr>
          <w:p>
            <w:pPr>
              <w:jc w:val="center"/>
            </w:pPr>
            <w:r>
              <w:rPr>
                <w:rFonts w:ascii="Times New Roman" w:hAnsi="Times New Roman"/>
                <w:color w:val="000000"/>
              </w:rPr>
              <w:t>1.0510%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8.2525%</w:t>
            </w:r>
          </w:p>
        </w:tc>
        <w:tc>
          <w:tcPr>
            <w:vAlign w:val="center"/>
          </w:tcPr>
          <w:p>
            <w:pPr>
              <w:jc w:val="center"/>
            </w:pPr>
            <w:r>
              <w:rPr>
                <w:rFonts w:ascii="Times New Roman" w:hAnsi="Times New Roman"/>
                <w:color w:val="000000"/>
              </w:rPr>
              <w:t>0.0025%</w:t>
            </w:r>
          </w:p>
        </w:tc>
      </w:tr>
      <w:tr>
        <w:tc>
          <w:tcPr>
            <w:vAlign w:val="center"/>
          </w:tcPr>
          <w:p>
            <w:pPr>
              <w:jc w:val="left"/>
            </w:pPr>
            <w:r>
              <w:rPr>
                <w:rFonts w:ascii="Times New Roman" w:hAnsi="Times New Roman"/>
                <w:color w:val="000000"/>
              </w:rPr>
              <w:t>自基金合同生效起至今</w:t>
            </w:r>
          </w:p>
        </w:tc>
        <w:tc>
          <w:tcPr>
            <w:vAlign w:val="center"/>
          </w:tcPr>
          <w:p>
            <w:pPr>
              <w:jc w:val="center"/>
            </w:pPr>
            <w:r>
              <w:rPr>
                <w:rFonts w:ascii="Times New Roman" w:hAnsi="Times New Roman"/>
                <w:color w:val="000000"/>
              </w:rPr>
              <w:t>11.5188%</w:t>
            </w:r>
          </w:p>
        </w:tc>
        <w:tc>
          <w:tcPr>
            <w:vAlign w:val="center"/>
          </w:tcPr>
          <w:p>
            <w:pPr>
              <w:jc w:val="center"/>
            </w:pPr>
            <w:r>
              <w:rPr>
                <w:rFonts w:ascii="Times New Roman" w:hAnsi="Times New Roman"/>
                <w:color w:val="000000"/>
              </w:rPr>
              <w:t>0.0026%</w:t>
            </w:r>
          </w:p>
        </w:tc>
        <w:tc>
          <w:tcPr>
            <w:vAlign w:val="center"/>
          </w:tcPr>
          <w:p>
            <w:pPr>
              <w:jc w:val="center"/>
            </w:pPr>
            <w:r>
              <w:rPr>
                <w:rFonts w:ascii="Times New Roman" w:hAnsi="Times New Roman"/>
                <w:color w:val="000000"/>
              </w:rPr>
              <w:t>1.2360%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10.2828%</w:t>
            </w:r>
          </w:p>
        </w:tc>
        <w:tc>
          <w:tcPr>
            <w:vAlign w:val="center"/>
          </w:tcPr>
          <w:p>
            <w:pPr>
              <w:jc w:val="center"/>
            </w:pPr>
            <w:r>
              <w:rPr>
                <w:rFonts w:ascii="Times New Roman" w:hAnsi="Times New Roman"/>
                <w:color w:val="000000"/>
              </w:rPr>
              <w:t>0.0026%</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r w:rsidR="00ED5511" w:rsidRPr="000E4C40">
        <w:rPr>
          <w:color w:val="000000"/>
          <w:sz w:val="24"/>
        </w:rPr>
        <w:t/>
      </w:r>
      <w:r w:rsidRPr="000E4C40">
        <w:rPr>
          <w:color w:val="000000"/>
          <w:sz w:val="24"/>
        </w:rPr>
        <w:t/>
      </w:r>
      <w:proofErr w:type="gramEnd"/>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交银天益宝货币E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roofErr w:type="spellStart"/>
            <w:r w:rsidRPr="000E4C40">
              <w:rPr>
                <w:rFonts w:ascii="Times New Roman" w:hAnsi="Times New Roman"/>
                <w:color w:val="000000"/>
                <w:szCs w:val="24"/>
              </w:rPr>
              <w:t/>
            </w:r>
            <w:proofErr w:type="spellEnd"/>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0.4748%</w:t>
            </w:r>
          </w:p>
        </w:tc>
        <w:tc>
          <w:tcPr>
            <w:vAlign w:val="center"/>
          </w:tcPr>
          <w:p>
            <w:pPr>
              <w:jc w:val="center"/>
            </w:pPr>
            <w:r>
              <w:rPr>
                <w:rFonts w:ascii="Times New Roman" w:hAnsi="Times New Roman"/>
                <w:color w:val="000000"/>
              </w:rPr>
              <w:t>0.0013%</w:t>
            </w:r>
          </w:p>
        </w:tc>
        <w:tc>
          <w:tcPr>
            <w:vAlign w:val="center"/>
          </w:tcPr>
          <w:p>
            <w:pPr>
              <w:jc w:val="center"/>
            </w:pPr>
            <w:r>
              <w:rPr>
                <w:rFonts w:ascii="Times New Roman" w:hAnsi="Times New Roman"/>
                <w:color w:val="000000"/>
              </w:rPr>
              <w:t>0.0873%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0.3875%</w:t>
            </w:r>
          </w:p>
        </w:tc>
        <w:tc>
          <w:tcPr>
            <w:vAlign w:val="center"/>
          </w:tcPr>
          <w:p>
            <w:pPr>
              <w:jc w:val="center"/>
            </w:pPr>
            <w:r>
              <w:rPr>
                <w:rFonts w:ascii="Times New Roman" w:hAnsi="Times New Roman"/>
                <w:color w:val="000000"/>
              </w:rPr>
              <w:t>0.0013%</w:t>
            </w:r>
          </w:p>
        </w:tc>
      </w:tr>
      <w:tr>
        <w:tc>
          <w:tcPr>
            <w:vAlign w:val="center"/>
          </w:tcPr>
          <w:p>
            <w:pPr>
              <w:jc w:val="left"/>
            </w:pPr>
            <w:r>
              <w:rPr>
                <w:rFonts w:ascii="Times New Roman" w:hAnsi="Times New Roman"/>
                <w:color w:val="000000"/>
              </w:rPr>
              <w:t>过去六个月</w:t>
            </w:r>
          </w:p>
        </w:tc>
        <w:tc>
          <w:tcPr>
            <w:vAlign w:val="center"/>
          </w:tcPr>
          <w:p>
            <w:pPr>
              <w:jc w:val="center"/>
            </w:pPr>
            <w:r>
              <w:rPr>
                <w:rFonts w:ascii="Times New Roman" w:hAnsi="Times New Roman"/>
                <w:color w:val="000000"/>
              </w:rPr>
              <w:t>1.1424%</w:t>
            </w:r>
          </w:p>
        </w:tc>
        <w:tc>
          <w:tcPr>
            <w:vAlign w:val="center"/>
          </w:tcPr>
          <w:p>
            <w:pPr>
              <w:jc w:val="center"/>
            </w:pPr>
            <w:r>
              <w:rPr>
                <w:rFonts w:ascii="Times New Roman" w:hAnsi="Times New Roman"/>
                <w:color w:val="000000"/>
              </w:rPr>
              <w:t>0.0016%</w:t>
            </w:r>
          </w:p>
        </w:tc>
        <w:tc>
          <w:tcPr>
            <w:vAlign w:val="center"/>
          </w:tcPr>
          <w:p>
            <w:pPr>
              <w:jc w:val="center"/>
            </w:pPr>
            <w:r>
              <w:rPr>
                <w:rFonts w:ascii="Times New Roman" w:hAnsi="Times New Roman"/>
                <w:color w:val="000000"/>
              </w:rPr>
              <w:t>0.1745%</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0.9679%</w:t>
            </w:r>
          </w:p>
        </w:tc>
        <w:tc>
          <w:tcPr>
            <w:vAlign w:val="center"/>
          </w:tcPr>
          <w:p>
            <w:pPr>
              <w:jc w:val="center"/>
            </w:pPr>
            <w:r>
              <w:rPr>
                <w:rFonts w:ascii="Times New Roman" w:hAnsi="Times New Roman"/>
                <w:color w:val="000000"/>
              </w:rPr>
              <w:t>0.0016%</w:t>
            </w:r>
          </w:p>
        </w:tc>
      </w:tr>
      <w:tr>
        <w:tc>
          <w:tcPr>
            <w:vAlign w:val="center"/>
          </w:tcPr>
          <w:p>
            <w:pPr>
              <w:jc w:val="left"/>
            </w:pPr>
            <w:r>
              <w:rPr>
                <w:rFonts w:ascii="Times New Roman" w:hAnsi="Times New Roman"/>
                <w:color w:val="000000"/>
              </w:rPr>
              <w:t>过去一年</w:t>
            </w:r>
          </w:p>
        </w:tc>
        <w:tc>
          <w:tcPr>
            <w:vAlign w:val="center"/>
          </w:tcPr>
          <w:p>
            <w:pPr>
              <w:jc w:val="center"/>
            </w:pPr>
            <w:r>
              <w:rPr>
                <w:rFonts w:ascii="Times New Roman" w:hAnsi="Times New Roman"/>
                <w:color w:val="000000"/>
              </w:rPr>
              <w:t>2.5499%</w:t>
            </w:r>
          </w:p>
        </w:tc>
        <w:tc>
          <w:tcPr>
            <w:vAlign w:val="center"/>
          </w:tcPr>
          <w:p>
            <w:pPr>
              <w:jc w:val="center"/>
            </w:pPr>
            <w:r>
              <w:rPr>
                <w:rFonts w:ascii="Times New Roman" w:hAnsi="Times New Roman"/>
                <w:color w:val="000000"/>
              </w:rPr>
              <w:t>0.0015%</w:t>
            </w:r>
          </w:p>
        </w:tc>
        <w:tc>
          <w:tcPr>
            <w:vAlign w:val="center"/>
          </w:tcPr>
          <w:p>
            <w:pPr>
              <w:jc w:val="center"/>
            </w:pPr>
            <w:r>
              <w:rPr>
                <w:rFonts w:ascii="Times New Roman" w:hAnsi="Times New Roman"/>
                <w:color w:val="000000"/>
              </w:rPr>
              <w:t>0.3510%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2.1989%</w:t>
            </w:r>
          </w:p>
        </w:tc>
        <w:tc>
          <w:tcPr>
            <w:vAlign w:val="center"/>
          </w:tcPr>
          <w:p>
            <w:pPr>
              <w:jc w:val="center"/>
            </w:pPr>
            <w:r>
              <w:rPr>
                <w:rFonts w:ascii="Times New Roman" w:hAnsi="Times New Roman"/>
                <w:color w:val="000000"/>
              </w:rPr>
              <w:t>0.0015%</w:t>
            </w:r>
          </w:p>
        </w:tc>
      </w:tr>
      <w:tr>
        <w:tc>
          <w:tcPr>
            <w:vAlign w:val="center"/>
          </w:tcPr>
          <w:p>
            <w:pPr>
              <w:jc w:val="left"/>
            </w:pPr>
            <w:r>
              <w:rPr>
                <w:rFonts w:ascii="Times New Roman" w:hAnsi="Times New Roman"/>
                <w:color w:val="000000"/>
              </w:rPr>
              <w:t>过去三年</w:t>
            </w:r>
          </w:p>
        </w:tc>
        <w:tc>
          <w:tcPr>
            <w:vAlign w:val="center"/>
          </w:tcPr>
          <w:p>
            <w:pPr>
              <w:jc w:val="center"/>
            </w:pPr>
            <w:r>
              <w:rPr>
                <w:rFonts w:ascii="Times New Roman" w:hAnsi="Times New Roman"/>
                <w:color w:val="000000"/>
              </w:rPr>
              <w:t>10.1007%</w:t>
            </w:r>
          </w:p>
        </w:tc>
        <w:tc>
          <w:tcPr>
            <w:vAlign w:val="center"/>
          </w:tcPr>
          <w:p>
            <w:pPr>
              <w:jc w:val="center"/>
            </w:pPr>
            <w:r>
              <w:rPr>
                <w:rFonts w:ascii="Times New Roman" w:hAnsi="Times New Roman"/>
                <w:color w:val="000000"/>
              </w:rPr>
              <w:t>0.0025%</w:t>
            </w:r>
          </w:p>
        </w:tc>
        <w:tc>
          <w:tcPr>
            <w:vAlign w:val="center"/>
          </w:tcPr>
          <w:p>
            <w:pPr>
              <w:jc w:val="center"/>
            </w:pPr>
            <w:r>
              <w:rPr>
                <w:rFonts w:ascii="Times New Roman" w:hAnsi="Times New Roman"/>
                <w:color w:val="000000"/>
              </w:rPr>
              <w:t>1.0510%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9.0497%</w:t>
            </w:r>
          </w:p>
        </w:tc>
        <w:tc>
          <w:tcPr>
            <w:vAlign w:val="center"/>
          </w:tcPr>
          <w:p>
            <w:pPr>
              <w:jc w:val="center"/>
            </w:pPr>
            <w:r>
              <w:rPr>
                <w:rFonts w:ascii="Times New Roman" w:hAnsi="Times New Roman"/>
                <w:color w:val="000000"/>
              </w:rPr>
              <w:t>0.0025%</w:t>
            </w:r>
          </w:p>
        </w:tc>
      </w:tr>
      <w:tr>
        <w:tc>
          <w:tcPr>
            <w:vAlign w:val="center"/>
          </w:tcPr>
          <w:p>
            <w:pPr>
              <w:jc w:val="left"/>
            </w:pPr>
            <w:r>
              <w:rPr>
                <w:rFonts w:ascii="Times New Roman" w:hAnsi="Times New Roman"/>
                <w:color w:val="000000"/>
              </w:rPr>
              <w:t>自基金合同生效起至今</w:t>
            </w:r>
          </w:p>
        </w:tc>
        <w:tc>
          <w:tcPr>
            <w:vAlign w:val="center"/>
          </w:tcPr>
          <w:p>
            <w:pPr>
              <w:jc w:val="center"/>
            </w:pPr>
            <w:r>
              <w:rPr>
                <w:rFonts w:ascii="Times New Roman" w:hAnsi="Times New Roman"/>
                <w:color w:val="000000"/>
              </w:rPr>
              <w:t>12.4705%</w:t>
            </w:r>
          </w:p>
        </w:tc>
        <w:tc>
          <w:tcPr>
            <w:vAlign w:val="center"/>
          </w:tcPr>
          <w:p>
            <w:pPr>
              <w:jc w:val="center"/>
            </w:pPr>
            <w:r>
              <w:rPr>
                <w:rFonts w:ascii="Times New Roman" w:hAnsi="Times New Roman"/>
                <w:color w:val="000000"/>
              </w:rPr>
              <w:t>0.0026%</w:t>
            </w:r>
          </w:p>
        </w:tc>
        <w:tc>
          <w:tcPr>
            <w:vAlign w:val="center"/>
          </w:tcPr>
          <w:p>
            <w:pPr>
              <w:jc w:val="center"/>
            </w:pPr>
            <w:r>
              <w:rPr>
                <w:rFonts w:ascii="Times New Roman" w:hAnsi="Times New Roman"/>
                <w:color w:val="000000"/>
              </w:rPr>
              <w:t>1.2360%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11.2345%</w:t>
            </w:r>
          </w:p>
        </w:tc>
        <w:tc>
          <w:tcPr>
            <w:vAlign w:val="center"/>
          </w:tcPr>
          <w:p>
            <w:pPr>
              <w:jc w:val="center"/>
            </w:pPr>
            <w:r>
              <w:rPr>
                <w:rFonts w:ascii="Times New Roman" w:hAnsi="Times New Roman"/>
                <w:color w:val="000000"/>
              </w:rPr>
              <w:t>0.0026%</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r w:rsidR="00327FB0" w:rsidRPr="000E4C40">
        <w:rPr>
          <w:color w:val="000000"/>
          <w:sz w:val="24"/>
        </w:rPr>
        <w:t/>
      </w:r>
      <w:r w:rsidR="000F78F3">
        <w:rPr>
          <w:rFonts w:hint="eastAsia"/>
          <w:color w:val="000000"/>
          <w:sz w:val="24"/>
        </w:rPr>
        <w:t/>
      </w:r>
      <w:proofErr w:type="gramEnd"/>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
      </w:r>
      <w:proofErr w:type="spellStart"/>
      <w:r w:rsidR="00A21753" w:rsidRPr="00D8505A">
        <w:rPr>
          <w:rFonts w:hint="eastAsia"/>
          <w:b/>
          <w:color w:val="000000"/>
          <w:kern w:val="0"/>
          <w:sz w:val="24"/>
        </w:rPr>
        <w:t/>
      </w:r>
      <w:proofErr w:type="spellEnd"/>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
      </w:r>
      <w:proofErr w:type="spellStart"/>
      <w:proofErr w:type="gramStart"/>
      <w:r w:rsidRPr="000E4C40">
        <w:rPr>
          <w:sz w:val="24"/>
        </w:rPr>
        <w:t/>
      </w:r>
      <w:proofErr w:type="spellEnd"/>
      <w:proofErr w:type="gramEnd"/>
      <w:r w:rsidRPr="000E4C40">
        <w:rPr>
          <w:sz w:val="24"/>
        </w:rPr>
        <w:t>交银施罗德天益宝货币市场基金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
      </w:r>
      <w:proofErr w:type="spellStart"/>
      <w:r w:rsidR="00D87D00" w:rsidRPr="000E4C40">
        <w:rPr>
          <w:color w:val="000000"/>
          <w:kern w:val="0"/>
          <w:sz w:val="24"/>
        </w:rPr>
        <w:t/>
      </w:r>
      <w:proofErr w:type="spellEnd"/>
      <w:r w:rsidR="00D87D00" w:rsidRPr="000E4C40">
        <w:rPr>
          <w:color w:val="000000"/>
          <w:kern w:val="0"/>
          <w:sz w:val="24"/>
        </w:rPr>
        <w:t>2016年12月20日</w:t>
      </w:r>
      <w:r w:rsidR="00A7219D" w:rsidRPr="000E4C40">
        <w:rPr>
          <w:rFonts w:hAnsi="宋体"/>
          <w:color w:val="000000"/>
          <w:kern w:val="0"/>
          <w:sz w:val="24"/>
        </w:rPr>
        <w:t>至</w:t>
      </w:r>
      <w:r w:rsidR="00A7219D" w:rsidRPr="000E4C40">
        <w:rPr>
          <w:color w:val="000000"/>
          <w:kern w:val="0"/>
          <w:sz w:val="24"/>
        </w:rPr>
        <w:t/>
      </w:r>
      <w:proofErr w:type="spellStart"/>
      <w:r w:rsidR="00A7219D" w:rsidRPr="000E4C40">
        <w:rPr>
          <w:color w:val="000000"/>
          <w:kern w:val="0"/>
          <w:sz w:val="24"/>
        </w:rPr>
        <w:t/>
      </w:r>
      <w:proofErr w:type="spellEnd"/>
      <w:r w:rsidR="00A7219D" w:rsidRPr="000E4C40">
        <w:rPr>
          <w:color w:val="000000"/>
          <w:kern w:val="0"/>
          <w:sz w:val="24"/>
        </w:rPr>
        <w:t>2020年6月30日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交银天益宝货币A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proofErr w:type="gramStart"/>
      <w:r w:rsidRPr="000E4C40">
        <w:rPr>
          <w:color w:val="000000"/>
          <w:sz w:val="24"/>
        </w:rPr>
        <w:t/>
      </w:r>
      <w:proofErr w:type="gramEnd"/>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交银天益宝货币E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proofErr w:type="gramStart"/>
      <w:r w:rsidRPr="000E4C40">
        <w:rPr>
          <w:color w:val="000000"/>
          <w:sz w:val="24"/>
        </w:rPr>
        <w:t/>
      </w:r>
      <w:r w:rsidR="000F78F3">
        <w:rPr>
          <w:color w:val="000000"/>
          <w:sz w:val="24"/>
        </w:rPr>
        <w:t/>
      </w:r>
      <w:r w:rsidR="000F78F3">
        <w:rPr>
          <w:rFonts w:hint="eastAsia"/>
          <w:color w:val="000000"/>
          <w:sz w:val="24"/>
        </w:rPr>
        <w:t/>
      </w:r>
      <w:proofErr w:type="gramEnd"/>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roofErr w:type="gramStart"/>
            <w:r w:rsidRPr="000E4C40">
              <w:rPr>
                <w:rFonts w:hAnsi="宋体"/>
                <w:color w:val="000000"/>
                <w:kern w:val="0"/>
                <w:sz w:val="24"/>
              </w:rPr>
              <w:t>任本基金</w:t>
            </w:r>
            <w:proofErr w:type="gramEnd"/>
            <w:r w:rsidRPr="000E4C40">
              <w:rPr>
                <w:rFonts w:hAnsi="宋体"/>
                <w:color w:val="000000"/>
                <w:kern w:val="0"/>
                <w:sz w:val="24"/>
              </w:rPr>
              <w:t>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交银理财21天债券、交银丰享收益债券、交银活期通货币、交银天利宝货币、交银裕隆纯债债券、交银天益宝货币、交银境尚收益债券、交银稳鑫短债债券、交银稳利中短债债券的基金经理</w:t>
            </w:r>
          </w:p>
        </w:tc>
        <w:tc>
          <w:tcPr>
            <w:vAlign w:val="center"/>
          </w:tcPr>
          <w:p>
            <w:pPr>
              <w:jc w:val="center"/>
            </w:pPr>
            <w:r>
              <w:rPr>
                <w:color w:val="000000"/>
                <w:sz w:val="24"/>
              </w:rPr>
              <w:t>2016-12-20</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w:t>
            </w:r>
          </w:p>
        </w:tc>
      </w:tr>
    </w:tbl>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proofErr w:type="gramEnd"/>
      <w:r w:rsidRPr="000E4C40">
        <w:rPr>
          <w:color w:val="000000"/>
          <w:sz w:val="24"/>
        </w:rPr>
        <w:t>注：基金经理（或基金经理小组）期后变动（如有）敬请关注基金管理人发布的相关公告。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受到经济回升预期、地方债和特别国债的供给放量冲击、对货币政策进一步大幅放松预期的落空等几方面因素的影响，债券收益率呈上行走势。由于短端资金价格中枢的明显上移，使得债券短端收益率上行幅度更大，收益率曲线呈现熊平态势。截止6月30日，一年国债和十年国债分别收于2.18%和2.82%，较一季度末分别上行49bp和23bp。</w:t>
      </w:r>
    </w:p>
    <w:p>
      <w:pPr>
        <w:spacing w:before="29" w:line="288" w:lineRule="auto"/>
        <w:ind w:firstLine="480" w:firstLineChars="200"/>
        <w:rPr>
          <w:color w:val="000000"/>
          <w:sz w:val="24"/>
        </w:rPr>
      </w:pPr>
      <w:r>
        <w:rPr>
          <w:color w:val="000000"/>
          <w:sz w:val="24"/>
        </w:rPr>
        <w:t>由于货币政策边际略有收紧，货币市场工具利率上行明显，三个月股份制银行的同业存单利率上行到2.15%附近，较一季度末有45bp幅度的上行。</w:t>
      </w:r>
    </w:p>
    <w:p>
      <w:pPr>
        <w:spacing w:before="29" w:line="288" w:lineRule="auto"/>
        <w:ind w:firstLine="480" w:firstLineChars="200"/>
        <w:rPr>
          <w:color w:val="000000"/>
          <w:sz w:val="24"/>
        </w:rPr>
      </w:pPr>
      <w:r>
        <w:rPr>
          <w:color w:val="000000"/>
          <w:sz w:val="24"/>
        </w:rPr>
        <w:t>基金操作方面，在货币市场绝对收益较低的市场环境下，我们仍旧保持短久期的操作思路，组合运作平稳。在季度末资产价格相对较好的时点适当运用杠杆增配资产增厚组合收益。由于同等评级信用债收益率较同业存单利率略高，高等级信用债的性价比相对更优，组合适当增配了高等级信用债，组合整体流动性良好。</w:t>
      </w:r>
    </w:p>
    <w:p>
      <w:pPr>
        <w:spacing w:before="29" w:line="288" w:lineRule="auto"/>
        <w:ind w:firstLine="480" w:firstLineChars="200"/>
        <w:rPr>
          <w:color w:val="000000"/>
          <w:sz w:val="24"/>
        </w:rPr>
      </w:pPr>
      <w:r>
        <w:rPr>
          <w:color w:val="000000"/>
          <w:sz w:val="24"/>
        </w:rPr>
        <w:t>展望2020年三季度，在服务消费的带动下经济增速有望逐步回升，但近期观测到的工业增加值不及预期，显示经济复苏的基础并不牢固，在全球经济受疫情影响时间拉长、程度加深的背景下，经济更可能是一个弱复苏的态势。资金面方面，我们认为经过最近的调整，资金利率已经回归到了政策利率附近，考虑货币政策整体并未转向，国务院常务会议要求引导贷款与债券利率下行，资金利率继续上行的空间已经有限。</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
      </w:r>
      <w:proofErr w:type="gramStart"/>
      <w:r w:rsidRPr="002070B4">
        <w:rPr>
          <w:color w:val="000000"/>
          <w:sz w:val="24"/>
        </w:rPr>
        <w:t/>
      </w:r>
      <w:proofErr w:type="gramEnd"/>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proofErr w:type="spellStart"/>
      <w:r w:rsidRPr="000F4B69">
        <w:rPr>
          <w:rFonts w:hint="eastAsia"/>
          <w:color w:val="000000"/>
          <w:kern w:val="0"/>
          <w:sz w:val="24"/>
        </w:rPr>
        <w:t/>
      </w:r>
      <w:proofErr w:type="spellEnd"/>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3,893,143,987.30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45.26</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3,673,142,775.45</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42.71</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220,001,211.85</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2.56</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2,467,740,781.61</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28.69</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2,215,890,344.02</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25.76</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24,179,738.39</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0.28</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8,600,954,851.32</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3.76</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1,167,255,896.36</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15.71</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
      </w:r>
      <w:proofErr w:type="spellStart"/>
      <w:r w:rsidRPr="000E4C40">
        <w:rPr>
          <w:color w:val="000000"/>
          <w:sz w:val="24"/>
        </w:rPr>
        <w:t/>
      </w:r>
      <w:proofErr w:type="spellEnd"/>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proofErr w:type="gramEnd"/>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59</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proofErr w:type="spellEnd"/>
            <w:r w:rsidRPr="000E4C40">
              <w:rPr>
                <w:color w:val="000000"/>
                <w:sz w:val="24"/>
              </w:rPr>
              <w:t>59</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42</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
      </w:r>
      <w:proofErr w:type="gramStart"/>
      <w:r w:rsidRPr="000E5695">
        <w:rPr>
          <w:kern w:val="0"/>
          <w:sz w:val="24"/>
        </w:rPr>
        <w:t/>
      </w:r>
      <w:proofErr w:type="gramEnd"/>
      <w:r w:rsidRPr="000E5695">
        <w:rPr>
          <w:kern w:val="0"/>
          <w:sz w:val="24"/>
        </w:rPr>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44.24</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15.71</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8.06</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37.67</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15.54</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9.90</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115.41</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15.71</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
      </w:r>
      <w:proofErr w:type="gramStart"/>
      <w:r w:rsidRPr="00F046FB">
        <w:rPr>
          <w:rFonts w:ascii="宋体" w:hAnsi="宋体" w:hint="eastAsia"/>
          <w:color w:val="000000"/>
          <w:sz w:val="24"/>
        </w:rPr>
        <w:t/>
      </w:r>
      <w:proofErr w:type="gramEnd"/>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proofErr w:type="spellStart"/>
      <w:r w:rsidRPr="00FE3EEE">
        <w:rPr>
          <w:rFonts w:hint="eastAsia"/>
          <w:color w:val="000000"/>
          <w:kern w:val="0"/>
          <w:sz w:val="24"/>
        </w:rPr>
        <w:t/>
      </w:r>
      <w:proofErr w:type="spellEnd"/>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roofErr w:type="spellStart"/>
            <w:r w:rsidR="006214E4" w:rsidRPr="000E4C40">
              <w:rPr>
                <w:color w:val="000000"/>
                <w:sz w:val="24"/>
              </w:rPr>
              <w:t/>
            </w:r>
            <w:proofErr w:type="spellEnd"/>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w:t>
            </w:r>
            <w:proofErr w:type="gramStart"/>
            <w:r>
              <w:rPr>
                <w:rFonts w:hAnsi="宋体"/>
                <w:sz w:val="24"/>
              </w:rPr>
              <w:t>余成本</w:t>
            </w:r>
            <w:proofErr w:type="gramEnd"/>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149,943,370.54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2.02</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230,217,381.03</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3.10</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230,217,381.03</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3.10</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proofErr w:type="gramStart"/>
            <w:r w:rsidR="00BC0205" w:rsidRPr="000E4C40">
              <w:rPr>
                <w:rFonts w:hAnsi="宋体"/>
                <w:color w:val="000000"/>
                <w:sz w:val="24"/>
              </w:rPr>
              <w:t>券</w:t>
            </w:r>
            <w:proofErr w:type="gramEnd"/>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1,869,843,272.71</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25.16</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1,423,138,751.17</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19.15</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3,673,142,775.45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proofErr w:type="spellStart"/>
            <w:r w:rsidRPr="000E4C40">
              <w:rPr>
                <w:color w:val="000000"/>
                <w:sz w:val="24"/>
              </w:rPr>
              <w:t/>
            </w:r>
            <w:r w:rsidRPr="000E4C40">
              <w:rPr>
                <w:color w:val="000000"/>
                <w:sz w:val="24"/>
              </w:rPr>
              <w:lastRenderedPageBreak/>
              <w:t/>
            </w:r>
            <w:proofErr w:type="spellEnd"/>
            <w:r w:rsidRPr="000E4C40">
              <w:rPr>
                <w:color w:val="000000"/>
                <w:sz w:val="24"/>
              </w:rPr>
              <w:t>49.43</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w:t>
      </w:r>
      <w:proofErr w:type="gramStart"/>
      <w:r w:rsidR="00902E3F" w:rsidRPr="000E4C40">
        <w:rPr>
          <w:rFonts w:hAnsi="宋体"/>
          <w:b/>
          <w:color w:val="000000"/>
          <w:kern w:val="0"/>
          <w:sz w:val="24"/>
        </w:rPr>
        <w:t>按摊余成本</w:t>
      </w:r>
      <w:proofErr w:type="gramEnd"/>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proofErr w:type="spellStart"/>
      <w:r w:rsidRPr="00E5775C">
        <w:rPr>
          <w:rFonts w:hint="eastAsia"/>
          <w:color w:val="000000"/>
          <w:kern w:val="0"/>
          <w:sz w:val="24"/>
        </w:rPr>
        <w:t/>
      </w:r>
      <w:proofErr w:type="spellEnd"/>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w:t>
            </w:r>
            <w:proofErr w:type="gramStart"/>
            <w:r>
              <w:rPr>
                <w:rFonts w:hAnsi="宋体"/>
                <w:color w:val="000000"/>
                <w:kern w:val="0"/>
                <w:sz w:val="24"/>
              </w:rPr>
              <w:t>余成本</w:t>
            </w:r>
            <w:proofErr w:type="gramEnd"/>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012001936</w:t>
            </w:r>
          </w:p>
        </w:tc>
        <w:tc>
          <w:tcPr>
            <w:vAlign w:val="center"/>
          </w:tcPr>
          <w:p>
            <w:pPr>
              <w:jc w:val="center"/>
            </w:pPr>
            <w:r>
              <w:rPr>
                <w:color w:val="000000"/>
                <w:sz w:val="24"/>
              </w:rPr>
              <w:t>20电网SCP020</w:t>
            </w:r>
          </w:p>
        </w:tc>
        <w:tc>
          <w:tcPr>
            <w:vAlign w:val="center"/>
          </w:tcPr>
          <w:p>
            <w:pPr>
              <w:jc w:val="right"/>
            </w:pPr>
            <w:r>
              <w:rPr>
                <w:color w:val="000000"/>
                <w:sz w:val="24"/>
              </w:rPr>
              <w:t>3,000,000</w:t>
            </w:r>
          </w:p>
        </w:tc>
        <w:tc>
          <w:tcPr>
            <w:vAlign w:val="center"/>
          </w:tcPr>
          <w:p>
            <w:pPr>
              <w:jc w:val="right"/>
            </w:pPr>
            <w:r>
              <w:rPr>
                <w:color w:val="000000"/>
                <w:sz w:val="24"/>
              </w:rPr>
              <w:t>299,627,126.14</w:t>
            </w:r>
          </w:p>
        </w:tc>
        <w:tc>
          <w:tcPr>
            <w:vAlign w:val="center"/>
          </w:tcPr>
          <w:p>
            <w:pPr>
              <w:jc w:val="right"/>
            </w:pPr>
            <w:r>
              <w:rPr>
                <w:color w:val="000000"/>
                <w:sz w:val="24"/>
              </w:rPr>
              <w:t>4.03</w:t>
            </w:r>
          </w:p>
        </w:tc>
      </w:tr>
      <w:tr>
        <w:tc>
          <w:tcPr>
            <w:vAlign w:val="center"/>
          </w:tcPr>
          <w:p>
            <w:pPr>
              <w:jc w:val="center"/>
            </w:pPr>
            <w:r>
              <w:rPr>
                <w:color w:val="000000"/>
                <w:sz w:val="24"/>
              </w:rPr>
              <w:t>2</w:t>
            </w:r>
          </w:p>
        </w:tc>
        <w:tc>
          <w:tcPr>
            <w:vAlign w:val="center"/>
          </w:tcPr>
          <w:p>
            <w:pPr>
              <w:jc w:val="center"/>
            </w:pPr>
            <w:r>
              <w:rPr>
                <w:color w:val="000000"/>
                <w:sz w:val="24"/>
              </w:rPr>
              <w:t>112082100</w:t>
            </w:r>
          </w:p>
        </w:tc>
        <w:tc>
          <w:tcPr>
            <w:vAlign w:val="center"/>
          </w:tcPr>
          <w:p>
            <w:pPr>
              <w:jc w:val="center"/>
            </w:pPr>
            <w:r>
              <w:rPr>
                <w:color w:val="000000"/>
                <w:sz w:val="24"/>
              </w:rPr>
              <w:t>20广西北部湾银行CD207</w:t>
            </w:r>
          </w:p>
        </w:tc>
        <w:tc>
          <w:tcPr>
            <w:vAlign w:val="center"/>
          </w:tcPr>
          <w:p>
            <w:pPr>
              <w:jc w:val="right"/>
            </w:pPr>
            <w:r>
              <w:rPr>
                <w:color w:val="000000"/>
                <w:sz w:val="24"/>
              </w:rPr>
              <w:t>2,400,000</w:t>
            </w:r>
          </w:p>
        </w:tc>
        <w:tc>
          <w:tcPr>
            <w:vAlign w:val="center"/>
          </w:tcPr>
          <w:p>
            <w:pPr>
              <w:jc w:val="right"/>
            </w:pPr>
            <w:r>
              <w:rPr>
                <w:color w:val="000000"/>
                <w:sz w:val="24"/>
              </w:rPr>
              <w:t>238,588,947.76</w:t>
            </w:r>
          </w:p>
        </w:tc>
        <w:tc>
          <w:tcPr>
            <w:vAlign w:val="center"/>
          </w:tcPr>
          <w:p>
            <w:pPr>
              <w:jc w:val="right"/>
            </w:pPr>
            <w:r>
              <w:rPr>
                <w:color w:val="000000"/>
                <w:sz w:val="24"/>
              </w:rPr>
              <w:t>3.21</w:t>
            </w:r>
          </w:p>
        </w:tc>
      </w:tr>
      <w:tr>
        <w:tc>
          <w:tcPr>
            <w:vAlign w:val="center"/>
          </w:tcPr>
          <w:p>
            <w:pPr>
              <w:jc w:val="center"/>
            </w:pPr>
            <w:r>
              <w:rPr>
                <w:color w:val="000000"/>
                <w:sz w:val="24"/>
              </w:rPr>
              <w:t>3</w:t>
            </w:r>
          </w:p>
        </w:tc>
        <w:tc>
          <w:tcPr>
            <w:vAlign w:val="center"/>
          </w:tcPr>
          <w:p>
            <w:pPr>
              <w:jc w:val="center"/>
            </w:pPr>
            <w:r>
              <w:rPr>
                <w:color w:val="000000"/>
                <w:sz w:val="24"/>
              </w:rPr>
              <w:t>011903005</w:t>
            </w:r>
          </w:p>
        </w:tc>
        <w:tc>
          <w:tcPr>
            <w:vAlign w:val="center"/>
          </w:tcPr>
          <w:p>
            <w:pPr>
              <w:jc w:val="center"/>
            </w:pPr>
            <w:r>
              <w:rPr>
                <w:color w:val="000000"/>
                <w:sz w:val="24"/>
              </w:rPr>
              <w:t>19中油股SCP002</w:t>
            </w:r>
          </w:p>
        </w:tc>
        <w:tc>
          <w:tcPr>
            <w:vAlign w:val="center"/>
          </w:tcPr>
          <w:p>
            <w:pPr>
              <w:jc w:val="right"/>
            </w:pPr>
            <w:r>
              <w:rPr>
                <w:color w:val="000000"/>
                <w:sz w:val="24"/>
              </w:rPr>
              <w:t>2,000,000</w:t>
            </w:r>
          </w:p>
        </w:tc>
        <w:tc>
          <w:tcPr>
            <w:vAlign w:val="center"/>
          </w:tcPr>
          <w:p>
            <w:pPr>
              <w:jc w:val="right"/>
            </w:pPr>
            <w:r>
              <w:rPr>
                <w:color w:val="000000"/>
                <w:sz w:val="24"/>
              </w:rPr>
              <w:t>200,324,865.45</w:t>
            </w:r>
          </w:p>
        </w:tc>
        <w:tc>
          <w:tcPr>
            <w:vAlign w:val="center"/>
          </w:tcPr>
          <w:p>
            <w:pPr>
              <w:jc w:val="right"/>
            </w:pPr>
            <w:r>
              <w:rPr>
                <w:color w:val="000000"/>
                <w:sz w:val="24"/>
              </w:rPr>
              <w:t>2.70</w:t>
            </w:r>
          </w:p>
        </w:tc>
      </w:tr>
      <w:tr>
        <w:tc>
          <w:tcPr>
            <w:vAlign w:val="center"/>
          </w:tcPr>
          <w:p>
            <w:pPr>
              <w:jc w:val="center"/>
            </w:pPr>
            <w:r>
              <w:rPr>
                <w:color w:val="000000"/>
                <w:sz w:val="24"/>
              </w:rPr>
              <w:t>4</w:t>
            </w:r>
          </w:p>
        </w:tc>
        <w:tc>
          <w:tcPr>
            <w:vAlign w:val="center"/>
          </w:tcPr>
          <w:p>
            <w:pPr>
              <w:jc w:val="center"/>
            </w:pPr>
            <w:r>
              <w:rPr>
                <w:color w:val="000000"/>
                <w:sz w:val="24"/>
              </w:rPr>
              <w:t>111983056</w:t>
            </w:r>
          </w:p>
        </w:tc>
        <w:tc>
          <w:tcPr>
            <w:vAlign w:val="center"/>
          </w:tcPr>
          <w:p>
            <w:pPr>
              <w:jc w:val="center"/>
            </w:pPr>
            <w:r>
              <w:rPr>
                <w:color w:val="000000"/>
                <w:sz w:val="24"/>
              </w:rPr>
              <w:t>19南京银行CD049</w:t>
            </w:r>
          </w:p>
        </w:tc>
        <w:tc>
          <w:tcPr>
            <w:vAlign w:val="center"/>
          </w:tcPr>
          <w:p>
            <w:pPr>
              <w:jc w:val="right"/>
            </w:pPr>
            <w:r>
              <w:rPr>
                <w:color w:val="000000"/>
                <w:sz w:val="24"/>
              </w:rPr>
              <w:t>2,000,000</w:t>
            </w:r>
          </w:p>
        </w:tc>
        <w:tc>
          <w:tcPr>
            <w:vAlign w:val="center"/>
          </w:tcPr>
          <w:p>
            <w:pPr>
              <w:jc w:val="right"/>
            </w:pPr>
            <w:r>
              <w:rPr>
                <w:color w:val="000000"/>
                <w:sz w:val="24"/>
              </w:rPr>
              <w:t>199,712,404.30</w:t>
            </w:r>
          </w:p>
        </w:tc>
        <w:tc>
          <w:tcPr>
            <w:vAlign w:val="center"/>
          </w:tcPr>
          <w:p>
            <w:pPr>
              <w:jc w:val="right"/>
            </w:pPr>
            <w:r>
              <w:rPr>
                <w:color w:val="000000"/>
                <w:sz w:val="24"/>
              </w:rPr>
              <w:t>2.69</w:t>
            </w:r>
          </w:p>
        </w:tc>
      </w:tr>
      <w:tr>
        <w:tc>
          <w:tcPr>
            <w:vAlign w:val="center"/>
          </w:tcPr>
          <w:p>
            <w:pPr>
              <w:jc w:val="center"/>
            </w:pPr>
            <w:r>
              <w:rPr>
                <w:color w:val="000000"/>
                <w:sz w:val="24"/>
              </w:rPr>
              <w:t>5</w:t>
            </w:r>
          </w:p>
        </w:tc>
        <w:tc>
          <w:tcPr>
            <w:vAlign w:val="center"/>
          </w:tcPr>
          <w:p>
            <w:pPr>
              <w:jc w:val="center"/>
            </w:pPr>
            <w:r>
              <w:rPr>
                <w:color w:val="000000"/>
                <w:sz w:val="24"/>
              </w:rPr>
              <w:t>112018183</w:t>
            </w:r>
          </w:p>
        </w:tc>
        <w:tc>
          <w:tcPr>
            <w:vAlign w:val="center"/>
          </w:tcPr>
          <w:p>
            <w:pPr>
              <w:jc w:val="center"/>
            </w:pPr>
            <w:r>
              <w:rPr>
                <w:color w:val="000000"/>
                <w:sz w:val="24"/>
              </w:rPr>
              <w:t>20华夏银行CD183</w:t>
            </w:r>
          </w:p>
        </w:tc>
        <w:tc>
          <w:tcPr>
            <w:vAlign w:val="center"/>
          </w:tcPr>
          <w:p>
            <w:pPr>
              <w:jc w:val="right"/>
            </w:pPr>
            <w:r>
              <w:rPr>
                <w:color w:val="000000"/>
                <w:sz w:val="24"/>
              </w:rPr>
              <w:t>2,000,000</w:t>
            </w:r>
          </w:p>
        </w:tc>
        <w:tc>
          <w:tcPr>
            <w:vAlign w:val="center"/>
          </w:tcPr>
          <w:p>
            <w:pPr>
              <w:jc w:val="right"/>
            </w:pPr>
            <w:r>
              <w:rPr>
                <w:color w:val="000000"/>
                <w:sz w:val="24"/>
              </w:rPr>
              <w:t>198,933,539.10</w:t>
            </w:r>
          </w:p>
        </w:tc>
        <w:tc>
          <w:tcPr>
            <w:vAlign w:val="center"/>
          </w:tcPr>
          <w:p>
            <w:pPr>
              <w:jc w:val="right"/>
            </w:pPr>
            <w:r>
              <w:rPr>
                <w:color w:val="000000"/>
                <w:sz w:val="24"/>
              </w:rPr>
              <w:t>2.68</w:t>
            </w:r>
          </w:p>
        </w:tc>
      </w:tr>
      <w:tr>
        <w:tc>
          <w:tcPr>
            <w:vAlign w:val="center"/>
          </w:tcPr>
          <w:p>
            <w:pPr>
              <w:jc w:val="center"/>
            </w:pPr>
            <w:r>
              <w:rPr>
                <w:color w:val="000000"/>
                <w:sz w:val="24"/>
              </w:rPr>
              <w:t>6</w:t>
            </w:r>
          </w:p>
        </w:tc>
        <w:tc>
          <w:tcPr>
            <w:vAlign w:val="center"/>
          </w:tcPr>
          <w:p>
            <w:pPr>
              <w:jc w:val="center"/>
            </w:pPr>
            <w:r>
              <w:rPr>
                <w:color w:val="000000"/>
                <w:sz w:val="24"/>
              </w:rPr>
              <w:t>112082216</w:t>
            </w:r>
          </w:p>
        </w:tc>
        <w:tc>
          <w:tcPr>
            <w:vAlign w:val="center"/>
          </w:tcPr>
          <w:p>
            <w:pPr>
              <w:jc w:val="center"/>
            </w:pPr>
            <w:r>
              <w:rPr>
                <w:color w:val="000000"/>
                <w:sz w:val="24"/>
              </w:rPr>
              <w:t>20苏州银行CD185</w:t>
            </w:r>
          </w:p>
        </w:tc>
        <w:tc>
          <w:tcPr>
            <w:vAlign w:val="center"/>
          </w:tcPr>
          <w:p>
            <w:pPr>
              <w:jc w:val="right"/>
            </w:pPr>
            <w:r>
              <w:rPr>
                <w:color w:val="000000"/>
                <w:sz w:val="24"/>
              </w:rPr>
              <w:t>2,000,000</w:t>
            </w:r>
          </w:p>
        </w:tc>
        <w:tc>
          <w:tcPr>
            <w:vAlign w:val="center"/>
          </w:tcPr>
          <w:p>
            <w:pPr>
              <w:jc w:val="right"/>
            </w:pPr>
            <w:r>
              <w:rPr>
                <w:color w:val="000000"/>
                <w:sz w:val="24"/>
              </w:rPr>
              <w:t>198,884,424.44</w:t>
            </w:r>
          </w:p>
        </w:tc>
        <w:tc>
          <w:tcPr>
            <w:vAlign w:val="center"/>
          </w:tcPr>
          <w:p>
            <w:pPr>
              <w:jc w:val="right"/>
            </w:pPr>
            <w:r>
              <w:rPr>
                <w:color w:val="000000"/>
                <w:sz w:val="24"/>
              </w:rPr>
              <w:t>2.68</w:t>
            </w:r>
          </w:p>
        </w:tc>
      </w:tr>
      <w:tr>
        <w:tc>
          <w:tcPr>
            <w:vAlign w:val="center"/>
          </w:tcPr>
          <w:p>
            <w:pPr>
              <w:jc w:val="center"/>
            </w:pPr>
            <w:r>
              <w:rPr>
                <w:color w:val="000000"/>
                <w:sz w:val="24"/>
              </w:rPr>
              <w:t>7</w:t>
            </w:r>
          </w:p>
        </w:tc>
        <w:tc>
          <w:tcPr>
            <w:vAlign w:val="center"/>
          </w:tcPr>
          <w:p>
            <w:pPr>
              <w:jc w:val="center"/>
            </w:pPr>
            <w:r>
              <w:rPr>
                <w:color w:val="000000"/>
                <w:sz w:val="24"/>
              </w:rPr>
              <w:t>112082287</w:t>
            </w:r>
          </w:p>
        </w:tc>
        <w:tc>
          <w:tcPr>
            <w:vAlign w:val="center"/>
          </w:tcPr>
          <w:p>
            <w:pPr>
              <w:jc w:val="center"/>
            </w:pPr>
            <w:r>
              <w:rPr>
                <w:color w:val="000000"/>
                <w:sz w:val="24"/>
              </w:rPr>
              <w:t>20成都银行CD140</w:t>
            </w:r>
          </w:p>
        </w:tc>
        <w:tc>
          <w:tcPr>
            <w:vAlign w:val="center"/>
          </w:tcPr>
          <w:p>
            <w:pPr>
              <w:jc w:val="right"/>
            </w:pPr>
            <w:r>
              <w:rPr>
                <w:color w:val="000000"/>
                <w:sz w:val="24"/>
              </w:rPr>
              <w:t>2,000,000</w:t>
            </w:r>
          </w:p>
        </w:tc>
        <w:tc>
          <w:tcPr>
            <w:vAlign w:val="center"/>
          </w:tcPr>
          <w:p>
            <w:pPr>
              <w:jc w:val="right"/>
            </w:pPr>
            <w:r>
              <w:rPr>
                <w:color w:val="000000"/>
                <w:sz w:val="24"/>
              </w:rPr>
              <w:t>198,884,424.44</w:t>
            </w:r>
          </w:p>
        </w:tc>
        <w:tc>
          <w:tcPr>
            <w:vAlign w:val="center"/>
          </w:tcPr>
          <w:p>
            <w:pPr>
              <w:jc w:val="right"/>
            </w:pPr>
            <w:r>
              <w:rPr>
                <w:color w:val="000000"/>
                <w:sz w:val="24"/>
              </w:rPr>
              <w:t>2.68</w:t>
            </w:r>
          </w:p>
        </w:tc>
      </w:tr>
      <w:tr>
        <w:tc>
          <w:tcPr>
            <w:vAlign w:val="center"/>
          </w:tcPr>
          <w:p>
            <w:pPr>
              <w:jc w:val="center"/>
            </w:pPr>
            <w:r>
              <w:rPr>
                <w:color w:val="000000"/>
                <w:sz w:val="24"/>
              </w:rPr>
              <w:t>8</w:t>
            </w:r>
          </w:p>
        </w:tc>
        <w:tc>
          <w:tcPr>
            <w:vAlign w:val="center"/>
          </w:tcPr>
          <w:p>
            <w:pPr>
              <w:jc w:val="center"/>
            </w:pPr>
            <w:r>
              <w:rPr>
                <w:color w:val="000000"/>
                <w:sz w:val="24"/>
              </w:rPr>
              <w:t>100222</w:t>
            </w:r>
          </w:p>
        </w:tc>
        <w:tc>
          <w:tcPr>
            <w:vAlign w:val="center"/>
          </w:tcPr>
          <w:p>
            <w:pPr>
              <w:jc w:val="center"/>
            </w:pPr>
            <w:r>
              <w:rPr>
                <w:color w:val="000000"/>
                <w:sz w:val="24"/>
              </w:rPr>
              <w:t>10国开22</w:t>
            </w:r>
          </w:p>
        </w:tc>
        <w:tc>
          <w:tcPr>
            <w:vAlign w:val="center"/>
          </w:tcPr>
          <w:p>
            <w:pPr>
              <w:jc w:val="right"/>
            </w:pPr>
            <w:r>
              <w:rPr>
                <w:color w:val="000000"/>
                <w:sz w:val="24"/>
              </w:rPr>
              <w:t>1,600,000</w:t>
            </w:r>
          </w:p>
        </w:tc>
        <w:tc>
          <w:tcPr>
            <w:vAlign w:val="center"/>
          </w:tcPr>
          <w:p>
            <w:pPr>
              <w:jc w:val="right"/>
            </w:pPr>
            <w:r>
              <w:rPr>
                <w:color w:val="000000"/>
                <w:sz w:val="24"/>
              </w:rPr>
              <w:t>160,008,944.76</w:t>
            </w:r>
          </w:p>
        </w:tc>
        <w:tc>
          <w:tcPr>
            <w:vAlign w:val="center"/>
          </w:tcPr>
          <w:p>
            <w:pPr>
              <w:jc w:val="right"/>
            </w:pPr>
            <w:r>
              <w:rPr>
                <w:color w:val="000000"/>
                <w:sz w:val="24"/>
              </w:rPr>
              <w:t>2.15</w:t>
            </w:r>
          </w:p>
        </w:tc>
      </w:tr>
      <w:tr>
        <w:tc>
          <w:tcPr>
            <w:vAlign w:val="center"/>
          </w:tcPr>
          <w:p>
            <w:pPr>
              <w:jc w:val="center"/>
            </w:pPr>
            <w:r>
              <w:rPr>
                <w:color w:val="000000"/>
                <w:sz w:val="24"/>
              </w:rPr>
              <w:t>9</w:t>
            </w:r>
          </w:p>
        </w:tc>
        <w:tc>
          <w:tcPr>
            <w:vAlign w:val="center"/>
          </w:tcPr>
          <w:p>
            <w:pPr>
              <w:jc w:val="center"/>
            </w:pPr>
            <w:r>
              <w:rPr>
                <w:color w:val="000000"/>
                <w:sz w:val="24"/>
              </w:rPr>
              <w:t>012001005</w:t>
            </w:r>
          </w:p>
        </w:tc>
        <w:tc>
          <w:tcPr>
            <w:vAlign w:val="center"/>
          </w:tcPr>
          <w:p>
            <w:pPr>
              <w:jc w:val="center"/>
            </w:pPr>
            <w:r>
              <w:rPr>
                <w:color w:val="000000"/>
                <w:sz w:val="24"/>
              </w:rPr>
              <w:t>20华能集SCP004</w:t>
            </w:r>
          </w:p>
        </w:tc>
        <w:tc>
          <w:tcPr>
            <w:vAlign w:val="center"/>
          </w:tcPr>
          <w:p>
            <w:pPr>
              <w:jc w:val="right"/>
            </w:pPr>
            <w:r>
              <w:rPr>
                <w:color w:val="000000"/>
                <w:sz w:val="24"/>
              </w:rPr>
              <w:t>1,500,000</w:t>
            </w:r>
          </w:p>
        </w:tc>
        <w:tc>
          <w:tcPr>
            <w:vAlign w:val="center"/>
          </w:tcPr>
          <w:p>
            <w:pPr>
              <w:jc w:val="right"/>
            </w:pPr>
            <w:r>
              <w:rPr>
                <w:color w:val="000000"/>
                <w:sz w:val="24"/>
              </w:rPr>
              <w:t>150,152,020.90</w:t>
            </w:r>
          </w:p>
        </w:tc>
        <w:tc>
          <w:tcPr>
            <w:vAlign w:val="center"/>
          </w:tcPr>
          <w:p>
            <w:pPr>
              <w:jc w:val="right"/>
            </w:pPr>
            <w:r>
              <w:rPr>
                <w:color w:val="000000"/>
                <w:sz w:val="24"/>
              </w:rPr>
              <w:t>2.02</w:t>
            </w:r>
          </w:p>
        </w:tc>
      </w:tr>
      <w:tr>
        <w:tc>
          <w:tcPr>
            <w:vAlign w:val="center"/>
          </w:tcPr>
          <w:p>
            <w:pPr>
              <w:jc w:val="center"/>
            </w:pPr>
            <w:r>
              <w:rPr>
                <w:color w:val="000000"/>
                <w:sz w:val="24"/>
              </w:rPr>
              <w:t>10</w:t>
            </w:r>
          </w:p>
        </w:tc>
        <w:tc>
          <w:tcPr>
            <w:vAlign w:val="center"/>
          </w:tcPr>
          <w:p>
            <w:pPr>
              <w:jc w:val="center"/>
            </w:pPr>
            <w:r>
              <w:rPr>
                <w:color w:val="000000"/>
                <w:sz w:val="24"/>
              </w:rPr>
              <w:t>012001258</w:t>
            </w:r>
          </w:p>
        </w:tc>
        <w:tc>
          <w:tcPr>
            <w:vAlign w:val="center"/>
          </w:tcPr>
          <w:p>
            <w:pPr>
              <w:jc w:val="center"/>
            </w:pPr>
            <w:r>
              <w:rPr>
                <w:color w:val="000000"/>
                <w:sz w:val="24"/>
              </w:rPr>
              <w:t>20中交建SCP002</w:t>
            </w:r>
          </w:p>
        </w:tc>
        <w:tc>
          <w:tcPr>
            <w:vAlign w:val="center"/>
          </w:tcPr>
          <w:p>
            <w:pPr>
              <w:jc w:val="right"/>
            </w:pPr>
            <w:r>
              <w:rPr>
                <w:color w:val="000000"/>
                <w:sz w:val="24"/>
              </w:rPr>
              <w:t>1,500,000</w:t>
            </w:r>
          </w:p>
        </w:tc>
        <w:tc>
          <w:tcPr>
            <w:vAlign w:val="center"/>
          </w:tcPr>
          <w:p>
            <w:pPr>
              <w:jc w:val="right"/>
            </w:pPr>
            <w:r>
              <w:rPr>
                <w:color w:val="000000"/>
                <w:sz w:val="24"/>
              </w:rPr>
              <w:t>150,034,329.31</w:t>
            </w:r>
          </w:p>
        </w:tc>
        <w:tc>
          <w:tcPr>
            <w:vAlign w:val="center"/>
          </w:tcPr>
          <w:p>
            <w:pPr>
              <w:jc w:val="right"/>
            </w:pPr>
            <w:r>
              <w:rPr>
                <w:color w:val="000000"/>
                <w:sz w:val="24"/>
              </w:rPr>
              <w:t>2.02</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roofErr w:type="spellStart"/>
            <w:r w:rsidR="006D4647" w:rsidRPr="000E4C40">
              <w:rPr>
                <w:color w:val="000000"/>
                <w:kern w:val="0"/>
                <w:sz w:val="24"/>
              </w:rPr>
              <w:t/>
            </w:r>
            <w:proofErr w:type="spellEnd"/>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0.0727%</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-0.0141%</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0.0436%</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
      </w:r>
      <w:proofErr w:type="gramStart"/>
      <w:r w:rsidRPr="002304D5">
        <w:rPr>
          <w:color w:val="000000"/>
          <w:sz w:val="24"/>
        </w:rPr>
        <w:t/>
      </w:r>
      <w:proofErr w:type="gramEnd"/>
      <w:r w:rsidRPr="002304D5">
        <w:rPr>
          <w:color w:val="000000"/>
          <w:sz w:val="24"/>
        </w:rPr>
        <w:t>本基金本报告期内未存在负偏离度的绝对值达到0.25%情况。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
      </w:r>
      <w:proofErr w:type="gramStart"/>
      <w:r w:rsidRPr="002304D5">
        <w:rPr>
          <w:color w:val="000000"/>
          <w:sz w:val="24"/>
        </w:rPr>
        <w:t/>
      </w:r>
      <w:proofErr w:type="gramEnd"/>
      <w:r w:rsidRPr="002304D5">
        <w:rPr>
          <w:color w:val="000000"/>
          <w:sz w:val="24"/>
        </w:rPr>
        <w:t>本基金本报告期内未存在正偏离度的绝对值达到0.5%情况。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E97D49" w:rsidR="00E97D49" w:rsidRDefault="00E97D49" w:rsidRPr="00E97D49">
      <w:pPr>
        <w:spacing w:before="29" w:line="288" w:lineRule="auto"/>
        <w:jc w:val="right"/>
        <w:rPr>
          <w:color w:val="000000"/>
          <w:kern w:val="0"/>
          <w:sz w:val="24"/>
        </w:rPr>
      </w:pPr>
      <w:r w:rsidRPr="00E97D49">
        <w:rPr>
          <w:rFonts w:hint="eastAsia"/>
          <w:color w:val="000000"/>
          <w:kern w:val="0"/>
          <w:sz w:val="24"/>
        </w:rPr>
        <w:t/>
      </w:r>
      <w:proofErr w:type="spellStart"/>
      <w:r w:rsidRPr="00E97D49">
        <w:rPr>
          <w:rFonts w:hint="eastAsia"/>
          <w:color w:val="000000"/>
          <w:kern w:val="0"/>
          <w:sz w:val="24"/>
        </w:rPr>
        <w:t/>
      </w:r>
      <w:proofErr w:type="spellEnd"/>
      <w:r w:rsidRPr="00E97D49">
        <w:rPr>
          <w:rFonts w:hint="eastAsia"/>
          <w:color w:val="000000"/>
          <w:kern w:val="0"/>
          <w:sz w:val="24"/>
        </w:rPr>
        <w:t/>
      </w:r>
      <w:r w:rsidRPr="00E97D49">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470"/>
        <w:gridCol w:w="1469"/>
        <w:gridCol w:w="1469"/>
        <w:gridCol w:w="1646"/>
        <w:gridCol w:w="1580"/>
        <w:gridCol w:w="1668"/>
      </w:tblGrid>
      <w:tr w:rsidR="00BF1111" w:rsidRPr="000E4C40" w:rsidTr="008F34CE">
        <w:trPr>
          <w:jc w:val="center"/>
        </w:trPr>
        <w:tc>
          <w:tcPr>
            <w:tcW w:type="dxa" w:w="1503"/>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01"/>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01"/>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608"/>
            <w:vAlign w:val="center"/>
          </w:tcPr>
          <w:p w:rsidP="00187BE0" w:rsidR="00BF1111" w:rsidRDefault="00E269C1" w:rsidRPr="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type="dxa" w:w="1508"/>
            <w:vAlign w:val="center"/>
          </w:tcPr>
          <w:p w:rsidP="00B34175" w:rsidR="00BF1111" w:rsidRDefault="00BD3669" w:rsidRPr="000E4C40">
            <w:pPr>
              <w:autoSpaceDE w:val="0"/>
              <w:autoSpaceDN w:val="0"/>
              <w:adjustRightInd w:val="0"/>
              <w:spacing w:before="29" w:line="288" w:lineRule="auto"/>
              <w:ind w:left="15"/>
              <w:jc w:val="center"/>
              <w:rPr>
                <w:rFonts w:hint="eastAsia"/>
                <w:color w:val="000000"/>
                <w:kern w:val="0"/>
                <w:sz w:val="24"/>
              </w:rPr>
            </w:pPr>
            <w:r>
              <w:rPr>
                <w:rFonts w:hAnsi="宋体" w:hint="eastAsia"/>
                <w:color w:val="000000"/>
                <w:kern w:val="0"/>
                <w:sz w:val="24"/>
              </w:rPr>
              <w:t>摊余成本</w:t>
            </w:r>
            <w:r w:rsidRPr="00ED7185">
              <w:rPr>
                <w:rFonts w:hAnsi="宋体"/>
                <w:color w:val="000000"/>
                <w:kern w:val="0"/>
                <w:sz w:val="24"/>
              </w:rPr>
              <w:t>(</w:t>
            </w:r>
            <w:r w:rsidRPr="00ED7185">
              <w:rPr>
                <w:rFonts w:hAnsi="宋体" w:hint="eastAsia"/>
                <w:color w:val="000000"/>
                <w:kern w:val="0"/>
                <w:sz w:val="24"/>
              </w:rPr>
              <w:t>元</w:t>
            </w:r>
            <w:r w:rsidRPr="00ED7185">
              <w:rPr>
                <w:rFonts w:hAnsi="宋体"/>
                <w:color w:val="000000"/>
                <w:kern w:val="0"/>
                <w:sz w:val="24"/>
              </w:rPr>
              <w:t>)</w:t>
            </w:r>
            <w:bookmarkStart w:id="2" w:name="_GoBack"/>
            <w:bookmarkEnd w:id="2"/>
          </w:p>
        </w:tc>
        <w:tc>
          <w:tcPr>
            <w:tcW w:type="dxa" w:w="1681"/>
            <w:vAlign w:val="center"/>
          </w:tcPr>
          <w:p w:rsidP="00281564" w:rsidR="00BF1111" w:rsidRDefault="00F6042F"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168001</w:t>
            </w:r>
          </w:p>
        </w:tc>
        <w:tc>
          <w:tcPr>
            <w:vAlign w:val="center"/>
          </w:tcPr>
          <w:p>
            <w:pPr>
              <w:jc w:val="center"/>
            </w:pPr>
            <w:r>
              <w:rPr>
                <w:color w:val="000000"/>
                <w:sz w:val="24"/>
              </w:rPr>
              <w:t>4如日A02</w:t>
            </w:r>
          </w:p>
        </w:tc>
        <w:tc>
          <w:tcPr>
            <w:vAlign w:val="center"/>
          </w:tcPr>
          <w:p>
            <w:pPr>
              <w:jc w:val="right"/>
            </w:pPr>
            <w:r>
              <w:rPr>
                <w:color w:val="000000"/>
                <w:sz w:val="24"/>
              </w:rPr>
              <w:t>1,300,000</w:t>
            </w:r>
          </w:p>
        </w:tc>
        <w:tc>
          <w:tcPr>
            <w:vAlign w:val="center"/>
          </w:tcPr>
          <w:p>
            <w:pPr>
              <w:jc w:val="right"/>
            </w:pPr>
            <w:r>
              <w:rPr>
                <w:color w:val="000000"/>
                <w:sz w:val="24"/>
              </w:rPr>
              <w:t>130,000,000.00</w:t>
            </w:r>
          </w:p>
        </w:tc>
        <w:tc>
          <w:tcPr>
            <w:vAlign w:val="center"/>
          </w:tcPr>
          <w:p>
            <w:pPr>
              <w:jc w:val="right"/>
            </w:pPr>
            <w:r>
              <w:rPr>
                <w:color w:val="000000"/>
                <w:sz w:val="24"/>
              </w:rPr>
              <w:t>1.75</w:t>
            </w:r>
          </w:p>
        </w:tc>
      </w:tr>
      <w:tr>
        <w:tc>
          <w:tcPr>
            <w:vAlign w:val="center"/>
          </w:tcPr>
          <w:p>
            <w:pPr>
              <w:jc w:val="center"/>
            </w:pPr>
            <w:r>
              <w:rPr>
                <w:color w:val="000000"/>
                <w:sz w:val="24"/>
              </w:rPr>
              <w:t>2</w:t>
            </w:r>
          </w:p>
        </w:tc>
        <w:tc>
          <w:tcPr>
            <w:vAlign w:val="center"/>
          </w:tcPr>
          <w:p>
            <w:pPr>
              <w:jc w:val="center"/>
            </w:pPr>
            <w:r>
              <w:rPr>
                <w:color w:val="000000"/>
                <w:sz w:val="24"/>
              </w:rPr>
              <w:t>168649</w:t>
            </w:r>
          </w:p>
        </w:tc>
        <w:tc>
          <w:tcPr>
            <w:vAlign w:val="center"/>
          </w:tcPr>
          <w:p>
            <w:pPr>
              <w:jc w:val="center"/>
            </w:pPr>
            <w:r>
              <w:rPr>
                <w:color w:val="000000"/>
                <w:sz w:val="24"/>
              </w:rPr>
              <w:t>信润03A1</w:t>
            </w:r>
          </w:p>
        </w:tc>
        <w:tc>
          <w:tcPr>
            <w:vAlign w:val="center"/>
          </w:tcPr>
          <w:p>
            <w:pPr>
              <w:jc w:val="right"/>
            </w:pPr>
            <w:r>
              <w:rPr>
                <w:color w:val="000000"/>
                <w:sz w:val="24"/>
              </w:rPr>
              <w:t>500,000</w:t>
            </w:r>
          </w:p>
        </w:tc>
        <w:tc>
          <w:tcPr>
            <w:vAlign w:val="center"/>
          </w:tcPr>
          <w:p>
            <w:pPr>
              <w:jc w:val="right"/>
            </w:pPr>
            <w:r>
              <w:rPr>
                <w:color w:val="000000"/>
                <w:sz w:val="24"/>
              </w:rPr>
              <w:t>50,000,000.00</w:t>
            </w:r>
          </w:p>
        </w:tc>
        <w:tc>
          <w:tcPr>
            <w:vAlign w:val="center"/>
          </w:tcPr>
          <w:p>
            <w:pPr>
              <w:jc w:val="right"/>
            </w:pPr>
            <w:r>
              <w:rPr>
                <w:color w:val="000000"/>
                <w:sz w:val="24"/>
              </w:rPr>
              <w:t>0.67</w:t>
            </w:r>
          </w:p>
        </w:tc>
      </w:tr>
      <w:tr>
        <w:tc>
          <w:tcPr>
            <w:vAlign w:val="center"/>
          </w:tcPr>
          <w:p>
            <w:pPr>
              <w:jc w:val="center"/>
            </w:pPr>
            <w:r>
              <w:rPr>
                <w:color w:val="000000"/>
                <w:sz w:val="24"/>
              </w:rPr>
              <w:t>3</w:t>
            </w:r>
          </w:p>
        </w:tc>
        <w:tc>
          <w:tcPr>
            <w:vAlign w:val="center"/>
          </w:tcPr>
          <w:p>
            <w:pPr>
              <w:jc w:val="center"/>
            </w:pPr>
            <w:r>
              <w:rPr>
                <w:color w:val="000000"/>
                <w:sz w:val="24"/>
              </w:rPr>
              <w:t>2089082</w:t>
            </w:r>
          </w:p>
        </w:tc>
        <w:tc>
          <w:tcPr>
            <w:vAlign w:val="center"/>
          </w:tcPr>
          <w:p>
            <w:pPr>
              <w:jc w:val="center"/>
            </w:pPr>
            <w:r>
              <w:rPr>
                <w:color w:val="000000"/>
                <w:sz w:val="24"/>
              </w:rPr>
              <w:t>20上和1A1</w:t>
            </w:r>
          </w:p>
        </w:tc>
        <w:tc>
          <w:tcPr>
            <w:vAlign w:val="center"/>
          </w:tcPr>
          <w:p>
            <w:pPr>
              <w:jc w:val="right"/>
            </w:pPr>
            <w:r>
              <w:rPr>
                <w:color w:val="000000"/>
                <w:sz w:val="24"/>
              </w:rPr>
              <w:t>400,000</w:t>
            </w:r>
          </w:p>
        </w:tc>
        <w:tc>
          <w:tcPr>
            <w:vAlign w:val="center"/>
          </w:tcPr>
          <w:p>
            <w:pPr>
              <w:jc w:val="right"/>
            </w:pPr>
            <w:r>
              <w:rPr>
                <w:color w:val="000000"/>
                <w:sz w:val="24"/>
              </w:rPr>
              <w:t>40,001,211.85</w:t>
            </w:r>
          </w:p>
        </w:tc>
        <w:tc>
          <w:tcPr>
            <w:vAlign w:val="center"/>
          </w:tcPr>
          <w:p>
            <w:pPr>
              <w:jc w:val="right"/>
            </w:pPr>
            <w:r>
              <w:rPr>
                <w:color w:val="000000"/>
                <w:sz w:val="24"/>
              </w:rPr>
              <w:t>0.54</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
      </w:r>
      <w:proofErr w:type="gramStart"/>
      <w:r w:rsidR="00EB25E4" w:rsidRPr="000E4C40">
        <w:rPr>
          <w:color w:val="000000"/>
          <w:sz w:val="24"/>
        </w:rPr>
        <w:t/>
      </w:r>
      <w:proofErr w:type="gramEnd"/>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proofErr w:type="spellStart"/>
      <w:r w:rsidRPr="00A53C6C">
        <w:rPr>
          <w:rFonts w:hint="eastAsia"/>
          <w:color w:val="000000"/>
          <w:kern w:val="0"/>
          <w:sz w:val="24"/>
        </w:rPr>
        <w:t/>
      </w:r>
      <w:proofErr w:type="spellEnd"/>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24,179,364.21</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374.18</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24,179,738.39</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r w:rsidRPr="00346DC3">
        <w:rPr>
          <w:b/>
          <w:color w:val="000000"/>
          <w:kern w:val="0"/>
          <w:sz w:val="24"/>
        </w:rPr>
        <w:t/>
      </w:r>
      <w:proofErr w:type="spellStart"/>
      <w:r w:rsidRPr="00346DC3">
        <w:rPr>
          <w:b/>
          <w:color w:val="000000"/>
          <w:kern w:val="0"/>
          <w:sz w:val="24"/>
        </w:rPr>
        <w:t/>
      </w:r>
      <w:proofErr w:type="spellEnd"/>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proofErr w:type="spellStart"/>
      <w:proofErr w:type="gramStart"/>
      <w:r w:rsidR="000C469F" w:rsidRPr="000E4C40">
        <w:rPr>
          <w:color w:val="000000"/>
          <w:sz w:val="24"/>
        </w:rPr>
        <w:t/>
      </w:r>
      <w:proofErr w:type="spellEnd"/>
      <w:proofErr w:type="gramEnd"/>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proofErr w:type="spellStart"/>
            <w:r w:rsidRPr="000E4C40">
              <w:rPr>
                <w:sz w:val="24"/>
              </w:rPr>
              <w:t/>
            </w:r>
            <w:r w:rsidRPr="000E4C40">
              <w:rPr>
                <w:sz w:val="24"/>
              </w:rPr>
              <w:lastRenderedPageBreak/>
              <w:t/>
            </w:r>
            <w:proofErr w:type="spellEnd"/>
            <w:r w:rsidRPr="000E4C40">
              <w:rPr>
                <w:sz w:val="24"/>
              </w:rPr>
              <w:t/>
            </w:r>
            <w:r w:rsidR="00327FB0" w:rsidRPr="000E4C40">
              <w:rPr>
                <w:sz w:val="24"/>
              </w:rPr>
              <w:t/>
            </w:r>
            <w:r w:rsidRPr="000E4C40">
              <w:rPr>
                <w:sz w:val="24"/>
              </w:rPr>
              <w:t>交银天益宝货币A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交银天益宝货币E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w:t>
            </w:r>
            <w:proofErr w:type="gramStart"/>
            <w:r w:rsidRPr="000E4C40">
              <w:rPr>
                <w:rFonts w:hAnsi="宋体"/>
                <w:color w:val="000000"/>
                <w:kern w:val="0"/>
                <w:sz w:val="24"/>
              </w:rPr>
              <w:t>初基金</w:t>
            </w:r>
            <w:proofErr w:type="gramEnd"/>
            <w:r w:rsidRPr="000E4C40">
              <w:rPr>
                <w:rFonts w:hAnsi="宋体"/>
                <w:color w:val="000000"/>
                <w:kern w:val="0"/>
                <w:sz w:val="24"/>
              </w:rPr>
              <w:t>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3,533,752.13</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10,792,417,673.01</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327FB0" w:rsidRPr="000E4C40">
              <w:rPr>
                <w:color w:val="000000"/>
                <w:kern w:val="0"/>
                <w:sz w:val="24"/>
              </w:rPr>
              <w:t/>
            </w:r>
            <w:r w:rsidRPr="000E4C40">
              <w:rPr>
                <w:color w:val="000000"/>
                <w:kern w:val="0"/>
                <w:sz w:val="24"/>
              </w:rPr>
              <w:t>104,860.19</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3,599,018,300.48</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327FB0" w:rsidRPr="000E4C40">
              <w:rPr>
                <w:color w:val="000000"/>
                <w:kern w:val="0"/>
                <w:sz w:val="24"/>
              </w:rPr>
              <w:t/>
            </w:r>
            <w:r w:rsidRPr="000E4C40">
              <w:rPr>
                <w:color w:val="000000"/>
                <w:kern w:val="0"/>
                <w:sz w:val="24"/>
              </w:rPr>
              <w:t>278,497.67</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6,963,525,433.29</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D1ECF" w:rsidRPr="000E4C40">
              <w:rPr>
                <w:color w:val="000000"/>
                <w:kern w:val="0"/>
                <w:sz w:val="24"/>
              </w:rPr>
              <w:t/>
            </w:r>
            <w:r w:rsidRPr="000E4C40">
              <w:rPr>
                <w:color w:val="000000"/>
                <w:kern w:val="0"/>
                <w:sz w:val="24"/>
              </w:rPr>
              <w:t/>
            </w:r>
            <w:proofErr w:type="spellEnd"/>
            <w:r w:rsidRPr="000E4C40">
              <w:rPr>
                <w:color w:val="000000"/>
                <w:kern w:val="0"/>
                <w:sz w:val="24"/>
              </w:rPr>
              <w:t>3,360,114.65</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7,427,910,540.20</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r w:rsidR="00AA5B03" w:rsidRPr="000E4C40">
        <w:rPr>
          <w:color w:val="000000"/>
          <w:sz w:val="24"/>
        </w:rPr>
        <w:t/>
      </w:r>
      <w:proofErr w:type="spellStart"/>
      <w:proofErr w:type="gramStart"/>
      <w:r w:rsidR="00AA5B03" w:rsidRPr="000E4C40">
        <w:rPr>
          <w:color w:val="000000"/>
          <w:sz w:val="24"/>
        </w:rPr>
        <w:t/>
      </w:r>
      <w:proofErr w:type="spellEnd"/>
      <w:proofErr w:type="gramEnd"/>
      <w:r w:rsidR="00AA5B03" w:rsidRPr="000E4C40">
        <w:rPr>
          <w:color w:val="000000"/>
          <w:sz w:val="24"/>
        </w:rPr>
        <w:t>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w:r>
      <w:proofErr w:type="spellStart"/>
      <w:r w:rsidRPr="000E4C40">
        <w:rPr>
          <w:color w:val="000000"/>
          <w:kern w:val="0"/>
          <w:sz w:val="24"/>
          <w:szCs w:val="24"/>
        </w:rPr>
        <w:t/>
      </w:r>
      <w:proofErr w:type="spellEnd"/>
      <w:r w:rsidRPr="000E4C40">
        <w:rPr>
          <w:color w:val="000000"/>
          <w:kern w:val="0"/>
          <w:sz w:val="24"/>
          <w:szCs w:val="24"/>
        </w:rPr>
        <w:t xml:space="preserve">§7  </w:t>
      </w:r>
      <w:r w:rsidRPr="000E4C40">
        <w:rPr>
          <w:rFonts w:hAnsi="宋体"/>
          <w:color w:val="000000"/>
          <w:kern w:val="0"/>
          <w:sz w:val="24"/>
          <w:szCs w:val="24"/>
        </w:rPr>
        <w:t>基金管理人运用</w:t>
      </w:r>
      <w:proofErr w:type="gramStart"/>
      <w:r w:rsidRPr="000E4C40">
        <w:rPr>
          <w:rFonts w:hAnsi="宋体"/>
          <w:color w:val="000000"/>
          <w:kern w:val="0"/>
          <w:sz w:val="24"/>
          <w:szCs w:val="24"/>
        </w:rPr>
        <w:t>固有资金</w:t>
      </w:r>
      <w:proofErr w:type="gramEnd"/>
      <w:r w:rsidRPr="000E4C40">
        <w:rPr>
          <w:rFonts w:hAnsi="宋体"/>
          <w:color w:val="000000"/>
          <w:kern w:val="0"/>
          <w:sz w:val="24"/>
          <w:szCs w:val="24"/>
        </w:rPr>
        <w:t>投资本基金交易明细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firstColumn="0" w:firstRow="0" w:lastColumn="0" w:lastRow="0" w:noHBand="0" w:noVBand="0" w:val="0000"/>
      </w:tblPr>
      <w:tblGrid>
        <w:gridCol w:w="1454"/>
        <w:gridCol w:w="1678"/>
        <w:gridCol w:w="1249"/>
        <w:gridCol w:w="1544"/>
        <w:gridCol w:w="1670"/>
        <w:gridCol w:w="1273"/>
      </w:tblGrid>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序号</w:t>
            </w:r>
            <w:r w:rsidRPr="000E4C40">
              <w:rPr>
                <w:color w:val="000000"/>
                <w:kern w:val="0"/>
              </w:rPr>
              <w:t/>
            </w:r>
            <w:proofErr w:type="spellStart"/>
            <w:r w:rsidRPr="000E4C40">
              <w:rPr>
                <w:color w:val="000000"/>
                <w:kern w:val="0"/>
              </w:rPr>
              <w:t/>
            </w:r>
            <w:proofErr w:type="spellEnd"/>
            <w:r w:rsidRPr="000E4C40">
              <w:rPr>
                <w:color w:val="000000"/>
                <w:kern w:val="0"/>
              </w:rPr>
              <w:t/>
            </w:r>
            <w:proofErr w:type="spellStart"/>
            <w:r w:rsidRPr="000E4C40">
              <w:rPr>
                <w:color w:val="000000"/>
                <w:kern w:val="0"/>
              </w:rPr>
              <w:t/>
            </w:r>
            <w:proofErr w:type="spellEnd"/>
            <w:r w:rsidRPr="000E4C40">
              <w:rPr>
                <w:color w:val="000000"/>
                <w:kern w:val="0"/>
              </w:rPr>
              <w:t/>
            </w:r>
          </w:p>
        </w:tc>
        <w:tc>
          <w:tcPr>
            <w:tcW w:type="dxa" w:w="185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type="dxa" w:w="1370"/>
            <w:vAlign w:val="center"/>
          </w:tcPr>
          <w:p w:rsidP="00281564" w:rsidR="000F2DA3" w:rsidRDefault="000F2DA3" w:rsidRPr="000E4C40">
            <w:pPr>
              <w:adjustRightInd w:val="0"/>
              <w:snapToGrid w:val="0"/>
              <w:spacing w:before="29" w:line="288" w:lineRule="auto"/>
              <w:rPr>
                <w:color w:val="000000"/>
                <w:kern w:val="0"/>
                <w:sz w:val="24"/>
              </w:rPr>
            </w:pPr>
            <w:r w:rsidRPr="000E4C40">
              <w:rPr>
                <w:rFonts w:hAnsi="宋体"/>
                <w:color w:val="000000"/>
                <w:kern w:val="0"/>
                <w:sz w:val="24"/>
              </w:rPr>
              <w:t>交易日期</w:t>
            </w:r>
          </w:p>
        </w:tc>
        <w:tc>
          <w:tcPr>
            <w:tcW w:type="dxa" w:w="170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type="dxa" w:w="1842"/>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type="dxa" w:w="1397"/>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E类份额红利再投</w:t>
            </w:r>
          </w:p>
        </w:tc>
        <w:tc>
          <w:tcPr>
            <w:vAlign w:val="center"/>
          </w:tcPr>
          <w:p>
            <w:pPr>
              <w:jc w:val="center"/>
            </w:pPr>
            <w:r>
              <w:rPr>
                <w:color w:val="000000"/>
                <w:sz w:val="24"/>
              </w:rPr>
              <w:t>-</w:t>
            </w:r>
          </w:p>
        </w:tc>
        <w:tc>
          <w:tcPr>
            <w:vAlign w:val="center"/>
          </w:tcPr>
          <w:p>
            <w:pPr>
              <w:jc w:val="right"/>
            </w:pPr>
            <w:r>
              <w:rPr>
                <w:color w:val="000000"/>
                <w:sz w:val="24"/>
              </w:rPr>
              <w:t>242,835.69</w:t>
            </w:r>
          </w:p>
        </w:tc>
        <w:tc>
          <w:tcPr>
            <w:vAlign w:val="center"/>
          </w:tcPr>
          <w:p>
            <w:pPr>
              <w:jc w:val="right"/>
            </w:pPr>
            <w:r>
              <w:rPr>
                <w:color w:val="000000"/>
                <w:sz w:val="24"/>
              </w:rPr>
              <w:t>242,835.69</w:t>
            </w:r>
          </w:p>
        </w:tc>
        <w:tc>
          <w:tcPr>
            <w:vAlign w:val="center"/>
          </w:tcPr>
          <w:p>
            <w:pPr>
              <w:jc w:val="center"/>
            </w:pPr>
            <w:r>
              <w:rPr>
                <w:color w:val="000000"/>
                <w:sz w:val="24"/>
              </w:rPr>
              <w:t>-</w:t>
            </w:r>
          </w:p>
        </w:tc>
      </w:tr>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type="dxa" w:w="1851"/>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370"/>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701"/>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242,835.69</w:t>
            </w:r>
          </w:p>
        </w:tc>
        <w:tc>
          <w:tcPr>
            <w:tcW w:type="dxa" w:w="1842"/>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242,835.69</w:t>
            </w:r>
          </w:p>
        </w:tc>
        <w:tc>
          <w:tcPr>
            <w:tcW w:type="dxa" w:w="1397"/>
            <w:vAlign w:val="center"/>
          </w:tcPr>
          <w:p w:rsidP="00281564" w:rsidR="000F2DA3" w:rsidRDefault="000F2DA3" w:rsidRPr="000E4C40">
            <w:pPr>
              <w:adjustRightInd w:val="0"/>
              <w:snapToGrid w:val="0"/>
              <w:spacing w:before="29" w:line="288" w:lineRule="auto"/>
              <w:jc w:val="right"/>
              <w:rPr>
                <w:color w:val="0000FF"/>
                <w:kern w:val="0"/>
                <w:sz w:val="18"/>
              </w:rPr>
            </w:pPr>
          </w:p>
        </w:tc>
      </w:tr>
    </w:tbl>
    <w:p>
      <w:pPr>
        <w:autoSpaceDE w:val="0"/>
        <w:autoSpaceDN w:val="0"/>
        <w:adjustRightInd w:val="0"/>
        <w:spacing w:before="29" w:line="288" w:lineRule="auto"/>
        <w:jc w:val="left"/>
        <w:rPr>
          <w:color w:val="000000"/>
          <w:sz w:val="24"/>
        </w:rPr>
      </w:pPr>
      <w:r>
        <w:rPr>
          <w:color w:val="000000"/>
          <w:sz w:val="24"/>
        </w:rPr>
        <w:t>注：1、本基金管理人本报告期末持有本基金E类份额51,425,487.04份，占本基金期末E类基金总份额的0.69%，本基金管理人本报告期末持有本基金A类份额0.00份，占本基金期末A类基金总份额的0.00%。</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2、本基金收益分配按日结转份额。</w:t>
      </w:r>
    </w:p>
    <w:p w:rsidP="00281564" w:rsidR="0018245B" w:rsidRDefault="0018245B" w:rsidRPr="000E4C40">
      <w:pPr>
        <w:autoSpaceDE w:val="0"/>
        <w:autoSpaceDN w:val="0"/>
        <w:adjustRightInd w:val="0"/>
        <w:spacing w:before="29" w:line="288" w:lineRule="auto"/>
        <w:jc w:val="left"/>
        <w:rPr>
          <w:color w:val="000000"/>
          <w:sz w:val="24"/>
        </w:rPr>
      </w:pPr>
    </w:p>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8</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proofErr w:type="gramStart"/>
      <w:r w:rsidR="00F1658B" w:rsidRPr="000E4C40">
        <w:rPr>
          <w:b/>
          <w:color w:val="000000"/>
          <w:kern w:val="0"/>
          <w:sz w:val="24"/>
        </w:rPr>
        <w:t/>
      </w:r>
      <w:proofErr w:type="gramEnd"/>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1、中国证监会准予交银施罗德天益宝货币市场基金募集注册的文件； </w:t>
      </w:r>
    </w:p>
    <w:p>
      <w:pPr>
        <w:spacing w:before="29" w:line="288" w:lineRule="auto"/>
        <w:ind w:firstLine="480" w:firstLineChars="200"/>
        <w:rPr>
          <w:color w:val="000000"/>
          <w:sz w:val="24"/>
        </w:rPr>
      </w:pPr>
      <w:r>
        <w:rPr>
          <w:color w:val="000000"/>
          <w:sz w:val="24"/>
        </w:rPr>
        <w:t xml:space="preserve">2、《交银施罗德天益宝货币市场基金基金合同》； </w:t>
      </w:r>
    </w:p>
    <w:p>
      <w:pPr>
        <w:spacing w:before="29" w:line="288" w:lineRule="auto"/>
        <w:ind w:firstLine="480" w:firstLineChars="200"/>
        <w:rPr>
          <w:color w:val="000000"/>
          <w:sz w:val="24"/>
        </w:rPr>
      </w:pPr>
      <w:r>
        <w:rPr>
          <w:color w:val="000000"/>
          <w:sz w:val="24"/>
        </w:rPr>
        <w:t xml:space="preserve">3、《交银施罗德天益宝货币市场基金招募说明书》； </w:t>
      </w:r>
    </w:p>
    <w:p>
      <w:pPr>
        <w:spacing w:before="29" w:line="288" w:lineRule="auto"/>
        <w:ind w:firstLine="480" w:firstLineChars="200"/>
        <w:rPr>
          <w:color w:val="000000"/>
          <w:sz w:val="24"/>
        </w:rPr>
      </w:pPr>
      <w:r>
        <w:rPr>
          <w:color w:val="000000"/>
          <w:sz w:val="24"/>
        </w:rPr>
        <w:t xml:space="preserve">4、《交银施罗德天益宝货币市场基金托管协议》； </w:t>
      </w:r>
    </w:p>
    <w:p>
      <w:pPr>
        <w:spacing w:before="29" w:line="288" w:lineRule="auto"/>
        <w:ind w:firstLine="480" w:firstLineChars="200"/>
        <w:rPr>
          <w:color w:val="000000"/>
          <w:sz w:val="24"/>
        </w:rPr>
      </w:pPr>
      <w:r>
        <w:rPr>
          <w:color w:val="000000"/>
          <w:sz w:val="24"/>
        </w:rPr>
        <w:t xml:space="preserve">5、关于申请募集注册交银施罗德天益宝货币市场基金的法律意见书；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8、报告期内交银施罗德天益宝货币市场基金在指定报刊上各项公告的原稿。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proofErr w:type="gramStart"/>
      <w:r w:rsidR="00F1658B" w:rsidRPr="000E4C40">
        <w:rPr>
          <w:b/>
          <w:color w:val="000000"/>
          <w:kern w:val="0"/>
          <w:sz w:val="24"/>
        </w:rPr>
        <w:t/>
      </w:r>
      <w:proofErr w:type="gramEnd"/>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proofErr w:type="gramStart"/>
      <w:r w:rsidR="00F1658B" w:rsidRPr="000E4C40">
        <w:rPr>
          <w:b/>
          <w:color w:val="000000"/>
          <w:kern w:val="0"/>
          <w:sz w:val="24"/>
        </w:rPr>
        <w:t/>
      </w:r>
      <w:proofErr w:type="gramEnd"/>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39A" w:rsidRDefault="00D3539A">
      <w:r>
        <w:separator/>
      </w:r>
    </w:p>
  </w:endnote>
  <w:endnote w:type="continuationSeparator" w:id="0">
    <w:p w:rsidR="00D3539A" w:rsidRDefault="00D3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F34CE">
      <w:rPr>
        <w:noProof/>
        <w:kern w:val="0"/>
        <w:szCs w:val="21"/>
      </w:rPr>
      <w:t>23</w:t>
    </w:r>
    <w:r>
      <w:rPr>
        <w:kern w:val="0"/>
        <w:szCs w:val="21"/>
      </w:rPr>
      <w:fldChar w:fldCharType="end"/>
    </w:r>
    <w:proofErr w:type="gramStart"/>
    <w:r>
      <w:rPr>
        <w:rFonts w:hint="eastAsia"/>
        <w:kern w:val="0"/>
        <w:szCs w:val="21"/>
      </w:rPr>
      <w:t>页共</w:t>
    </w:r>
    <w:proofErr w:type="gramEnd"/>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8F34CE">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D3539A" w:rsidRDefault="00D3539A">
      <w:r>
        <w:separator/>
      </w:r>
    </w:p>
  </w:footnote>
  <w:footnote w:id="0" w:type="continuationSeparator">
    <w:p w:rsidR="00D3539A" w:rsidRDefault="00D3539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交银施罗德天益宝货币市场基金</w:t>
    </w:r>
    <w:proofErr w:type="spellStart"/>
    <w:r w:rsidRPr="003E676C">
      <w:rPr>
        <w:sz w:val="24"/>
        <w:szCs w:val="24"/>
      </w:rPr>
      <w:t/>
    </w:r>
    <w:proofErr w:type="spellEnd"/>
    <w:r w:rsidRPr="003E676C">
      <w:rPr>
        <w:sz w:val="24"/>
        <w:szCs w:val="24"/>
      </w:rPr>
      <w:t>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proofState w:grammar="clean"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73816A4-F601-4D3D-A69D-0F61F348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23</Pages>
  <Words>3613</Words>
  <Characters>20600</Characters>
  <Application>Microsoft Office Word</Application>
  <DocSecurity>0</DocSecurity>
  <Lines>171</Lines>
  <Paragraphs>48</Paragraphs>
  <ScaleCrop>false</ScaleCrop>
  <Company>jysld</Company>
  <LinksUpToDate>false</LinksUpToDate>
  <CharactersWithSpaces>24165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2020-04-08T01:27:00Z</dcterms:modified>
  <cp:revision>336</cp:revision>
</cp:coreProperties>
</file>