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D4CEE" w:rsidRDefault="00C20C9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2,938,697,898.56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20C95" w:rsidRPr="00414345" w:rsidTr="00C20C9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20C95" w:rsidRPr="00414345" w:rsidTr="00C20C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-28,154,092.55</w:t>
            </w:r>
          </w:p>
        </w:tc>
      </w:tr>
      <w:tr w:rsidR="00C20C95" w:rsidRPr="00414345" w:rsidTr="00C20C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938,134,635.20</w:t>
            </w:r>
          </w:p>
        </w:tc>
      </w:tr>
      <w:tr w:rsidR="00C20C95" w:rsidRPr="00414345" w:rsidTr="00C20C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0.3588</w:t>
            </w:r>
          </w:p>
        </w:tc>
      </w:tr>
      <w:tr w:rsidR="00C20C95" w:rsidRPr="00414345" w:rsidTr="00C20C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5,060,256,293.60</w:t>
            </w:r>
          </w:p>
        </w:tc>
      </w:tr>
      <w:tr w:rsidR="00C20C95" w:rsidRPr="00414345" w:rsidTr="00C20C9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1.722</w:t>
            </w:r>
          </w:p>
        </w:tc>
      </w:tr>
    </w:tbl>
    <w:p w:rsidR="000D4CEE" w:rsidRDefault="00C20C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D4CEE">
        <w:trPr>
          <w:jc w:val="center"/>
        </w:trPr>
        <w:tc>
          <w:tcPr>
            <w:tcW w:w="1701" w:type="dxa"/>
            <w:vAlign w:val="center"/>
          </w:tcPr>
          <w:p w:rsidR="000D4CEE" w:rsidRDefault="00C20C95">
            <w:pPr>
              <w:jc w:val="left"/>
            </w:pPr>
            <w:r>
              <w:rPr>
                <w:color w:val="000000"/>
                <w:sz w:val="24"/>
                <w:szCs w:val="24"/>
              </w:rPr>
              <w:t>过去三个月</w:t>
            </w:r>
          </w:p>
        </w:tc>
        <w:tc>
          <w:tcPr>
            <w:tcW w:w="1045" w:type="dxa"/>
            <w:vAlign w:val="center"/>
          </w:tcPr>
          <w:p w:rsidR="000D4CEE" w:rsidRDefault="00C20C95">
            <w:pPr>
              <w:jc w:val="center"/>
            </w:pPr>
            <w:r>
              <w:rPr>
                <w:color w:val="000000"/>
                <w:sz w:val="24"/>
                <w:szCs w:val="24"/>
              </w:rPr>
              <w:t>25.88%</w:t>
            </w:r>
          </w:p>
        </w:tc>
        <w:tc>
          <w:tcPr>
            <w:tcW w:w="1344" w:type="dxa"/>
            <w:vAlign w:val="center"/>
          </w:tcPr>
          <w:p w:rsidR="000D4CEE" w:rsidRDefault="00C20C95">
            <w:pPr>
              <w:jc w:val="center"/>
            </w:pPr>
            <w:r>
              <w:rPr>
                <w:color w:val="000000"/>
                <w:sz w:val="24"/>
                <w:szCs w:val="24"/>
              </w:rPr>
              <w:t>1.23%</w:t>
            </w:r>
          </w:p>
        </w:tc>
        <w:tc>
          <w:tcPr>
            <w:tcW w:w="1194" w:type="dxa"/>
            <w:vAlign w:val="center"/>
          </w:tcPr>
          <w:p w:rsidR="000D4CEE" w:rsidRDefault="00C20C95">
            <w:pPr>
              <w:jc w:val="center"/>
            </w:pPr>
            <w:r>
              <w:rPr>
                <w:color w:val="000000"/>
                <w:sz w:val="24"/>
                <w:szCs w:val="24"/>
              </w:rPr>
              <w:t>7.54%</w:t>
            </w:r>
          </w:p>
        </w:tc>
        <w:tc>
          <w:tcPr>
            <w:tcW w:w="1492" w:type="dxa"/>
            <w:vAlign w:val="center"/>
          </w:tcPr>
          <w:p w:rsidR="000D4CEE" w:rsidRDefault="00C20C95">
            <w:pPr>
              <w:jc w:val="center"/>
            </w:pPr>
            <w:r>
              <w:rPr>
                <w:color w:val="000000"/>
                <w:sz w:val="24"/>
                <w:szCs w:val="24"/>
              </w:rPr>
              <w:t>0.54%</w:t>
            </w:r>
          </w:p>
        </w:tc>
        <w:tc>
          <w:tcPr>
            <w:tcW w:w="1194" w:type="dxa"/>
            <w:vAlign w:val="center"/>
          </w:tcPr>
          <w:p w:rsidR="000D4CEE" w:rsidRDefault="00C20C95">
            <w:pPr>
              <w:jc w:val="center"/>
            </w:pPr>
            <w:r>
              <w:rPr>
                <w:color w:val="000000"/>
                <w:sz w:val="24"/>
                <w:szCs w:val="24"/>
              </w:rPr>
              <w:t>18.34%</w:t>
            </w:r>
          </w:p>
        </w:tc>
        <w:tc>
          <w:tcPr>
            <w:tcW w:w="898" w:type="dxa"/>
            <w:vAlign w:val="center"/>
          </w:tcPr>
          <w:p w:rsidR="000D4CEE" w:rsidRDefault="00C20C95">
            <w:pPr>
              <w:jc w:val="center"/>
            </w:pPr>
            <w:r>
              <w:rPr>
                <w:color w:val="000000"/>
                <w:sz w:val="24"/>
                <w:szCs w:val="24"/>
              </w:rPr>
              <w:t>0.69%</w:t>
            </w:r>
          </w:p>
        </w:tc>
      </w:tr>
      <w:tr w:rsidR="000D4CEE">
        <w:trPr>
          <w:jc w:val="center"/>
        </w:trPr>
        <w:tc>
          <w:tcPr>
            <w:tcW w:w="1701" w:type="dxa"/>
            <w:vAlign w:val="center"/>
          </w:tcPr>
          <w:p w:rsidR="000D4CEE" w:rsidRDefault="00C20C95">
            <w:pPr>
              <w:jc w:val="left"/>
            </w:pPr>
            <w:r>
              <w:rPr>
                <w:color w:val="000000"/>
                <w:sz w:val="24"/>
                <w:szCs w:val="24"/>
              </w:rPr>
              <w:t>过去六个月</w:t>
            </w:r>
          </w:p>
        </w:tc>
        <w:tc>
          <w:tcPr>
            <w:tcW w:w="1045" w:type="dxa"/>
            <w:vAlign w:val="center"/>
          </w:tcPr>
          <w:p w:rsidR="000D4CEE" w:rsidRDefault="00C20C95">
            <w:pPr>
              <w:jc w:val="center"/>
            </w:pPr>
            <w:r>
              <w:rPr>
                <w:color w:val="000000"/>
                <w:sz w:val="24"/>
                <w:szCs w:val="24"/>
              </w:rPr>
              <w:t>36.99%</w:t>
            </w:r>
          </w:p>
        </w:tc>
        <w:tc>
          <w:tcPr>
            <w:tcW w:w="1344" w:type="dxa"/>
            <w:vAlign w:val="center"/>
          </w:tcPr>
          <w:p w:rsidR="000D4CEE" w:rsidRDefault="00C20C95">
            <w:pPr>
              <w:jc w:val="center"/>
            </w:pPr>
            <w:r>
              <w:rPr>
                <w:color w:val="000000"/>
                <w:sz w:val="24"/>
                <w:szCs w:val="24"/>
              </w:rPr>
              <w:t>1.90%</w:t>
            </w:r>
          </w:p>
        </w:tc>
        <w:tc>
          <w:tcPr>
            <w:tcW w:w="1194" w:type="dxa"/>
            <w:vAlign w:val="center"/>
          </w:tcPr>
          <w:p w:rsidR="000D4CEE" w:rsidRDefault="00C20C95">
            <w:pPr>
              <w:jc w:val="center"/>
            </w:pPr>
            <w:r>
              <w:rPr>
                <w:color w:val="000000"/>
                <w:sz w:val="24"/>
                <w:szCs w:val="24"/>
              </w:rPr>
              <w:t>2.27%</w:t>
            </w:r>
          </w:p>
        </w:tc>
        <w:tc>
          <w:tcPr>
            <w:tcW w:w="1492" w:type="dxa"/>
            <w:vAlign w:val="center"/>
          </w:tcPr>
          <w:p w:rsidR="000D4CEE" w:rsidRDefault="00C20C95">
            <w:pPr>
              <w:jc w:val="center"/>
            </w:pPr>
            <w:r>
              <w:rPr>
                <w:color w:val="000000"/>
                <w:sz w:val="24"/>
                <w:szCs w:val="24"/>
              </w:rPr>
              <w:t>0.90%</w:t>
            </w:r>
          </w:p>
        </w:tc>
        <w:tc>
          <w:tcPr>
            <w:tcW w:w="1194" w:type="dxa"/>
            <w:vAlign w:val="center"/>
          </w:tcPr>
          <w:p w:rsidR="000D4CEE" w:rsidRDefault="00C20C95">
            <w:pPr>
              <w:jc w:val="center"/>
            </w:pPr>
            <w:r>
              <w:rPr>
                <w:color w:val="000000"/>
                <w:sz w:val="24"/>
                <w:szCs w:val="24"/>
              </w:rPr>
              <w:t>34.72%</w:t>
            </w:r>
          </w:p>
        </w:tc>
        <w:tc>
          <w:tcPr>
            <w:tcW w:w="898" w:type="dxa"/>
            <w:vAlign w:val="center"/>
          </w:tcPr>
          <w:p w:rsidR="000D4CEE" w:rsidRDefault="00C20C95">
            <w:pPr>
              <w:jc w:val="center"/>
            </w:pPr>
            <w:r>
              <w:rPr>
                <w:color w:val="000000"/>
                <w:sz w:val="24"/>
                <w:szCs w:val="24"/>
              </w:rPr>
              <w:t>1.00%</w:t>
            </w:r>
          </w:p>
        </w:tc>
      </w:tr>
      <w:tr w:rsidR="000D4CEE">
        <w:trPr>
          <w:jc w:val="center"/>
        </w:trPr>
        <w:tc>
          <w:tcPr>
            <w:tcW w:w="1701" w:type="dxa"/>
            <w:vAlign w:val="center"/>
          </w:tcPr>
          <w:p w:rsidR="000D4CEE" w:rsidRDefault="00C20C95">
            <w:pPr>
              <w:jc w:val="left"/>
            </w:pPr>
            <w:r>
              <w:rPr>
                <w:color w:val="000000"/>
                <w:sz w:val="24"/>
                <w:szCs w:val="24"/>
              </w:rPr>
              <w:lastRenderedPageBreak/>
              <w:t>过去一年</w:t>
            </w:r>
          </w:p>
        </w:tc>
        <w:tc>
          <w:tcPr>
            <w:tcW w:w="1045" w:type="dxa"/>
            <w:vAlign w:val="center"/>
          </w:tcPr>
          <w:p w:rsidR="000D4CEE" w:rsidRDefault="00C20C95">
            <w:pPr>
              <w:jc w:val="center"/>
            </w:pPr>
            <w:r>
              <w:rPr>
                <w:color w:val="000000"/>
                <w:sz w:val="24"/>
                <w:szCs w:val="24"/>
              </w:rPr>
              <w:t>97.93%</w:t>
            </w:r>
          </w:p>
        </w:tc>
        <w:tc>
          <w:tcPr>
            <w:tcW w:w="1344" w:type="dxa"/>
            <w:vAlign w:val="center"/>
          </w:tcPr>
          <w:p w:rsidR="000D4CEE" w:rsidRDefault="00C20C95">
            <w:pPr>
              <w:jc w:val="center"/>
            </w:pPr>
            <w:r>
              <w:rPr>
                <w:color w:val="000000"/>
                <w:sz w:val="24"/>
                <w:szCs w:val="24"/>
              </w:rPr>
              <w:t>1.61%</w:t>
            </w:r>
          </w:p>
        </w:tc>
        <w:tc>
          <w:tcPr>
            <w:tcW w:w="1194" w:type="dxa"/>
            <w:vAlign w:val="center"/>
          </w:tcPr>
          <w:p w:rsidR="000D4CEE" w:rsidRDefault="00C20C95">
            <w:pPr>
              <w:jc w:val="center"/>
            </w:pPr>
            <w:r>
              <w:rPr>
                <w:color w:val="000000"/>
                <w:sz w:val="24"/>
                <w:szCs w:val="24"/>
              </w:rPr>
              <w:t>7.78%</w:t>
            </w:r>
          </w:p>
        </w:tc>
        <w:tc>
          <w:tcPr>
            <w:tcW w:w="1492" w:type="dxa"/>
            <w:vAlign w:val="center"/>
          </w:tcPr>
          <w:p w:rsidR="000D4CEE" w:rsidRDefault="00C20C95">
            <w:pPr>
              <w:jc w:val="center"/>
            </w:pPr>
            <w:r>
              <w:rPr>
                <w:color w:val="000000"/>
                <w:sz w:val="24"/>
                <w:szCs w:val="24"/>
              </w:rPr>
              <w:t>0.72%</w:t>
            </w:r>
          </w:p>
        </w:tc>
        <w:tc>
          <w:tcPr>
            <w:tcW w:w="1194" w:type="dxa"/>
            <w:vAlign w:val="center"/>
          </w:tcPr>
          <w:p w:rsidR="000D4CEE" w:rsidRDefault="00C20C95">
            <w:pPr>
              <w:jc w:val="center"/>
            </w:pPr>
            <w:r>
              <w:rPr>
                <w:color w:val="000000"/>
                <w:sz w:val="24"/>
                <w:szCs w:val="24"/>
              </w:rPr>
              <w:t>90.15%</w:t>
            </w:r>
          </w:p>
        </w:tc>
        <w:tc>
          <w:tcPr>
            <w:tcW w:w="898" w:type="dxa"/>
            <w:vAlign w:val="center"/>
          </w:tcPr>
          <w:p w:rsidR="000D4CEE" w:rsidRDefault="00C20C95">
            <w:pPr>
              <w:jc w:val="center"/>
            </w:pPr>
            <w:r>
              <w:rPr>
                <w:color w:val="000000"/>
                <w:sz w:val="24"/>
                <w:szCs w:val="24"/>
              </w:rPr>
              <w:t>0.89%</w:t>
            </w:r>
          </w:p>
        </w:tc>
      </w:tr>
      <w:tr w:rsidR="000D4CEE">
        <w:trPr>
          <w:jc w:val="center"/>
        </w:trPr>
        <w:tc>
          <w:tcPr>
            <w:tcW w:w="1701" w:type="dxa"/>
            <w:vAlign w:val="center"/>
          </w:tcPr>
          <w:p w:rsidR="000D4CEE" w:rsidRDefault="00C20C95">
            <w:pPr>
              <w:jc w:val="left"/>
            </w:pPr>
            <w:r>
              <w:rPr>
                <w:color w:val="000000"/>
                <w:sz w:val="24"/>
                <w:szCs w:val="24"/>
              </w:rPr>
              <w:t>过去三年</w:t>
            </w:r>
          </w:p>
        </w:tc>
        <w:tc>
          <w:tcPr>
            <w:tcW w:w="1045" w:type="dxa"/>
            <w:vAlign w:val="center"/>
          </w:tcPr>
          <w:p w:rsidR="000D4CEE" w:rsidRDefault="00C20C95">
            <w:pPr>
              <w:jc w:val="center"/>
            </w:pPr>
            <w:r>
              <w:rPr>
                <w:color w:val="000000"/>
                <w:sz w:val="24"/>
                <w:szCs w:val="24"/>
              </w:rPr>
              <w:t>109.49%</w:t>
            </w:r>
          </w:p>
        </w:tc>
        <w:tc>
          <w:tcPr>
            <w:tcW w:w="1344" w:type="dxa"/>
            <w:vAlign w:val="center"/>
          </w:tcPr>
          <w:p w:rsidR="000D4CEE" w:rsidRDefault="00C20C95">
            <w:pPr>
              <w:jc w:val="center"/>
            </w:pPr>
            <w:r>
              <w:rPr>
                <w:color w:val="000000"/>
                <w:sz w:val="24"/>
                <w:szCs w:val="24"/>
              </w:rPr>
              <w:t>1.70%</w:t>
            </w:r>
          </w:p>
        </w:tc>
        <w:tc>
          <w:tcPr>
            <w:tcW w:w="1194" w:type="dxa"/>
            <w:vAlign w:val="center"/>
          </w:tcPr>
          <w:p w:rsidR="000D4CEE" w:rsidRDefault="00C20C95">
            <w:pPr>
              <w:jc w:val="center"/>
            </w:pPr>
            <w:r>
              <w:rPr>
                <w:color w:val="000000"/>
                <w:sz w:val="24"/>
                <w:szCs w:val="24"/>
              </w:rPr>
              <w:t>16.18%</w:t>
            </w:r>
          </w:p>
        </w:tc>
        <w:tc>
          <w:tcPr>
            <w:tcW w:w="1492" w:type="dxa"/>
            <w:vAlign w:val="center"/>
          </w:tcPr>
          <w:p w:rsidR="000D4CEE" w:rsidRDefault="00C20C95">
            <w:pPr>
              <w:jc w:val="center"/>
            </w:pPr>
            <w:r>
              <w:rPr>
                <w:color w:val="000000"/>
                <w:sz w:val="24"/>
                <w:szCs w:val="24"/>
              </w:rPr>
              <w:t>0.75%</w:t>
            </w:r>
          </w:p>
        </w:tc>
        <w:tc>
          <w:tcPr>
            <w:tcW w:w="1194" w:type="dxa"/>
            <w:vAlign w:val="center"/>
          </w:tcPr>
          <w:p w:rsidR="000D4CEE" w:rsidRDefault="00C20C95">
            <w:pPr>
              <w:jc w:val="center"/>
            </w:pPr>
            <w:r>
              <w:rPr>
                <w:color w:val="000000"/>
                <w:sz w:val="24"/>
                <w:szCs w:val="24"/>
              </w:rPr>
              <w:t>93.31%</w:t>
            </w:r>
          </w:p>
        </w:tc>
        <w:tc>
          <w:tcPr>
            <w:tcW w:w="898" w:type="dxa"/>
            <w:vAlign w:val="center"/>
          </w:tcPr>
          <w:p w:rsidR="000D4CEE" w:rsidRDefault="00C20C95">
            <w:pPr>
              <w:jc w:val="center"/>
            </w:pPr>
            <w:r>
              <w:rPr>
                <w:color w:val="000000"/>
                <w:sz w:val="24"/>
                <w:szCs w:val="24"/>
              </w:rPr>
              <w:t>0.95%</w:t>
            </w:r>
          </w:p>
        </w:tc>
      </w:tr>
      <w:tr w:rsidR="000D4CEE">
        <w:trPr>
          <w:jc w:val="center"/>
        </w:trPr>
        <w:tc>
          <w:tcPr>
            <w:tcW w:w="1701" w:type="dxa"/>
            <w:vAlign w:val="center"/>
          </w:tcPr>
          <w:p w:rsidR="000D4CEE" w:rsidRDefault="00C20C95">
            <w:pPr>
              <w:jc w:val="left"/>
            </w:pPr>
            <w:r>
              <w:rPr>
                <w:color w:val="000000"/>
                <w:sz w:val="24"/>
                <w:szCs w:val="24"/>
              </w:rPr>
              <w:t>自基金合同生效起至今</w:t>
            </w:r>
          </w:p>
        </w:tc>
        <w:tc>
          <w:tcPr>
            <w:tcW w:w="1045" w:type="dxa"/>
            <w:vAlign w:val="center"/>
          </w:tcPr>
          <w:p w:rsidR="000D4CEE" w:rsidRDefault="00C20C95">
            <w:pPr>
              <w:jc w:val="center"/>
            </w:pPr>
            <w:r>
              <w:rPr>
                <w:color w:val="000000"/>
                <w:sz w:val="24"/>
                <w:szCs w:val="24"/>
              </w:rPr>
              <w:t>72.20%</w:t>
            </w:r>
          </w:p>
        </w:tc>
        <w:tc>
          <w:tcPr>
            <w:tcW w:w="1344" w:type="dxa"/>
            <w:vAlign w:val="center"/>
          </w:tcPr>
          <w:p w:rsidR="000D4CEE" w:rsidRDefault="00C20C95">
            <w:pPr>
              <w:jc w:val="center"/>
            </w:pPr>
            <w:r>
              <w:rPr>
                <w:color w:val="000000"/>
                <w:sz w:val="24"/>
                <w:szCs w:val="24"/>
              </w:rPr>
              <w:t>1.59%</w:t>
            </w:r>
          </w:p>
        </w:tc>
        <w:tc>
          <w:tcPr>
            <w:tcW w:w="1194" w:type="dxa"/>
            <w:vAlign w:val="center"/>
          </w:tcPr>
          <w:p w:rsidR="000D4CEE" w:rsidRDefault="00C20C95">
            <w:pPr>
              <w:jc w:val="center"/>
            </w:pPr>
            <w:r>
              <w:rPr>
                <w:color w:val="000000"/>
                <w:sz w:val="24"/>
                <w:szCs w:val="24"/>
              </w:rPr>
              <w:t>21.37%</w:t>
            </w:r>
          </w:p>
        </w:tc>
        <w:tc>
          <w:tcPr>
            <w:tcW w:w="1492" w:type="dxa"/>
            <w:vAlign w:val="center"/>
          </w:tcPr>
          <w:p w:rsidR="000D4CEE" w:rsidRDefault="00C20C95">
            <w:pPr>
              <w:jc w:val="center"/>
            </w:pPr>
            <w:r>
              <w:rPr>
                <w:color w:val="000000"/>
                <w:sz w:val="24"/>
                <w:szCs w:val="24"/>
              </w:rPr>
              <w:t>0.68%</w:t>
            </w:r>
          </w:p>
        </w:tc>
        <w:tc>
          <w:tcPr>
            <w:tcW w:w="1194" w:type="dxa"/>
            <w:vAlign w:val="center"/>
          </w:tcPr>
          <w:p w:rsidR="000D4CEE" w:rsidRDefault="00C20C95">
            <w:pPr>
              <w:jc w:val="center"/>
            </w:pPr>
            <w:r>
              <w:rPr>
                <w:color w:val="000000"/>
                <w:sz w:val="24"/>
                <w:szCs w:val="24"/>
              </w:rPr>
              <w:t>50.83%</w:t>
            </w:r>
          </w:p>
        </w:tc>
        <w:tc>
          <w:tcPr>
            <w:tcW w:w="898" w:type="dxa"/>
            <w:vAlign w:val="center"/>
          </w:tcPr>
          <w:p w:rsidR="000D4CEE" w:rsidRDefault="00C20C95">
            <w:pPr>
              <w:jc w:val="center"/>
            </w:pPr>
            <w:r>
              <w:rPr>
                <w:color w:val="000000"/>
                <w:sz w:val="24"/>
                <w:szCs w:val="24"/>
              </w:rPr>
              <w:t>0.91%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D4CEE">
        <w:trPr>
          <w:jc w:val="center"/>
        </w:trPr>
        <w:tc>
          <w:tcPr>
            <w:tcW w:w="846" w:type="dxa"/>
            <w:vAlign w:val="center"/>
          </w:tcPr>
          <w:p w:rsidR="000D4CEE" w:rsidRDefault="00C20C95">
            <w:pPr>
              <w:jc w:val="center"/>
            </w:pPr>
            <w:r>
              <w:rPr>
                <w:color w:val="000000"/>
                <w:sz w:val="24"/>
                <w:szCs w:val="24"/>
              </w:rPr>
              <w:t>田彧</w:t>
            </w:r>
            <w:r>
              <w:rPr>
                <w:color w:val="000000"/>
                <w:sz w:val="24"/>
                <w:szCs w:val="24"/>
              </w:rPr>
              <w:lastRenderedPageBreak/>
              <w:t>龙</w:t>
            </w:r>
          </w:p>
        </w:tc>
        <w:tc>
          <w:tcPr>
            <w:tcW w:w="845" w:type="dxa"/>
            <w:vAlign w:val="center"/>
          </w:tcPr>
          <w:p w:rsidR="000D4CEE" w:rsidRDefault="00C20C95">
            <w:pPr>
              <w:jc w:val="center"/>
            </w:pPr>
            <w:r>
              <w:rPr>
                <w:color w:val="000000"/>
                <w:sz w:val="24"/>
                <w:szCs w:val="24"/>
              </w:rPr>
              <w:lastRenderedPageBreak/>
              <w:t>交银</w:t>
            </w:r>
            <w:r>
              <w:rPr>
                <w:color w:val="000000"/>
                <w:sz w:val="24"/>
                <w:szCs w:val="24"/>
              </w:rPr>
              <w:lastRenderedPageBreak/>
              <w:t>数据产业灵活配置混合、交银科锐科技创新混合的基金经理</w:t>
            </w:r>
          </w:p>
        </w:tc>
        <w:tc>
          <w:tcPr>
            <w:tcW w:w="1549" w:type="dxa"/>
            <w:vAlign w:val="center"/>
          </w:tcPr>
          <w:p w:rsidR="000D4CEE" w:rsidRDefault="00C20C95">
            <w:pPr>
              <w:jc w:val="center"/>
            </w:pPr>
            <w:r>
              <w:rPr>
                <w:color w:val="000000"/>
                <w:sz w:val="24"/>
                <w:szCs w:val="24"/>
              </w:rPr>
              <w:lastRenderedPageBreak/>
              <w:t>2019-05-14</w:t>
            </w:r>
          </w:p>
        </w:tc>
        <w:tc>
          <w:tcPr>
            <w:tcW w:w="1548" w:type="dxa"/>
            <w:vAlign w:val="center"/>
          </w:tcPr>
          <w:p w:rsidR="000D4CEE" w:rsidRDefault="00C20C95">
            <w:pPr>
              <w:jc w:val="center"/>
            </w:pPr>
            <w:r>
              <w:rPr>
                <w:color w:val="000000"/>
                <w:sz w:val="24"/>
                <w:szCs w:val="24"/>
              </w:rPr>
              <w:t>-</w:t>
            </w:r>
          </w:p>
        </w:tc>
        <w:tc>
          <w:tcPr>
            <w:tcW w:w="1407" w:type="dxa"/>
            <w:vAlign w:val="center"/>
          </w:tcPr>
          <w:p w:rsidR="000D4CEE" w:rsidRDefault="00C20C95">
            <w:pPr>
              <w:jc w:val="center"/>
            </w:pPr>
            <w:r>
              <w:rPr>
                <w:color w:val="000000"/>
                <w:sz w:val="24"/>
                <w:szCs w:val="24"/>
              </w:rPr>
              <w:t>6</w:t>
            </w:r>
            <w:r>
              <w:rPr>
                <w:color w:val="000000"/>
                <w:sz w:val="24"/>
                <w:szCs w:val="24"/>
              </w:rPr>
              <w:t>年</w:t>
            </w:r>
          </w:p>
        </w:tc>
        <w:tc>
          <w:tcPr>
            <w:tcW w:w="2673" w:type="dxa"/>
            <w:vAlign w:val="center"/>
          </w:tcPr>
          <w:p w:rsidR="000D4CEE" w:rsidRDefault="00C20C95">
            <w:r>
              <w:rPr>
                <w:color w:val="000000"/>
                <w:sz w:val="24"/>
                <w:szCs w:val="24"/>
              </w:rPr>
              <w:t>田彧龙先生，上海交通</w:t>
            </w:r>
            <w:r>
              <w:rPr>
                <w:color w:val="000000"/>
                <w:sz w:val="24"/>
                <w:szCs w:val="24"/>
              </w:rPr>
              <w:lastRenderedPageBreak/>
              <w:t>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D4CEE" w:rsidRDefault="00C20C9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D4CEE" w:rsidRDefault="00C20C9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D4CEE" w:rsidRDefault="00C20C9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D4CEE" w:rsidRDefault="00C20C95">
      <w:pPr>
        <w:spacing w:before="29" w:line="288" w:lineRule="auto"/>
        <w:ind w:firstLineChars="200" w:firstLine="480"/>
        <w:rPr>
          <w:color w:val="000000"/>
          <w:sz w:val="24"/>
          <w:szCs w:val="24"/>
        </w:rPr>
      </w:pPr>
      <w:r>
        <w:rPr>
          <w:color w:val="000000"/>
          <w:sz w:val="24"/>
          <w:szCs w:val="24"/>
        </w:rPr>
        <w:t>2020</w:t>
      </w:r>
      <w:r>
        <w:rPr>
          <w:color w:val="000000"/>
          <w:sz w:val="24"/>
          <w:szCs w:val="24"/>
        </w:rPr>
        <w:t>年二季度，为了应对新冠疫情对经济的冲击，各国都采取了较为宽松的货币政策和有利的财政政策。在此之下，市场开始出现了较为强劲的反弹。目前看来，疫情短期反复仍给经济复苏等带来不确定性。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年三季度，我们仍然看好以</w:t>
      </w:r>
      <w:r w:rsidRPr="00414345">
        <w:rPr>
          <w:color w:val="000000"/>
          <w:sz w:val="24"/>
          <w:szCs w:val="24"/>
        </w:rPr>
        <w:t>TMT</w:t>
      </w:r>
      <w:r w:rsidRPr="00414345">
        <w:rPr>
          <w:color w:val="000000"/>
          <w:sz w:val="24"/>
          <w:szCs w:val="24"/>
        </w:rPr>
        <w:t>为代表的数据产业领域，虽然短期部分公司需求受到经济冲击，但是长期来看，在新的一轮科技赋能周期下，中国科技公司仍将大有可为。新基建政策的发力，会给</w:t>
      </w:r>
      <w:r w:rsidRPr="00414345">
        <w:rPr>
          <w:color w:val="000000"/>
          <w:sz w:val="24"/>
          <w:szCs w:val="24"/>
        </w:rPr>
        <w:t>5G</w:t>
      </w:r>
      <w:r w:rsidRPr="00414345">
        <w:rPr>
          <w:color w:val="000000"/>
          <w:sz w:val="24"/>
          <w:szCs w:val="24"/>
        </w:rPr>
        <w:t>、</w:t>
      </w:r>
      <w:r w:rsidRPr="00414345">
        <w:rPr>
          <w:color w:val="000000"/>
          <w:sz w:val="24"/>
          <w:szCs w:val="24"/>
        </w:rPr>
        <w:t>IDC</w:t>
      </w:r>
      <w:r w:rsidRPr="00414345">
        <w:rPr>
          <w:color w:val="000000"/>
          <w:sz w:val="24"/>
          <w:szCs w:val="24"/>
        </w:rPr>
        <w:t>等产业注入活力，同样值得重点关注。与此同时，我们关注到科创板有越来越多优质公司出现，这些公司管理架构优异，机制灵活，相信中长期来看，科创板或可诞生伟大公司。宏观层面，我们将重点关注流动性拐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4,459,337,552.45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4,459,337,552.45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190,033,000.00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190,033,000.00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481,438,727.02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65,627,051.77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5,196,436,331.24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102,088,359.45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3,254,899,580.25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124,907,450.00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356,057,482.12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93,102,759.58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167,980,472.08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127,793,828.25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232,494,854.40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4,459,337,552.45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88.12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D4CEE">
        <w:trPr>
          <w:jc w:val="center"/>
        </w:trPr>
        <w:tc>
          <w:tcPr>
            <w:tcW w:w="855" w:type="dxa"/>
            <w:vAlign w:val="center"/>
          </w:tcPr>
          <w:p w:rsidR="000D4CEE" w:rsidRDefault="00C20C95">
            <w:pPr>
              <w:jc w:val="center"/>
            </w:pPr>
            <w:r>
              <w:rPr>
                <w:color w:val="000000"/>
                <w:sz w:val="24"/>
                <w:szCs w:val="24"/>
              </w:rPr>
              <w:t>1</w:t>
            </w:r>
          </w:p>
        </w:tc>
        <w:tc>
          <w:tcPr>
            <w:tcW w:w="1334" w:type="dxa"/>
            <w:vAlign w:val="center"/>
          </w:tcPr>
          <w:p w:rsidR="000D4CEE" w:rsidRDefault="00C20C95">
            <w:pPr>
              <w:jc w:val="center"/>
            </w:pPr>
            <w:r>
              <w:rPr>
                <w:color w:val="000000"/>
                <w:sz w:val="24"/>
                <w:szCs w:val="24"/>
              </w:rPr>
              <w:t>002837</w:t>
            </w:r>
          </w:p>
        </w:tc>
        <w:tc>
          <w:tcPr>
            <w:tcW w:w="1777" w:type="dxa"/>
            <w:vAlign w:val="center"/>
          </w:tcPr>
          <w:p w:rsidR="000D4CEE" w:rsidRDefault="00C20C95">
            <w:pPr>
              <w:jc w:val="center"/>
            </w:pPr>
            <w:r>
              <w:rPr>
                <w:color w:val="000000"/>
                <w:sz w:val="24"/>
                <w:szCs w:val="24"/>
              </w:rPr>
              <w:t>英维克</w:t>
            </w:r>
          </w:p>
        </w:tc>
        <w:tc>
          <w:tcPr>
            <w:tcW w:w="1334" w:type="dxa"/>
            <w:vAlign w:val="center"/>
          </w:tcPr>
          <w:p w:rsidR="000D4CEE" w:rsidRDefault="00C20C95">
            <w:pPr>
              <w:jc w:val="right"/>
            </w:pPr>
            <w:r>
              <w:rPr>
                <w:color w:val="000000"/>
                <w:sz w:val="24"/>
                <w:szCs w:val="24"/>
              </w:rPr>
              <w:t>11,213,008</w:t>
            </w:r>
          </w:p>
        </w:tc>
        <w:tc>
          <w:tcPr>
            <w:tcW w:w="1924" w:type="dxa"/>
            <w:vAlign w:val="center"/>
          </w:tcPr>
          <w:p w:rsidR="000D4CEE" w:rsidRDefault="00C20C95">
            <w:pPr>
              <w:jc w:val="right"/>
            </w:pPr>
            <w:r>
              <w:rPr>
                <w:color w:val="000000"/>
                <w:sz w:val="24"/>
                <w:szCs w:val="24"/>
              </w:rPr>
              <w:t>332,129,296.96</w:t>
            </w:r>
          </w:p>
        </w:tc>
        <w:tc>
          <w:tcPr>
            <w:tcW w:w="1644" w:type="dxa"/>
            <w:vAlign w:val="center"/>
          </w:tcPr>
          <w:p w:rsidR="000D4CEE" w:rsidRDefault="00C20C95">
            <w:pPr>
              <w:jc w:val="right"/>
            </w:pPr>
            <w:r>
              <w:rPr>
                <w:color w:val="000000"/>
                <w:sz w:val="24"/>
                <w:szCs w:val="24"/>
              </w:rPr>
              <w:t>6.56</w:t>
            </w:r>
          </w:p>
        </w:tc>
      </w:tr>
      <w:tr w:rsidR="000D4CEE">
        <w:trPr>
          <w:jc w:val="center"/>
        </w:trPr>
        <w:tc>
          <w:tcPr>
            <w:tcW w:w="855" w:type="dxa"/>
            <w:vAlign w:val="center"/>
          </w:tcPr>
          <w:p w:rsidR="000D4CEE" w:rsidRDefault="00C20C95">
            <w:pPr>
              <w:jc w:val="center"/>
            </w:pPr>
            <w:r>
              <w:rPr>
                <w:color w:val="000000"/>
                <w:sz w:val="24"/>
                <w:szCs w:val="24"/>
              </w:rPr>
              <w:t>2</w:t>
            </w:r>
          </w:p>
        </w:tc>
        <w:tc>
          <w:tcPr>
            <w:tcW w:w="1334" w:type="dxa"/>
            <w:vAlign w:val="center"/>
          </w:tcPr>
          <w:p w:rsidR="000D4CEE" w:rsidRDefault="00C20C95">
            <w:pPr>
              <w:jc w:val="center"/>
            </w:pPr>
            <w:r>
              <w:rPr>
                <w:color w:val="000000"/>
                <w:sz w:val="24"/>
                <w:szCs w:val="24"/>
              </w:rPr>
              <w:t>002475</w:t>
            </w:r>
          </w:p>
        </w:tc>
        <w:tc>
          <w:tcPr>
            <w:tcW w:w="1777" w:type="dxa"/>
            <w:vAlign w:val="center"/>
          </w:tcPr>
          <w:p w:rsidR="000D4CEE" w:rsidRDefault="00C20C95">
            <w:pPr>
              <w:jc w:val="center"/>
            </w:pPr>
            <w:r>
              <w:rPr>
                <w:color w:val="000000"/>
                <w:sz w:val="24"/>
                <w:szCs w:val="24"/>
              </w:rPr>
              <w:t>立讯精密</w:t>
            </w:r>
          </w:p>
        </w:tc>
        <w:tc>
          <w:tcPr>
            <w:tcW w:w="1334" w:type="dxa"/>
            <w:vAlign w:val="center"/>
          </w:tcPr>
          <w:p w:rsidR="000D4CEE" w:rsidRDefault="00C20C95">
            <w:pPr>
              <w:jc w:val="right"/>
            </w:pPr>
            <w:r>
              <w:rPr>
                <w:color w:val="000000"/>
                <w:sz w:val="24"/>
                <w:szCs w:val="24"/>
              </w:rPr>
              <w:t>5,316,221</w:t>
            </w:r>
          </w:p>
        </w:tc>
        <w:tc>
          <w:tcPr>
            <w:tcW w:w="1924" w:type="dxa"/>
            <w:vAlign w:val="center"/>
          </w:tcPr>
          <w:p w:rsidR="000D4CEE" w:rsidRDefault="00C20C95">
            <w:pPr>
              <w:jc w:val="right"/>
            </w:pPr>
            <w:r>
              <w:rPr>
                <w:color w:val="000000"/>
                <w:sz w:val="24"/>
                <w:szCs w:val="24"/>
              </w:rPr>
              <w:t>272,987,948.35</w:t>
            </w:r>
          </w:p>
        </w:tc>
        <w:tc>
          <w:tcPr>
            <w:tcW w:w="1644" w:type="dxa"/>
            <w:vAlign w:val="center"/>
          </w:tcPr>
          <w:p w:rsidR="000D4CEE" w:rsidRDefault="00C20C95">
            <w:pPr>
              <w:jc w:val="right"/>
            </w:pPr>
            <w:r>
              <w:rPr>
                <w:color w:val="000000"/>
                <w:sz w:val="24"/>
                <w:szCs w:val="24"/>
              </w:rPr>
              <w:t>5.39</w:t>
            </w:r>
          </w:p>
        </w:tc>
      </w:tr>
      <w:tr w:rsidR="000D4CEE">
        <w:trPr>
          <w:jc w:val="center"/>
        </w:trPr>
        <w:tc>
          <w:tcPr>
            <w:tcW w:w="855" w:type="dxa"/>
            <w:vAlign w:val="center"/>
          </w:tcPr>
          <w:p w:rsidR="000D4CEE" w:rsidRDefault="00C20C95">
            <w:pPr>
              <w:jc w:val="center"/>
            </w:pPr>
            <w:r>
              <w:rPr>
                <w:color w:val="000000"/>
                <w:sz w:val="24"/>
                <w:szCs w:val="24"/>
              </w:rPr>
              <w:t>3</w:t>
            </w:r>
          </w:p>
        </w:tc>
        <w:tc>
          <w:tcPr>
            <w:tcW w:w="1334" w:type="dxa"/>
            <w:vAlign w:val="center"/>
          </w:tcPr>
          <w:p w:rsidR="000D4CEE" w:rsidRDefault="00C20C95">
            <w:pPr>
              <w:jc w:val="center"/>
            </w:pPr>
            <w:r>
              <w:rPr>
                <w:color w:val="000000"/>
                <w:sz w:val="24"/>
                <w:szCs w:val="24"/>
              </w:rPr>
              <w:t>002050</w:t>
            </w:r>
          </w:p>
        </w:tc>
        <w:tc>
          <w:tcPr>
            <w:tcW w:w="1777" w:type="dxa"/>
            <w:vAlign w:val="center"/>
          </w:tcPr>
          <w:p w:rsidR="000D4CEE" w:rsidRDefault="00C20C95">
            <w:pPr>
              <w:jc w:val="center"/>
            </w:pPr>
            <w:r>
              <w:rPr>
                <w:color w:val="000000"/>
                <w:sz w:val="24"/>
                <w:szCs w:val="24"/>
              </w:rPr>
              <w:t>三花智控</w:t>
            </w:r>
          </w:p>
        </w:tc>
        <w:tc>
          <w:tcPr>
            <w:tcW w:w="1334" w:type="dxa"/>
            <w:vAlign w:val="center"/>
          </w:tcPr>
          <w:p w:rsidR="000D4CEE" w:rsidRDefault="00C20C95">
            <w:pPr>
              <w:jc w:val="right"/>
            </w:pPr>
            <w:r>
              <w:rPr>
                <w:color w:val="000000"/>
                <w:sz w:val="24"/>
                <w:szCs w:val="24"/>
              </w:rPr>
              <w:t>11,700,678</w:t>
            </w:r>
          </w:p>
        </w:tc>
        <w:tc>
          <w:tcPr>
            <w:tcW w:w="1924" w:type="dxa"/>
            <w:vAlign w:val="center"/>
          </w:tcPr>
          <w:p w:rsidR="000D4CEE" w:rsidRDefault="00C20C95">
            <w:pPr>
              <w:jc w:val="right"/>
            </w:pPr>
            <w:r>
              <w:rPr>
                <w:color w:val="000000"/>
                <w:sz w:val="24"/>
                <w:szCs w:val="24"/>
              </w:rPr>
              <w:t>256,244,848.20</w:t>
            </w:r>
          </w:p>
        </w:tc>
        <w:tc>
          <w:tcPr>
            <w:tcW w:w="1644" w:type="dxa"/>
            <w:vAlign w:val="center"/>
          </w:tcPr>
          <w:p w:rsidR="000D4CEE" w:rsidRDefault="00C20C95">
            <w:pPr>
              <w:jc w:val="right"/>
            </w:pPr>
            <w:r>
              <w:rPr>
                <w:color w:val="000000"/>
                <w:sz w:val="24"/>
                <w:szCs w:val="24"/>
              </w:rPr>
              <w:t>5.06</w:t>
            </w:r>
          </w:p>
        </w:tc>
      </w:tr>
      <w:tr w:rsidR="000D4CEE">
        <w:trPr>
          <w:jc w:val="center"/>
        </w:trPr>
        <w:tc>
          <w:tcPr>
            <w:tcW w:w="855" w:type="dxa"/>
            <w:vAlign w:val="center"/>
          </w:tcPr>
          <w:p w:rsidR="000D4CEE" w:rsidRDefault="00C20C95">
            <w:pPr>
              <w:jc w:val="center"/>
            </w:pPr>
            <w:r>
              <w:rPr>
                <w:color w:val="000000"/>
                <w:sz w:val="24"/>
                <w:szCs w:val="24"/>
              </w:rPr>
              <w:t>4</w:t>
            </w:r>
          </w:p>
        </w:tc>
        <w:tc>
          <w:tcPr>
            <w:tcW w:w="1334" w:type="dxa"/>
            <w:vAlign w:val="center"/>
          </w:tcPr>
          <w:p w:rsidR="000D4CEE" w:rsidRDefault="00C20C95">
            <w:pPr>
              <w:jc w:val="center"/>
            </w:pPr>
            <w:r>
              <w:rPr>
                <w:color w:val="000000"/>
                <w:sz w:val="24"/>
                <w:szCs w:val="24"/>
              </w:rPr>
              <w:t>300413</w:t>
            </w:r>
          </w:p>
        </w:tc>
        <w:tc>
          <w:tcPr>
            <w:tcW w:w="1777" w:type="dxa"/>
            <w:vAlign w:val="center"/>
          </w:tcPr>
          <w:p w:rsidR="000D4CEE" w:rsidRDefault="00C20C95">
            <w:pPr>
              <w:jc w:val="center"/>
            </w:pPr>
            <w:r>
              <w:rPr>
                <w:color w:val="000000"/>
                <w:sz w:val="24"/>
                <w:szCs w:val="24"/>
              </w:rPr>
              <w:t>芒果超媒</w:t>
            </w:r>
          </w:p>
        </w:tc>
        <w:tc>
          <w:tcPr>
            <w:tcW w:w="1334" w:type="dxa"/>
            <w:vAlign w:val="center"/>
          </w:tcPr>
          <w:p w:rsidR="000D4CEE" w:rsidRDefault="00C20C95">
            <w:pPr>
              <w:jc w:val="right"/>
            </w:pPr>
            <w:r>
              <w:rPr>
                <w:color w:val="000000"/>
                <w:sz w:val="24"/>
                <w:szCs w:val="24"/>
              </w:rPr>
              <w:t>3,565,872</w:t>
            </w:r>
          </w:p>
        </w:tc>
        <w:tc>
          <w:tcPr>
            <w:tcW w:w="1924" w:type="dxa"/>
            <w:vAlign w:val="center"/>
          </w:tcPr>
          <w:p w:rsidR="000D4CEE" w:rsidRDefault="00C20C95">
            <w:pPr>
              <w:jc w:val="right"/>
            </w:pPr>
            <w:r>
              <w:rPr>
                <w:color w:val="000000"/>
                <w:sz w:val="24"/>
                <w:szCs w:val="24"/>
              </w:rPr>
              <w:t>232,494,854.40</w:t>
            </w:r>
          </w:p>
        </w:tc>
        <w:tc>
          <w:tcPr>
            <w:tcW w:w="1644" w:type="dxa"/>
            <w:vAlign w:val="center"/>
          </w:tcPr>
          <w:p w:rsidR="000D4CEE" w:rsidRDefault="00C20C95">
            <w:pPr>
              <w:jc w:val="right"/>
            </w:pPr>
            <w:r>
              <w:rPr>
                <w:color w:val="000000"/>
                <w:sz w:val="24"/>
                <w:szCs w:val="24"/>
              </w:rPr>
              <w:t>4.59</w:t>
            </w:r>
          </w:p>
        </w:tc>
      </w:tr>
      <w:tr w:rsidR="000D4CEE">
        <w:trPr>
          <w:jc w:val="center"/>
        </w:trPr>
        <w:tc>
          <w:tcPr>
            <w:tcW w:w="855" w:type="dxa"/>
            <w:vAlign w:val="center"/>
          </w:tcPr>
          <w:p w:rsidR="000D4CEE" w:rsidRDefault="00C20C95">
            <w:pPr>
              <w:jc w:val="center"/>
            </w:pPr>
            <w:r>
              <w:rPr>
                <w:color w:val="000000"/>
                <w:sz w:val="24"/>
                <w:szCs w:val="24"/>
              </w:rPr>
              <w:t>5</w:t>
            </w:r>
          </w:p>
        </w:tc>
        <w:tc>
          <w:tcPr>
            <w:tcW w:w="1334" w:type="dxa"/>
            <w:vAlign w:val="center"/>
          </w:tcPr>
          <w:p w:rsidR="000D4CEE" w:rsidRDefault="00C20C95">
            <w:pPr>
              <w:jc w:val="center"/>
            </w:pPr>
            <w:r>
              <w:rPr>
                <w:color w:val="000000"/>
                <w:sz w:val="24"/>
                <w:szCs w:val="24"/>
              </w:rPr>
              <w:t>002555</w:t>
            </w:r>
          </w:p>
        </w:tc>
        <w:tc>
          <w:tcPr>
            <w:tcW w:w="1777" w:type="dxa"/>
            <w:vAlign w:val="center"/>
          </w:tcPr>
          <w:p w:rsidR="000D4CEE" w:rsidRDefault="00C20C95">
            <w:pPr>
              <w:jc w:val="center"/>
            </w:pPr>
            <w:r>
              <w:rPr>
                <w:color w:val="000000"/>
                <w:sz w:val="24"/>
                <w:szCs w:val="24"/>
              </w:rPr>
              <w:t>三七互娱</w:t>
            </w:r>
          </w:p>
        </w:tc>
        <w:tc>
          <w:tcPr>
            <w:tcW w:w="1334" w:type="dxa"/>
            <w:vAlign w:val="center"/>
          </w:tcPr>
          <w:p w:rsidR="000D4CEE" w:rsidRDefault="00C20C95">
            <w:pPr>
              <w:jc w:val="right"/>
            </w:pPr>
            <w:r>
              <w:rPr>
                <w:color w:val="000000"/>
                <w:sz w:val="24"/>
                <w:szCs w:val="24"/>
              </w:rPr>
              <w:t>4,634,149</w:t>
            </w:r>
          </w:p>
        </w:tc>
        <w:tc>
          <w:tcPr>
            <w:tcW w:w="1924" w:type="dxa"/>
            <w:vAlign w:val="center"/>
          </w:tcPr>
          <w:p w:rsidR="000D4CEE" w:rsidRDefault="00C20C95">
            <w:pPr>
              <w:jc w:val="right"/>
            </w:pPr>
            <w:r>
              <w:rPr>
                <w:color w:val="000000"/>
                <w:sz w:val="24"/>
                <w:szCs w:val="24"/>
              </w:rPr>
              <w:t>216,878,173.20</w:t>
            </w:r>
          </w:p>
        </w:tc>
        <w:tc>
          <w:tcPr>
            <w:tcW w:w="1644" w:type="dxa"/>
            <w:vAlign w:val="center"/>
          </w:tcPr>
          <w:p w:rsidR="000D4CEE" w:rsidRDefault="00C20C95">
            <w:pPr>
              <w:jc w:val="right"/>
            </w:pPr>
            <w:r>
              <w:rPr>
                <w:color w:val="000000"/>
                <w:sz w:val="24"/>
                <w:szCs w:val="24"/>
              </w:rPr>
              <w:t>4.29</w:t>
            </w:r>
          </w:p>
        </w:tc>
      </w:tr>
      <w:tr w:rsidR="000D4CEE">
        <w:trPr>
          <w:jc w:val="center"/>
        </w:trPr>
        <w:tc>
          <w:tcPr>
            <w:tcW w:w="855" w:type="dxa"/>
            <w:vAlign w:val="center"/>
          </w:tcPr>
          <w:p w:rsidR="000D4CEE" w:rsidRDefault="00C20C95">
            <w:pPr>
              <w:jc w:val="center"/>
            </w:pPr>
            <w:r>
              <w:rPr>
                <w:color w:val="000000"/>
                <w:sz w:val="24"/>
                <w:szCs w:val="24"/>
              </w:rPr>
              <w:t>6</w:t>
            </w:r>
          </w:p>
        </w:tc>
        <w:tc>
          <w:tcPr>
            <w:tcW w:w="1334" w:type="dxa"/>
            <w:vAlign w:val="center"/>
          </w:tcPr>
          <w:p w:rsidR="000D4CEE" w:rsidRDefault="00C20C95">
            <w:pPr>
              <w:jc w:val="center"/>
            </w:pPr>
            <w:r>
              <w:rPr>
                <w:color w:val="000000"/>
                <w:sz w:val="24"/>
                <w:szCs w:val="24"/>
              </w:rPr>
              <w:t>603517</w:t>
            </w:r>
          </w:p>
        </w:tc>
        <w:tc>
          <w:tcPr>
            <w:tcW w:w="1777" w:type="dxa"/>
            <w:vAlign w:val="center"/>
          </w:tcPr>
          <w:p w:rsidR="000D4CEE" w:rsidRDefault="00C20C95">
            <w:pPr>
              <w:jc w:val="center"/>
            </w:pPr>
            <w:r>
              <w:rPr>
                <w:color w:val="000000"/>
                <w:sz w:val="24"/>
                <w:szCs w:val="24"/>
              </w:rPr>
              <w:t>绝味食品</w:t>
            </w:r>
          </w:p>
        </w:tc>
        <w:tc>
          <w:tcPr>
            <w:tcW w:w="1334" w:type="dxa"/>
            <w:vAlign w:val="center"/>
          </w:tcPr>
          <w:p w:rsidR="000D4CEE" w:rsidRDefault="00C20C95">
            <w:pPr>
              <w:jc w:val="right"/>
            </w:pPr>
            <w:r>
              <w:rPr>
                <w:color w:val="000000"/>
                <w:sz w:val="24"/>
                <w:szCs w:val="24"/>
              </w:rPr>
              <w:t>2,850,889</w:t>
            </w:r>
          </w:p>
        </w:tc>
        <w:tc>
          <w:tcPr>
            <w:tcW w:w="1924" w:type="dxa"/>
            <w:vAlign w:val="center"/>
          </w:tcPr>
          <w:p w:rsidR="000D4CEE" w:rsidRDefault="00C20C95">
            <w:pPr>
              <w:jc w:val="right"/>
            </w:pPr>
            <w:r>
              <w:rPr>
                <w:color w:val="000000"/>
                <w:sz w:val="24"/>
                <w:szCs w:val="24"/>
              </w:rPr>
              <w:t>201,671,887.86</w:t>
            </w:r>
          </w:p>
        </w:tc>
        <w:tc>
          <w:tcPr>
            <w:tcW w:w="1644" w:type="dxa"/>
            <w:vAlign w:val="center"/>
          </w:tcPr>
          <w:p w:rsidR="000D4CEE" w:rsidRDefault="00C20C95">
            <w:pPr>
              <w:jc w:val="right"/>
            </w:pPr>
            <w:r>
              <w:rPr>
                <w:color w:val="000000"/>
                <w:sz w:val="24"/>
                <w:szCs w:val="24"/>
              </w:rPr>
              <w:t>3.99</w:t>
            </w:r>
          </w:p>
        </w:tc>
      </w:tr>
      <w:tr w:rsidR="000D4CEE">
        <w:trPr>
          <w:jc w:val="center"/>
        </w:trPr>
        <w:tc>
          <w:tcPr>
            <w:tcW w:w="855" w:type="dxa"/>
            <w:vAlign w:val="center"/>
          </w:tcPr>
          <w:p w:rsidR="000D4CEE" w:rsidRDefault="00C20C95">
            <w:pPr>
              <w:jc w:val="center"/>
            </w:pPr>
            <w:r>
              <w:rPr>
                <w:color w:val="000000"/>
                <w:sz w:val="24"/>
                <w:szCs w:val="24"/>
              </w:rPr>
              <w:t>7</w:t>
            </w:r>
          </w:p>
        </w:tc>
        <w:tc>
          <w:tcPr>
            <w:tcW w:w="1334" w:type="dxa"/>
            <w:vAlign w:val="center"/>
          </w:tcPr>
          <w:p w:rsidR="000D4CEE" w:rsidRDefault="00C20C95">
            <w:pPr>
              <w:jc w:val="center"/>
            </w:pPr>
            <w:r>
              <w:rPr>
                <w:color w:val="000000"/>
                <w:sz w:val="24"/>
                <w:szCs w:val="24"/>
              </w:rPr>
              <w:t>002216</w:t>
            </w:r>
          </w:p>
        </w:tc>
        <w:tc>
          <w:tcPr>
            <w:tcW w:w="1777" w:type="dxa"/>
            <w:vAlign w:val="center"/>
          </w:tcPr>
          <w:p w:rsidR="000D4CEE" w:rsidRDefault="00C20C95">
            <w:pPr>
              <w:jc w:val="center"/>
            </w:pPr>
            <w:r>
              <w:rPr>
                <w:color w:val="000000"/>
                <w:sz w:val="24"/>
                <w:szCs w:val="24"/>
              </w:rPr>
              <w:t>三全食品</w:t>
            </w:r>
          </w:p>
        </w:tc>
        <w:tc>
          <w:tcPr>
            <w:tcW w:w="1334" w:type="dxa"/>
            <w:vAlign w:val="center"/>
          </w:tcPr>
          <w:p w:rsidR="000D4CEE" w:rsidRDefault="00C20C95">
            <w:pPr>
              <w:jc w:val="right"/>
            </w:pPr>
            <w:r>
              <w:rPr>
                <w:color w:val="000000"/>
                <w:sz w:val="24"/>
                <w:szCs w:val="24"/>
              </w:rPr>
              <w:t>8,282,266</w:t>
            </w:r>
          </w:p>
        </w:tc>
        <w:tc>
          <w:tcPr>
            <w:tcW w:w="1924" w:type="dxa"/>
            <w:vAlign w:val="center"/>
          </w:tcPr>
          <w:p w:rsidR="000D4CEE" w:rsidRDefault="00C20C95">
            <w:pPr>
              <w:jc w:val="right"/>
            </w:pPr>
            <w:r>
              <w:rPr>
                <w:color w:val="000000"/>
                <w:sz w:val="24"/>
                <w:szCs w:val="24"/>
              </w:rPr>
              <w:t>197,946,157.40</w:t>
            </w:r>
          </w:p>
        </w:tc>
        <w:tc>
          <w:tcPr>
            <w:tcW w:w="1644" w:type="dxa"/>
            <w:vAlign w:val="center"/>
          </w:tcPr>
          <w:p w:rsidR="000D4CEE" w:rsidRDefault="00C20C95">
            <w:pPr>
              <w:jc w:val="right"/>
            </w:pPr>
            <w:r>
              <w:rPr>
                <w:color w:val="000000"/>
                <w:sz w:val="24"/>
                <w:szCs w:val="24"/>
              </w:rPr>
              <w:t>3.91</w:t>
            </w:r>
          </w:p>
        </w:tc>
      </w:tr>
      <w:tr w:rsidR="000D4CEE">
        <w:trPr>
          <w:jc w:val="center"/>
        </w:trPr>
        <w:tc>
          <w:tcPr>
            <w:tcW w:w="855" w:type="dxa"/>
            <w:vAlign w:val="center"/>
          </w:tcPr>
          <w:p w:rsidR="000D4CEE" w:rsidRDefault="00C20C95">
            <w:pPr>
              <w:jc w:val="center"/>
            </w:pPr>
            <w:r>
              <w:rPr>
                <w:color w:val="000000"/>
                <w:sz w:val="24"/>
                <w:szCs w:val="24"/>
              </w:rPr>
              <w:t>8</w:t>
            </w:r>
          </w:p>
        </w:tc>
        <w:tc>
          <w:tcPr>
            <w:tcW w:w="1334" w:type="dxa"/>
            <w:vAlign w:val="center"/>
          </w:tcPr>
          <w:p w:rsidR="000D4CEE" w:rsidRDefault="00C20C95">
            <w:pPr>
              <w:jc w:val="center"/>
            </w:pPr>
            <w:r>
              <w:rPr>
                <w:color w:val="000000"/>
                <w:sz w:val="24"/>
                <w:szCs w:val="24"/>
              </w:rPr>
              <w:t>002271</w:t>
            </w:r>
          </w:p>
        </w:tc>
        <w:tc>
          <w:tcPr>
            <w:tcW w:w="1777" w:type="dxa"/>
            <w:vAlign w:val="center"/>
          </w:tcPr>
          <w:p w:rsidR="000D4CEE" w:rsidRDefault="00C20C95">
            <w:pPr>
              <w:jc w:val="center"/>
            </w:pPr>
            <w:r>
              <w:rPr>
                <w:color w:val="000000"/>
                <w:sz w:val="24"/>
                <w:szCs w:val="24"/>
              </w:rPr>
              <w:t>东方雨虹</w:t>
            </w:r>
          </w:p>
        </w:tc>
        <w:tc>
          <w:tcPr>
            <w:tcW w:w="1334" w:type="dxa"/>
            <w:vAlign w:val="center"/>
          </w:tcPr>
          <w:p w:rsidR="000D4CEE" w:rsidRDefault="00C20C95">
            <w:pPr>
              <w:jc w:val="right"/>
            </w:pPr>
            <w:r>
              <w:rPr>
                <w:color w:val="000000"/>
                <w:sz w:val="24"/>
                <w:szCs w:val="24"/>
              </w:rPr>
              <w:t>4,624,184</w:t>
            </w:r>
          </w:p>
        </w:tc>
        <w:tc>
          <w:tcPr>
            <w:tcW w:w="1924" w:type="dxa"/>
            <w:vAlign w:val="center"/>
          </w:tcPr>
          <w:p w:rsidR="000D4CEE" w:rsidRDefault="00C20C95">
            <w:pPr>
              <w:jc w:val="right"/>
            </w:pPr>
            <w:r>
              <w:rPr>
                <w:color w:val="000000"/>
                <w:sz w:val="24"/>
                <w:szCs w:val="24"/>
              </w:rPr>
              <w:t>187,880,595.92</w:t>
            </w:r>
          </w:p>
        </w:tc>
        <w:tc>
          <w:tcPr>
            <w:tcW w:w="1644" w:type="dxa"/>
            <w:vAlign w:val="center"/>
          </w:tcPr>
          <w:p w:rsidR="000D4CEE" w:rsidRDefault="00C20C95">
            <w:pPr>
              <w:jc w:val="right"/>
            </w:pPr>
            <w:r>
              <w:rPr>
                <w:color w:val="000000"/>
                <w:sz w:val="24"/>
                <w:szCs w:val="24"/>
              </w:rPr>
              <w:t>3.71</w:t>
            </w:r>
          </w:p>
        </w:tc>
      </w:tr>
      <w:tr w:rsidR="000D4CEE">
        <w:trPr>
          <w:jc w:val="center"/>
        </w:trPr>
        <w:tc>
          <w:tcPr>
            <w:tcW w:w="855" w:type="dxa"/>
            <w:vAlign w:val="center"/>
          </w:tcPr>
          <w:p w:rsidR="000D4CEE" w:rsidRDefault="00C20C95">
            <w:pPr>
              <w:jc w:val="center"/>
            </w:pPr>
            <w:r>
              <w:rPr>
                <w:color w:val="000000"/>
                <w:sz w:val="24"/>
                <w:szCs w:val="24"/>
              </w:rPr>
              <w:t>9</w:t>
            </w:r>
          </w:p>
        </w:tc>
        <w:tc>
          <w:tcPr>
            <w:tcW w:w="1334" w:type="dxa"/>
            <w:vAlign w:val="center"/>
          </w:tcPr>
          <w:p w:rsidR="000D4CEE" w:rsidRDefault="00C20C95">
            <w:pPr>
              <w:jc w:val="center"/>
            </w:pPr>
            <w:r>
              <w:rPr>
                <w:color w:val="000000"/>
                <w:sz w:val="24"/>
                <w:szCs w:val="24"/>
              </w:rPr>
              <w:t>002049</w:t>
            </w:r>
          </w:p>
        </w:tc>
        <w:tc>
          <w:tcPr>
            <w:tcW w:w="1777" w:type="dxa"/>
            <w:vAlign w:val="center"/>
          </w:tcPr>
          <w:p w:rsidR="000D4CEE" w:rsidRDefault="00C20C95">
            <w:pPr>
              <w:jc w:val="center"/>
            </w:pPr>
            <w:r>
              <w:rPr>
                <w:color w:val="000000"/>
                <w:sz w:val="24"/>
                <w:szCs w:val="24"/>
              </w:rPr>
              <w:t>紫光国微</w:t>
            </w:r>
          </w:p>
        </w:tc>
        <w:tc>
          <w:tcPr>
            <w:tcW w:w="1334" w:type="dxa"/>
            <w:vAlign w:val="center"/>
          </w:tcPr>
          <w:p w:rsidR="000D4CEE" w:rsidRDefault="00C20C95">
            <w:pPr>
              <w:jc w:val="right"/>
            </w:pPr>
            <w:r>
              <w:rPr>
                <w:color w:val="000000"/>
                <w:sz w:val="24"/>
                <w:szCs w:val="24"/>
              </w:rPr>
              <w:t>2,263,047</w:t>
            </w:r>
          </w:p>
        </w:tc>
        <w:tc>
          <w:tcPr>
            <w:tcW w:w="1924" w:type="dxa"/>
            <w:vAlign w:val="center"/>
          </w:tcPr>
          <w:p w:rsidR="000D4CEE" w:rsidRDefault="00C20C95">
            <w:pPr>
              <w:jc w:val="right"/>
            </w:pPr>
            <w:r>
              <w:rPr>
                <w:color w:val="000000"/>
                <w:sz w:val="24"/>
                <w:szCs w:val="24"/>
              </w:rPr>
              <w:t>164,636,669.25</w:t>
            </w:r>
          </w:p>
        </w:tc>
        <w:tc>
          <w:tcPr>
            <w:tcW w:w="1644" w:type="dxa"/>
            <w:vAlign w:val="center"/>
          </w:tcPr>
          <w:p w:rsidR="000D4CEE" w:rsidRDefault="00C20C95">
            <w:pPr>
              <w:jc w:val="right"/>
            </w:pPr>
            <w:r>
              <w:rPr>
                <w:color w:val="000000"/>
                <w:sz w:val="24"/>
                <w:szCs w:val="24"/>
              </w:rPr>
              <w:t>3.25</w:t>
            </w:r>
          </w:p>
        </w:tc>
      </w:tr>
      <w:tr w:rsidR="000D4CEE">
        <w:trPr>
          <w:jc w:val="center"/>
        </w:trPr>
        <w:tc>
          <w:tcPr>
            <w:tcW w:w="855" w:type="dxa"/>
            <w:vAlign w:val="center"/>
          </w:tcPr>
          <w:p w:rsidR="000D4CEE" w:rsidRDefault="00C20C95">
            <w:pPr>
              <w:jc w:val="center"/>
            </w:pPr>
            <w:r>
              <w:rPr>
                <w:color w:val="000000"/>
                <w:sz w:val="24"/>
                <w:szCs w:val="24"/>
              </w:rPr>
              <w:t>10</w:t>
            </w:r>
          </w:p>
        </w:tc>
        <w:tc>
          <w:tcPr>
            <w:tcW w:w="1334" w:type="dxa"/>
            <w:vAlign w:val="center"/>
          </w:tcPr>
          <w:p w:rsidR="000D4CEE" w:rsidRDefault="00C20C95">
            <w:pPr>
              <w:jc w:val="center"/>
            </w:pPr>
            <w:r>
              <w:rPr>
                <w:color w:val="000000"/>
                <w:sz w:val="24"/>
                <w:szCs w:val="24"/>
              </w:rPr>
              <w:t>000725</w:t>
            </w:r>
          </w:p>
        </w:tc>
        <w:tc>
          <w:tcPr>
            <w:tcW w:w="1777" w:type="dxa"/>
            <w:vAlign w:val="center"/>
          </w:tcPr>
          <w:p w:rsidR="000D4CEE" w:rsidRDefault="00C20C95">
            <w:pPr>
              <w:jc w:val="center"/>
            </w:pPr>
            <w:r>
              <w:rPr>
                <w:color w:val="000000"/>
                <w:sz w:val="24"/>
                <w:szCs w:val="24"/>
              </w:rPr>
              <w:t>京东方</w:t>
            </w:r>
            <w:r>
              <w:rPr>
                <w:color w:val="000000"/>
                <w:sz w:val="24"/>
                <w:szCs w:val="24"/>
              </w:rPr>
              <w:t>A</w:t>
            </w:r>
          </w:p>
        </w:tc>
        <w:tc>
          <w:tcPr>
            <w:tcW w:w="1334" w:type="dxa"/>
            <w:vAlign w:val="center"/>
          </w:tcPr>
          <w:p w:rsidR="000D4CEE" w:rsidRDefault="00C20C95">
            <w:pPr>
              <w:jc w:val="right"/>
            </w:pPr>
            <w:r>
              <w:rPr>
                <w:color w:val="000000"/>
                <w:sz w:val="24"/>
                <w:szCs w:val="24"/>
              </w:rPr>
              <w:t>31,883,929</w:t>
            </w:r>
          </w:p>
        </w:tc>
        <w:tc>
          <w:tcPr>
            <w:tcW w:w="1924" w:type="dxa"/>
            <w:vAlign w:val="center"/>
          </w:tcPr>
          <w:p w:rsidR="000D4CEE" w:rsidRDefault="00C20C95">
            <w:pPr>
              <w:jc w:val="right"/>
            </w:pPr>
            <w:r>
              <w:rPr>
                <w:color w:val="000000"/>
                <w:sz w:val="24"/>
                <w:szCs w:val="24"/>
              </w:rPr>
              <w:t>148,897,948.43</w:t>
            </w:r>
          </w:p>
        </w:tc>
        <w:tc>
          <w:tcPr>
            <w:tcW w:w="1644" w:type="dxa"/>
            <w:vAlign w:val="center"/>
          </w:tcPr>
          <w:p w:rsidR="000D4CEE" w:rsidRDefault="00C20C95">
            <w:pPr>
              <w:jc w:val="right"/>
            </w:pPr>
            <w:r>
              <w:rPr>
                <w:color w:val="000000"/>
                <w:sz w:val="24"/>
                <w:szCs w:val="24"/>
              </w:rPr>
              <w:t>2.94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190,033,000.00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190,033,000.00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190,033,000.00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D4CEE">
        <w:trPr>
          <w:jc w:val="center"/>
        </w:trPr>
        <w:tc>
          <w:tcPr>
            <w:tcW w:w="850" w:type="dxa"/>
            <w:vAlign w:val="center"/>
          </w:tcPr>
          <w:p w:rsidR="000D4CEE" w:rsidRDefault="00C20C95">
            <w:pPr>
              <w:jc w:val="center"/>
            </w:pPr>
            <w:r>
              <w:rPr>
                <w:color w:val="000000"/>
                <w:sz w:val="24"/>
                <w:szCs w:val="24"/>
              </w:rPr>
              <w:t>1</w:t>
            </w:r>
          </w:p>
        </w:tc>
        <w:tc>
          <w:tcPr>
            <w:tcW w:w="1475" w:type="dxa"/>
            <w:vAlign w:val="center"/>
          </w:tcPr>
          <w:p w:rsidR="000D4CEE" w:rsidRDefault="00C20C95">
            <w:pPr>
              <w:jc w:val="center"/>
            </w:pPr>
            <w:r>
              <w:rPr>
                <w:color w:val="000000"/>
                <w:sz w:val="24"/>
                <w:szCs w:val="24"/>
              </w:rPr>
              <w:t>190307</w:t>
            </w:r>
          </w:p>
        </w:tc>
        <w:tc>
          <w:tcPr>
            <w:tcW w:w="1769" w:type="dxa"/>
            <w:vAlign w:val="center"/>
          </w:tcPr>
          <w:p w:rsidR="000D4CEE" w:rsidRDefault="00C20C95">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0D4CEE" w:rsidRDefault="00C20C95">
            <w:pPr>
              <w:jc w:val="right"/>
            </w:pPr>
            <w:r>
              <w:rPr>
                <w:color w:val="000000"/>
                <w:sz w:val="24"/>
                <w:szCs w:val="24"/>
              </w:rPr>
              <w:t>1,000,000</w:t>
            </w:r>
          </w:p>
        </w:tc>
        <w:tc>
          <w:tcPr>
            <w:tcW w:w="2150" w:type="dxa"/>
            <w:vAlign w:val="center"/>
          </w:tcPr>
          <w:p w:rsidR="000D4CEE" w:rsidRDefault="00C20C95">
            <w:pPr>
              <w:jc w:val="right"/>
            </w:pPr>
            <w:r>
              <w:rPr>
                <w:color w:val="000000"/>
                <w:sz w:val="24"/>
                <w:szCs w:val="24"/>
              </w:rPr>
              <w:t>100,210,000.00</w:t>
            </w:r>
          </w:p>
        </w:tc>
        <w:tc>
          <w:tcPr>
            <w:tcW w:w="1237" w:type="dxa"/>
            <w:vAlign w:val="center"/>
          </w:tcPr>
          <w:p w:rsidR="000D4CEE" w:rsidRDefault="00C20C95">
            <w:pPr>
              <w:jc w:val="right"/>
            </w:pPr>
            <w:r>
              <w:rPr>
                <w:color w:val="000000"/>
                <w:sz w:val="24"/>
                <w:szCs w:val="24"/>
              </w:rPr>
              <w:t>1.98</w:t>
            </w:r>
          </w:p>
        </w:tc>
      </w:tr>
      <w:tr w:rsidR="000D4CEE">
        <w:trPr>
          <w:jc w:val="center"/>
        </w:trPr>
        <w:tc>
          <w:tcPr>
            <w:tcW w:w="850" w:type="dxa"/>
            <w:vAlign w:val="center"/>
          </w:tcPr>
          <w:p w:rsidR="000D4CEE" w:rsidRDefault="00C20C95">
            <w:pPr>
              <w:jc w:val="center"/>
            </w:pPr>
            <w:r>
              <w:rPr>
                <w:color w:val="000000"/>
                <w:sz w:val="24"/>
                <w:szCs w:val="24"/>
              </w:rPr>
              <w:t>2</w:t>
            </w:r>
          </w:p>
        </w:tc>
        <w:tc>
          <w:tcPr>
            <w:tcW w:w="1475" w:type="dxa"/>
            <w:vAlign w:val="center"/>
          </w:tcPr>
          <w:p w:rsidR="000D4CEE" w:rsidRDefault="00C20C95">
            <w:pPr>
              <w:jc w:val="center"/>
            </w:pPr>
            <w:r>
              <w:rPr>
                <w:color w:val="000000"/>
                <w:sz w:val="24"/>
                <w:szCs w:val="24"/>
              </w:rPr>
              <w:t>200304</w:t>
            </w:r>
          </w:p>
        </w:tc>
        <w:tc>
          <w:tcPr>
            <w:tcW w:w="1769" w:type="dxa"/>
            <w:vAlign w:val="center"/>
          </w:tcPr>
          <w:p w:rsidR="000D4CEE" w:rsidRDefault="00C20C95">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0D4CEE" w:rsidRDefault="00C20C95">
            <w:pPr>
              <w:jc w:val="right"/>
            </w:pPr>
            <w:r>
              <w:rPr>
                <w:color w:val="000000"/>
                <w:sz w:val="24"/>
                <w:szCs w:val="24"/>
              </w:rPr>
              <w:t>700,000</w:t>
            </w:r>
          </w:p>
        </w:tc>
        <w:tc>
          <w:tcPr>
            <w:tcW w:w="2150" w:type="dxa"/>
            <w:vAlign w:val="center"/>
          </w:tcPr>
          <w:p w:rsidR="000D4CEE" w:rsidRDefault="00C20C95">
            <w:pPr>
              <w:jc w:val="right"/>
            </w:pPr>
            <w:r>
              <w:rPr>
                <w:color w:val="000000"/>
                <w:sz w:val="24"/>
                <w:szCs w:val="24"/>
              </w:rPr>
              <w:t>69,881,000.00</w:t>
            </w:r>
          </w:p>
        </w:tc>
        <w:tc>
          <w:tcPr>
            <w:tcW w:w="1237" w:type="dxa"/>
            <w:vAlign w:val="center"/>
          </w:tcPr>
          <w:p w:rsidR="000D4CEE" w:rsidRDefault="00C20C95">
            <w:pPr>
              <w:jc w:val="right"/>
            </w:pPr>
            <w:r>
              <w:rPr>
                <w:color w:val="000000"/>
                <w:sz w:val="24"/>
                <w:szCs w:val="24"/>
              </w:rPr>
              <w:t>1.38</w:t>
            </w:r>
          </w:p>
        </w:tc>
      </w:tr>
      <w:tr w:rsidR="000D4CEE">
        <w:trPr>
          <w:jc w:val="center"/>
        </w:trPr>
        <w:tc>
          <w:tcPr>
            <w:tcW w:w="850" w:type="dxa"/>
            <w:vAlign w:val="center"/>
          </w:tcPr>
          <w:p w:rsidR="000D4CEE" w:rsidRDefault="00C20C95">
            <w:pPr>
              <w:jc w:val="center"/>
            </w:pPr>
            <w:r>
              <w:rPr>
                <w:color w:val="000000"/>
                <w:sz w:val="24"/>
                <w:szCs w:val="24"/>
              </w:rPr>
              <w:t>3</w:t>
            </w:r>
          </w:p>
        </w:tc>
        <w:tc>
          <w:tcPr>
            <w:tcW w:w="1475" w:type="dxa"/>
            <w:vAlign w:val="center"/>
          </w:tcPr>
          <w:p w:rsidR="000D4CEE" w:rsidRDefault="00C20C95">
            <w:pPr>
              <w:jc w:val="center"/>
            </w:pPr>
            <w:r>
              <w:rPr>
                <w:color w:val="000000"/>
                <w:sz w:val="24"/>
                <w:szCs w:val="24"/>
              </w:rPr>
              <w:t>190211</w:t>
            </w:r>
          </w:p>
        </w:tc>
        <w:tc>
          <w:tcPr>
            <w:tcW w:w="1769" w:type="dxa"/>
            <w:vAlign w:val="center"/>
          </w:tcPr>
          <w:p w:rsidR="000D4CEE" w:rsidRDefault="00C20C95">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0D4CEE" w:rsidRDefault="00C20C95">
            <w:pPr>
              <w:jc w:val="right"/>
            </w:pPr>
            <w:r>
              <w:rPr>
                <w:color w:val="000000"/>
                <w:sz w:val="24"/>
                <w:szCs w:val="24"/>
              </w:rPr>
              <w:t>100,000</w:t>
            </w:r>
          </w:p>
        </w:tc>
        <w:tc>
          <w:tcPr>
            <w:tcW w:w="2150" w:type="dxa"/>
            <w:vAlign w:val="center"/>
          </w:tcPr>
          <w:p w:rsidR="000D4CEE" w:rsidRDefault="00C20C95">
            <w:pPr>
              <w:jc w:val="right"/>
            </w:pPr>
            <w:r>
              <w:rPr>
                <w:color w:val="000000"/>
                <w:sz w:val="24"/>
                <w:szCs w:val="24"/>
              </w:rPr>
              <w:t>10,019,000.00</w:t>
            </w:r>
          </w:p>
        </w:tc>
        <w:tc>
          <w:tcPr>
            <w:tcW w:w="1237" w:type="dxa"/>
            <w:vAlign w:val="center"/>
          </w:tcPr>
          <w:p w:rsidR="000D4CEE" w:rsidRDefault="00C20C95">
            <w:pPr>
              <w:jc w:val="right"/>
            </w:pPr>
            <w:r>
              <w:rPr>
                <w:color w:val="000000"/>
                <w:sz w:val="24"/>
                <w:szCs w:val="24"/>
              </w:rPr>
              <w:t>0.20</w:t>
            </w:r>
          </w:p>
        </w:tc>
      </w:tr>
      <w:tr w:rsidR="000D4CEE">
        <w:trPr>
          <w:jc w:val="center"/>
        </w:trPr>
        <w:tc>
          <w:tcPr>
            <w:tcW w:w="850" w:type="dxa"/>
            <w:vAlign w:val="center"/>
          </w:tcPr>
          <w:p w:rsidR="000D4CEE" w:rsidRDefault="00C20C95">
            <w:pPr>
              <w:jc w:val="center"/>
            </w:pPr>
            <w:r>
              <w:rPr>
                <w:color w:val="000000"/>
                <w:sz w:val="24"/>
                <w:szCs w:val="24"/>
              </w:rPr>
              <w:t>4</w:t>
            </w:r>
          </w:p>
        </w:tc>
        <w:tc>
          <w:tcPr>
            <w:tcW w:w="1475" w:type="dxa"/>
            <w:vAlign w:val="center"/>
          </w:tcPr>
          <w:p w:rsidR="000D4CEE" w:rsidRDefault="00C20C95">
            <w:pPr>
              <w:jc w:val="center"/>
            </w:pPr>
            <w:r>
              <w:rPr>
                <w:color w:val="000000"/>
                <w:sz w:val="24"/>
                <w:szCs w:val="24"/>
              </w:rPr>
              <w:t>200211</w:t>
            </w:r>
          </w:p>
        </w:tc>
        <w:tc>
          <w:tcPr>
            <w:tcW w:w="1769" w:type="dxa"/>
            <w:vAlign w:val="center"/>
          </w:tcPr>
          <w:p w:rsidR="000D4CEE" w:rsidRDefault="00C20C95">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0D4CEE" w:rsidRDefault="00C20C95">
            <w:pPr>
              <w:jc w:val="right"/>
            </w:pPr>
            <w:r>
              <w:rPr>
                <w:color w:val="000000"/>
                <w:sz w:val="24"/>
                <w:szCs w:val="24"/>
              </w:rPr>
              <w:t>100,000</w:t>
            </w:r>
          </w:p>
        </w:tc>
        <w:tc>
          <w:tcPr>
            <w:tcW w:w="2150" w:type="dxa"/>
            <w:vAlign w:val="center"/>
          </w:tcPr>
          <w:p w:rsidR="000D4CEE" w:rsidRDefault="00C20C95">
            <w:pPr>
              <w:jc w:val="right"/>
            </w:pPr>
            <w:r>
              <w:rPr>
                <w:color w:val="000000"/>
                <w:sz w:val="24"/>
                <w:szCs w:val="24"/>
              </w:rPr>
              <w:t>9,923,000.00</w:t>
            </w:r>
          </w:p>
        </w:tc>
        <w:tc>
          <w:tcPr>
            <w:tcW w:w="1237" w:type="dxa"/>
            <w:vAlign w:val="center"/>
          </w:tcPr>
          <w:p w:rsidR="000D4CEE" w:rsidRDefault="00C20C95">
            <w:pPr>
              <w:jc w:val="right"/>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C20C95" w:rsidRPr="00414345" w:rsidTr="00AB4DB6">
        <w:trPr>
          <w:trHeight w:val="105"/>
          <w:jc w:val="center"/>
        </w:trPr>
        <w:tc>
          <w:tcPr>
            <w:tcW w:w="1422" w:type="dxa"/>
            <w:vAlign w:val="center"/>
          </w:tcPr>
          <w:p w:rsidR="00C20C95" w:rsidRPr="00414345" w:rsidRDefault="00C20C95"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20C95" w:rsidRPr="00414345" w:rsidRDefault="00C20C95"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20C95" w:rsidRPr="00414345" w:rsidRDefault="00C20C95"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20C95" w:rsidRPr="00414345" w:rsidRDefault="00C20C95"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C20C95" w:rsidRPr="00414345" w:rsidRDefault="00C20C95"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C20C95" w:rsidRPr="00414345" w:rsidRDefault="00C20C95"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3,160.00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lastRenderedPageBreak/>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1,315,744.08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381,603.47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2,564,521.62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61,365,182.60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65,627,051.77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2,690,124,077.34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861,709,510.60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613,135,689.38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2,938,697,898.56</w:t>
            </w:r>
          </w:p>
        </w:tc>
      </w:tr>
    </w:tbl>
    <w:p w:rsidR="000D4CEE" w:rsidRDefault="00C20C9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D4CEE" w:rsidRDefault="00C20C9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D4CEE" w:rsidRDefault="00C20C9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D4CEE" w:rsidRDefault="00C20C9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1D" w:rsidRDefault="00FD1A1D" w:rsidP="00876D65">
      <w:r>
        <w:separator/>
      </w:r>
    </w:p>
  </w:endnote>
  <w:endnote w:type="continuationSeparator" w:id="0">
    <w:p w:rsidR="00FD1A1D" w:rsidRDefault="00FD1A1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55384">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5538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1D" w:rsidRDefault="00FD1A1D" w:rsidP="00876D65">
      <w:r>
        <w:separator/>
      </w:r>
    </w:p>
  </w:footnote>
  <w:footnote w:type="continuationSeparator" w:id="0">
    <w:p w:rsidR="00FD1A1D" w:rsidRDefault="00FD1A1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4CEE"/>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384"/>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0C95"/>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1A1D"/>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E9E8-6B69-425C-B1EA-39FFBD6D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603</cp:revision>
  <dcterms:created xsi:type="dcterms:W3CDTF">2012-10-16T06:07:00Z</dcterms:created>
  <dcterms:modified xsi:type="dcterms:W3CDTF">2020-07-17T05:42:00Z</dcterms:modified>
</cp:coreProperties>
</file>