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交银施罗德荣鑫灵活配置混合型证券投资基金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交银荣鑫灵活配置混合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2019年3月29日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546,306,341.31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沪深300指数收益率×50%+中债综合全价指数收益率×50%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7,854,370.35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9,246,350.26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621,881,827.20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1.138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2.52%</w:t>
            </w:r>
          </w:p>
        </w:tc>
        <w:tc>
          <w:tcPr>
            <w:vAlign w:val="center"/>
          </w:tcPr>
          <w:p>
            <w:pPr>
              <w:jc w:val="center"/>
            </w:pPr>
            <w:r>
              <w:rPr>
                <w:color w:val="000000"/>
                <w:sz w:val="24"/>
                <w:szCs w:val="24"/>
              </w:rPr>
              <w:t>0.21%</w:t>
            </w:r>
          </w:p>
        </w:tc>
        <w:tc>
          <w:tcPr>
            <w:vAlign w:val="center"/>
          </w:tcPr>
          <w:p>
            <w:pPr>
              <w:jc w:val="center"/>
            </w:pPr>
            <w:r>
              <w:rPr>
                <w:color w:val="000000"/>
                <w:sz w:val="24"/>
                <w:szCs w:val="24"/>
              </w:rPr>
              <w:t>5.80%</w:t>
            </w:r>
          </w:p>
        </w:tc>
        <w:tc>
          <w:tcPr>
            <w:vAlign w:val="center"/>
          </w:tcPr>
          <w:p>
            <w:pPr>
              <w:jc w:val="center"/>
            </w:pPr>
            <w:r>
              <w:rPr>
                <w:color w:val="000000"/>
                <w:sz w:val="24"/>
                <w:szCs w:val="24"/>
              </w:rPr>
              <w:t>0.45%</w:t>
            </w:r>
          </w:p>
        </w:tc>
        <w:tc>
          <w:tcPr>
            <w:vAlign w:val="center"/>
          </w:tcPr>
          <w:p>
            <w:pPr>
              <w:jc w:val="center"/>
            </w:pPr>
            <w:r>
              <w:rPr>
                <w:color w:val="000000"/>
                <w:sz w:val="24"/>
                <w:szCs w:val="24"/>
              </w:rPr>
              <w:t>-3.28%</w:t>
            </w:r>
          </w:p>
        </w:tc>
        <w:tc>
          <w:tcPr>
            <w:vAlign w:val="center"/>
          </w:tcPr>
          <w:p>
            <w:pPr>
              <w:jc w:val="center"/>
            </w:pPr>
            <w:r>
              <w:rPr>
                <w:color w:val="000000"/>
                <w:sz w:val="24"/>
                <w:szCs w:val="24"/>
              </w:rPr>
              <w:t>-0.24%</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2.71%</w:t>
            </w:r>
          </w:p>
        </w:tc>
        <w:tc>
          <w:tcPr>
            <w:vAlign w:val="center"/>
          </w:tcPr>
          <w:p>
            <w:pPr>
              <w:jc w:val="center"/>
            </w:pPr>
            <w:r>
              <w:rPr>
                <w:color w:val="000000"/>
                <w:sz w:val="24"/>
                <w:szCs w:val="24"/>
              </w:rPr>
              <w:t>0.31%</w:t>
            </w:r>
          </w:p>
        </w:tc>
        <w:tc>
          <w:tcPr>
            <w:vAlign w:val="center"/>
          </w:tcPr>
          <w:p>
            <w:pPr>
              <w:jc w:val="center"/>
            </w:pPr>
            <w:r>
              <w:rPr>
                <w:color w:val="000000"/>
                <w:sz w:val="24"/>
                <w:szCs w:val="24"/>
              </w:rPr>
              <w:t>1.59%</w:t>
            </w:r>
          </w:p>
        </w:tc>
        <w:tc>
          <w:tcPr>
            <w:vAlign w:val="center"/>
          </w:tcPr>
          <w:p>
            <w:pPr>
              <w:jc w:val="center"/>
            </w:pPr>
            <w:r>
              <w:rPr>
                <w:color w:val="000000"/>
                <w:sz w:val="24"/>
                <w:szCs w:val="24"/>
              </w:rPr>
              <w:t>0.74%</w:t>
            </w:r>
          </w:p>
        </w:tc>
        <w:tc>
          <w:tcPr>
            <w:vAlign w:val="center"/>
          </w:tcPr>
          <w:p>
            <w:pPr>
              <w:jc w:val="center"/>
            </w:pPr>
            <w:r>
              <w:rPr>
                <w:color w:val="000000"/>
                <w:sz w:val="24"/>
                <w:szCs w:val="24"/>
              </w:rPr>
              <w:t>1.12%</w:t>
            </w:r>
          </w:p>
        </w:tc>
        <w:tc>
          <w:tcPr>
            <w:vAlign w:val="center"/>
          </w:tcPr>
          <w:p>
            <w:pPr>
              <w:jc w:val="center"/>
            </w:pPr>
            <w:r>
              <w:rPr>
                <w:color w:val="000000"/>
                <w:sz w:val="24"/>
                <w:szCs w:val="24"/>
              </w:rPr>
              <w:t>-0.43%</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7.97%</w:t>
            </w:r>
          </w:p>
        </w:tc>
        <w:tc>
          <w:tcPr>
            <w:vAlign w:val="center"/>
          </w:tcPr>
          <w:p>
            <w:pPr>
              <w:jc w:val="center"/>
            </w:pPr>
            <w:r>
              <w:rPr>
                <w:color w:val="000000"/>
                <w:sz w:val="24"/>
                <w:szCs w:val="24"/>
              </w:rPr>
              <w:t>0.27%</w:t>
            </w:r>
          </w:p>
        </w:tc>
        <w:tc>
          <w:tcPr>
            <w:vAlign w:val="center"/>
          </w:tcPr>
          <w:p>
            <w:pPr>
              <w:jc w:val="center"/>
            </w:pPr>
            <w:r>
              <w:rPr>
                <w:color w:val="000000"/>
                <w:sz w:val="24"/>
                <w:szCs w:val="24"/>
              </w:rPr>
              <w:t>5.81%</w:t>
            </w:r>
          </w:p>
        </w:tc>
        <w:tc>
          <w:tcPr>
            <w:vAlign w:val="center"/>
          </w:tcPr>
          <w:p>
            <w:pPr>
              <w:jc w:val="center"/>
            </w:pPr>
            <w:r>
              <w:rPr>
                <w:color w:val="000000"/>
                <w:sz w:val="24"/>
                <w:szCs w:val="24"/>
              </w:rPr>
              <w:t>0.60%</w:t>
            </w:r>
          </w:p>
        </w:tc>
        <w:tc>
          <w:tcPr>
            <w:vAlign w:val="center"/>
          </w:tcPr>
          <w:p>
            <w:pPr>
              <w:jc w:val="center"/>
            </w:pPr>
            <w:r>
              <w:rPr>
                <w:color w:val="000000"/>
                <w:sz w:val="24"/>
                <w:szCs w:val="24"/>
              </w:rPr>
              <w:t>2.16%</w:t>
            </w:r>
          </w:p>
        </w:tc>
        <w:tc>
          <w:tcPr>
            <w:vAlign w:val="center"/>
          </w:tcPr>
          <w:p>
            <w:pPr>
              <w:jc w:val="center"/>
            </w:pPr>
            <w:r>
              <w:rPr>
                <w:color w:val="000000"/>
                <w:sz w:val="24"/>
                <w:szCs w:val="24"/>
              </w:rPr>
              <w:t>-0.33%</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5.96%</w:t>
            </w:r>
          </w:p>
        </w:tc>
        <w:tc>
          <w:tcPr>
            <w:vAlign w:val="center"/>
          </w:tcPr>
          <w:p>
            <w:pPr>
              <w:jc w:val="center"/>
            </w:pPr>
            <w:r>
              <w:rPr>
                <w:color w:val="000000"/>
                <w:sz w:val="24"/>
                <w:szCs w:val="24"/>
              </w:rPr>
              <w:t>0.26%</w:t>
            </w:r>
          </w:p>
        </w:tc>
        <w:tc>
          <w:tcPr>
            <w:vAlign w:val="center"/>
          </w:tcPr>
          <w:p>
            <w:pPr>
              <w:jc w:val="center"/>
            </w:pPr>
            <w:r>
              <w:rPr>
                <w:color w:val="000000"/>
                <w:sz w:val="24"/>
                <w:szCs w:val="24"/>
              </w:rPr>
              <w:t>7.27%</w:t>
            </w:r>
          </w:p>
        </w:tc>
        <w:tc>
          <w:tcPr>
            <w:vAlign w:val="center"/>
          </w:tcPr>
          <w:p>
            <w:pPr>
              <w:jc w:val="center"/>
            </w:pPr>
            <w:r>
              <w:rPr>
                <w:color w:val="000000"/>
                <w:sz w:val="24"/>
                <w:szCs w:val="24"/>
              </w:rPr>
              <w:t>0.64%</w:t>
            </w:r>
          </w:p>
        </w:tc>
        <w:tc>
          <w:tcPr>
            <w:vAlign w:val="center"/>
          </w:tcPr>
          <w:p>
            <w:pPr>
              <w:jc w:val="center"/>
            </w:pPr>
            <w:r>
              <w:rPr>
                <w:color w:val="000000"/>
                <w:sz w:val="24"/>
                <w:szCs w:val="24"/>
              </w:rPr>
              <w:t>-1.31%</w:t>
            </w:r>
          </w:p>
        </w:tc>
        <w:tc>
          <w:tcPr>
            <w:vAlign w:val="center"/>
          </w:tcPr>
          <w:p>
            <w:pPr>
              <w:jc w:val="center"/>
            </w:pPr>
            <w:r>
              <w:rPr>
                <w:color w:val="000000"/>
                <w:sz w:val="24"/>
                <w:szCs w:val="24"/>
              </w:rPr>
              <w:t>-0.38%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交银施罗德荣鑫灵活配置混合型证券投资基金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2019年3月29日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鑫保本混合型证券投资基金转型而来。基金转型日为2019年3月29日。本基金的投资转型期为交银施罗德荣鑫保本混合型证券投资基金保本周期到期期间截止日的次日（即2019年3月29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交银信用添利债券(LOF)、交银双利债券、交银双轮动债券、交银荣鑫灵活配置混合的基金经理</w:t>
            </w:r>
          </w:p>
        </w:tc>
        <w:tc>
          <w:tcPr>
            <w:vAlign w:val="center"/>
          </w:tcPr>
          <w:p>
            <w:pPr>
              <w:jc w:val="center"/>
            </w:pPr>
            <w:r>
              <w:rPr>
                <w:color w:val="000000"/>
                <w:sz w:val="24"/>
                <w:szCs w:val="24"/>
              </w:rPr>
              <w:t>2019-02-28</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r>
        <w:tc>
          <w:tcPr>
            <w:vAlign w:val="center"/>
          </w:tcPr>
          <w:p>
            <w:pPr>
              <w:jc w:val="center"/>
            </w:pPr>
            <w:r>
              <w:rPr>
                <w:color w:val="000000"/>
                <w:sz w:val="24"/>
                <w:szCs w:val="24"/>
              </w:rPr>
              <w:t>王艺伟</w:t>
            </w:r>
          </w:p>
        </w:tc>
        <w:tc>
          <w:tcPr>
            <w:vAlign w:val="center"/>
          </w:tcPr>
          <w:p>
            <w:pPr>
              <w:jc w:val="center"/>
            </w:pPr>
            <w:r>
              <w:rPr>
                <w:color w:val="000000"/>
                <w:sz w:val="24"/>
                <w:szCs w:val="24"/>
              </w:rPr>
              <w:t>交银安心收益债券、交银荣鑫灵活配置混合的基金经理</w:t>
            </w:r>
          </w:p>
        </w:tc>
        <w:tc>
          <w:tcPr>
            <w:vAlign w:val="center"/>
          </w:tcPr>
          <w:p>
            <w:pPr>
              <w:jc w:val="center"/>
            </w:pPr>
            <w:r>
              <w:rPr>
                <w:color w:val="000000"/>
                <w:sz w:val="24"/>
                <w:szCs w:val="24"/>
              </w:rPr>
              <w:t>2019-11-28</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国内外复工复产令经济基本面缓步改善，季初市场对于货币政策的宽松预期也随着后期资金面的边际趋紧而不断降温。债市收益率呈现V型走势。具体的，四月上中旬，海外疫情及宽松的货币环境令债市收益率继续下行，中短端下行更为明显；此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pPr>
        <w:spacing w:before="29" w:line="288" w:lineRule="auto"/>
        <w:ind w:firstLine="480" w:firstLineChars="200"/>
        <w:rPr>
          <w:color w:val="000000"/>
          <w:sz w:val="24"/>
          <w:szCs w:val="24"/>
        </w:rPr>
      </w:pPr>
      <w:r>
        <w:rPr>
          <w:color w:val="000000"/>
          <w:sz w:val="24"/>
          <w:szCs w:val="24"/>
        </w:rPr>
        <w:t>二季度受益疫情阶段缓解，海内外权益市场均经历了一轮明显反弹。国内市场方面，由于流动性宽裕带来确定性赛道的高估值溢价，消费和医药领涨，科技板块也在海外疫情缓解后出现较为明显的反弹。从板块表现看，二季度餐饮旅游、白酒、饮料、电子以及医药领涨；周期相关的石油化工等板块相对弱势。</w:t>
      </w:r>
    </w:p>
    <w:p>
      <w:pPr>
        <w:spacing w:before="29" w:line="288" w:lineRule="auto"/>
        <w:ind w:firstLine="480" w:firstLineChars="200"/>
        <w:rPr>
          <w:color w:val="000000"/>
          <w:sz w:val="24"/>
          <w:szCs w:val="24"/>
        </w:rPr>
      </w:pPr>
      <w:r>
        <w:rPr>
          <w:color w:val="000000"/>
          <w:sz w:val="24"/>
          <w:szCs w:val="24"/>
        </w:rPr>
        <w:t>我们认为，二季度疫情对于全球经济的冲击将逐步体现，政策大概率维持相对宽松，不过复工复产带来的经济恢复情况也会带来逆周期调控政策的相继变化。在基金操作中，债券部分我们维持中短久期高等级信用债券的主仓位配置，对长端利率进行波段操作。权益方面，组合依然以低估值业绩相对稳定的品种作为底仓，同时将持仓结构调整得更加均衡。组合继续积极参与转债和权益一级申购，以增厚组合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从历史经验看，疫情往往存在二次冲击，但是对于经济的冲击存在一定变数。目前的逆周期调控政策以稳为主，经济大幅向上的可能较低，债券预计将维持震荡。组合将继续以中短久期高等级信用作为底仓，以获取稳定的票息收益，并根据市场变化动态调整组合久期。权益方面，我们维持稳健品种的底仓配置，并持续关注高景气赛道的个股机会。我们将继续积极参加权益及转债的一级申购，以期增厚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130,603,714.83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19.71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130,603,714.83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19.71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467,705,922.20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70.57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467,705,922.20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70.57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10,200,000.00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1.54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36,182,437.14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18,100,169.57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2.73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662,792,243.74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4,322,360.00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0.70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46,597,728.82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10,284,009.40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2,415,095.00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12,123,666.56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4,406,752.08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33,179,217.65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12,103,504.00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5,158,615.00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130,603,714.83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21.00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301,200</w:t>
            </w:r>
          </w:p>
        </w:tc>
        <w:tc>
          <w:tcPr>
            <w:vAlign w:val="center"/>
          </w:tcPr>
          <w:p>
            <w:pPr>
              <w:jc w:val="right"/>
            </w:pPr>
            <w:r>
              <w:rPr>
                <w:color w:val="000000"/>
                <w:sz w:val="24"/>
                <w:szCs w:val="24"/>
              </w:rPr>
              <w:t>7,873,368.00</w:t>
            </w:r>
          </w:p>
        </w:tc>
        <w:tc>
          <w:tcPr>
            <w:vAlign w:val="center"/>
          </w:tcPr>
          <w:p>
            <w:pPr>
              <w:jc w:val="right"/>
            </w:pPr>
            <w:r>
              <w:rPr>
                <w:color w:val="000000"/>
                <w:sz w:val="24"/>
                <w:szCs w:val="24"/>
              </w:rPr>
              <w:t>1.27</w:t>
            </w:r>
          </w:p>
        </w:tc>
      </w:tr>
      <w:tr>
        <w:tc>
          <w:tcPr>
            <w:vAlign w:val="center"/>
          </w:tcPr>
          <w:p>
            <w:pPr>
              <w:jc w:val="center"/>
            </w:pPr>
            <w:r>
              <w:rPr>
                <w:color w:val="000000"/>
                <w:sz w:val="24"/>
                <w:szCs w:val="24"/>
              </w:rPr>
              <w:t>2</w:t>
            </w:r>
          </w:p>
        </w:tc>
        <w:tc>
          <w:tcPr>
            <w:vAlign w:val="center"/>
          </w:tcPr>
          <w:p>
            <w:pPr>
              <w:jc w:val="center"/>
            </w:pPr>
            <w:r>
              <w:rPr>
                <w:color w:val="000000"/>
                <w:sz w:val="24"/>
                <w:szCs w:val="24"/>
              </w:rPr>
              <w:t>601668</w:t>
            </w:r>
          </w:p>
        </w:tc>
        <w:tc>
          <w:tcPr>
            <w:vAlign w:val="center"/>
          </w:tcPr>
          <w:p>
            <w:pPr>
              <w:jc w:val="center"/>
            </w:pPr>
            <w:r>
              <w:rPr>
                <w:color w:val="000000"/>
                <w:sz w:val="24"/>
                <w:szCs w:val="24"/>
              </w:rPr>
              <w:t>中国建筑</w:t>
            </w:r>
          </w:p>
        </w:tc>
        <w:tc>
          <w:tcPr>
            <w:vAlign w:val="center"/>
          </w:tcPr>
          <w:p>
            <w:pPr>
              <w:jc w:val="right"/>
            </w:pPr>
            <w:r>
              <w:rPr>
                <w:color w:val="000000"/>
                <w:sz w:val="24"/>
                <w:szCs w:val="24"/>
              </w:rPr>
              <w:t>1,530,300</w:t>
            </w:r>
          </w:p>
        </w:tc>
        <w:tc>
          <w:tcPr>
            <w:vAlign w:val="center"/>
          </w:tcPr>
          <w:p>
            <w:pPr>
              <w:jc w:val="right"/>
            </w:pPr>
            <w:r>
              <w:rPr>
                <w:color w:val="000000"/>
                <w:sz w:val="24"/>
                <w:szCs w:val="24"/>
              </w:rPr>
              <w:t>7,299,531.00</w:t>
            </w:r>
          </w:p>
        </w:tc>
        <w:tc>
          <w:tcPr>
            <w:vAlign w:val="center"/>
          </w:tcPr>
          <w:p>
            <w:pPr>
              <w:jc w:val="right"/>
            </w:pPr>
            <w:r>
              <w:rPr>
                <w:color w:val="000000"/>
                <w:sz w:val="24"/>
                <w:szCs w:val="24"/>
              </w:rPr>
              <w:t>1.17</w:t>
            </w:r>
          </w:p>
        </w:tc>
      </w:tr>
      <w:tr>
        <w:tc>
          <w:tcPr>
            <w:vAlign w:val="center"/>
          </w:tcPr>
          <w:p>
            <w:pPr>
              <w:jc w:val="center"/>
            </w:pPr>
            <w:r>
              <w:rPr>
                <w:color w:val="000000"/>
                <w:sz w:val="24"/>
                <w:szCs w:val="24"/>
              </w:rPr>
              <w:t>3</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155,039</w:t>
            </w:r>
          </w:p>
        </w:tc>
        <w:tc>
          <w:tcPr>
            <w:vAlign w:val="center"/>
          </w:tcPr>
          <w:p>
            <w:pPr>
              <w:jc w:val="right"/>
            </w:pPr>
            <w:r>
              <w:rPr>
                <w:color w:val="000000"/>
                <w:sz w:val="24"/>
                <w:szCs w:val="24"/>
              </w:rPr>
              <w:t>6,865,126.92</w:t>
            </w:r>
          </w:p>
        </w:tc>
        <w:tc>
          <w:tcPr>
            <w:vAlign w:val="center"/>
          </w:tcPr>
          <w:p>
            <w:pPr>
              <w:jc w:val="right"/>
            </w:pPr>
            <w:r>
              <w:rPr>
                <w:color w:val="000000"/>
                <w:sz w:val="24"/>
                <w:szCs w:val="24"/>
              </w:rPr>
              <w:t>1.10</w:t>
            </w:r>
          </w:p>
        </w:tc>
      </w:tr>
      <w:tr>
        <w:tc>
          <w:tcPr>
            <w:vAlign w:val="center"/>
          </w:tcPr>
          <w:p>
            <w:pPr>
              <w:jc w:val="center"/>
            </w:pPr>
            <w:r>
              <w:rPr>
                <w:color w:val="000000"/>
                <w:sz w:val="24"/>
                <w:szCs w:val="24"/>
              </w:rPr>
              <w:t>4</w:t>
            </w:r>
          </w:p>
        </w:tc>
        <w:tc>
          <w:tcPr>
            <w:vAlign w:val="center"/>
          </w:tcPr>
          <w:p>
            <w:pPr>
              <w:jc w:val="center"/>
            </w:pPr>
            <w:r>
              <w:rPr>
                <w:color w:val="000000"/>
                <w:sz w:val="24"/>
                <w:szCs w:val="24"/>
              </w:rPr>
              <w:t>000001</w:t>
            </w:r>
          </w:p>
        </w:tc>
        <w:tc>
          <w:tcPr>
            <w:vAlign w:val="center"/>
          </w:tcPr>
          <w:p>
            <w:pPr>
              <w:jc w:val="center"/>
            </w:pPr>
            <w:r>
              <w:rPr>
                <w:color w:val="000000"/>
                <w:sz w:val="24"/>
                <w:szCs w:val="24"/>
              </w:rPr>
              <w:t>平安银行</w:t>
            </w:r>
          </w:p>
        </w:tc>
        <w:tc>
          <w:tcPr>
            <w:vAlign w:val="center"/>
          </w:tcPr>
          <w:p>
            <w:pPr>
              <w:jc w:val="right"/>
            </w:pPr>
            <w:r>
              <w:rPr>
                <w:color w:val="000000"/>
                <w:sz w:val="24"/>
                <w:szCs w:val="24"/>
              </w:rPr>
              <w:t>535,300</w:t>
            </w:r>
          </w:p>
        </w:tc>
        <w:tc>
          <w:tcPr>
            <w:vAlign w:val="center"/>
          </w:tcPr>
          <w:p>
            <w:pPr>
              <w:jc w:val="right"/>
            </w:pPr>
            <w:r>
              <w:rPr>
                <w:color w:val="000000"/>
                <w:sz w:val="24"/>
                <w:szCs w:val="24"/>
              </w:rPr>
              <w:t>6,851,840.00</w:t>
            </w:r>
          </w:p>
        </w:tc>
        <w:tc>
          <w:tcPr>
            <w:vAlign w:val="center"/>
          </w:tcPr>
          <w:p>
            <w:pPr>
              <w:jc w:val="right"/>
            </w:pPr>
            <w:r>
              <w:rPr>
                <w:color w:val="000000"/>
                <w:sz w:val="24"/>
                <w:szCs w:val="24"/>
              </w:rPr>
              <w:t>1.10</w:t>
            </w:r>
          </w:p>
        </w:tc>
      </w:tr>
      <w:tr>
        <w:tc>
          <w:tcPr>
            <w:vAlign w:val="center"/>
          </w:tcPr>
          <w:p>
            <w:pPr>
              <w:jc w:val="center"/>
            </w:pPr>
            <w:r>
              <w:rPr>
                <w:color w:val="000000"/>
                <w:sz w:val="24"/>
                <w:szCs w:val="24"/>
              </w:rPr>
              <w:t>5</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182,600</w:t>
            </w:r>
          </w:p>
        </w:tc>
        <w:tc>
          <w:tcPr>
            <w:vAlign w:val="center"/>
          </w:tcPr>
          <w:p>
            <w:pPr>
              <w:jc w:val="right"/>
            </w:pPr>
            <w:r>
              <w:rPr>
                <w:color w:val="000000"/>
                <w:sz w:val="24"/>
                <w:szCs w:val="24"/>
              </w:rPr>
              <w:t>6,157,272.00</w:t>
            </w:r>
          </w:p>
        </w:tc>
        <w:tc>
          <w:tcPr>
            <w:vAlign w:val="center"/>
          </w:tcPr>
          <w:p>
            <w:pPr>
              <w:jc w:val="right"/>
            </w:pPr>
            <w:r>
              <w:rPr>
                <w:color w:val="000000"/>
                <w:sz w:val="24"/>
                <w:szCs w:val="24"/>
              </w:rPr>
              <w:t>0.99</w:t>
            </w:r>
          </w:p>
        </w:tc>
      </w:tr>
      <w:tr>
        <w:tc>
          <w:tcPr>
            <w:vAlign w:val="center"/>
          </w:tcPr>
          <w:p>
            <w:pPr>
              <w:jc w:val="center"/>
            </w:pPr>
            <w:r>
              <w:rPr>
                <w:color w:val="000000"/>
                <w:sz w:val="24"/>
                <w:szCs w:val="24"/>
              </w:rPr>
              <w:t>6</w:t>
            </w:r>
          </w:p>
        </w:tc>
        <w:tc>
          <w:tcPr>
            <w:vAlign w:val="center"/>
          </w:tcPr>
          <w:p>
            <w:pPr>
              <w:jc w:val="center"/>
            </w:pPr>
            <w:r>
              <w:rPr>
                <w:color w:val="000000"/>
                <w:sz w:val="24"/>
                <w:szCs w:val="24"/>
              </w:rPr>
              <w:t>601288</w:t>
            </w:r>
          </w:p>
        </w:tc>
        <w:tc>
          <w:tcPr>
            <w:vAlign w:val="center"/>
          </w:tcPr>
          <w:p>
            <w:pPr>
              <w:jc w:val="center"/>
            </w:pPr>
            <w:r>
              <w:rPr>
                <w:color w:val="000000"/>
                <w:sz w:val="24"/>
                <w:szCs w:val="24"/>
              </w:rPr>
              <w:t>农业银行</w:t>
            </w:r>
          </w:p>
        </w:tc>
        <w:tc>
          <w:tcPr>
            <w:vAlign w:val="center"/>
          </w:tcPr>
          <w:p>
            <w:pPr>
              <w:jc w:val="right"/>
            </w:pPr>
            <w:r>
              <w:rPr>
                <w:color w:val="000000"/>
                <w:sz w:val="24"/>
                <w:szCs w:val="24"/>
              </w:rPr>
              <w:t>1,774,100</w:t>
            </w:r>
          </w:p>
        </w:tc>
        <w:tc>
          <w:tcPr>
            <w:vAlign w:val="center"/>
          </w:tcPr>
          <w:p>
            <w:pPr>
              <w:jc w:val="right"/>
            </w:pPr>
            <w:r>
              <w:rPr>
                <w:color w:val="000000"/>
                <w:sz w:val="24"/>
                <w:szCs w:val="24"/>
              </w:rPr>
              <w:t>5,996,458.00</w:t>
            </w:r>
          </w:p>
        </w:tc>
        <w:tc>
          <w:tcPr>
            <w:vAlign w:val="center"/>
          </w:tcPr>
          <w:p>
            <w:pPr>
              <w:jc w:val="right"/>
            </w:pPr>
            <w:r>
              <w:rPr>
                <w:color w:val="000000"/>
                <w:sz w:val="24"/>
                <w:szCs w:val="24"/>
              </w:rPr>
              <w:t>0.96</w:t>
            </w:r>
          </w:p>
        </w:tc>
      </w:tr>
      <w:tr>
        <w:tc>
          <w:tcPr>
            <w:vAlign w:val="center"/>
          </w:tcPr>
          <w:p>
            <w:pPr>
              <w:jc w:val="center"/>
            </w:pPr>
            <w:r>
              <w:rPr>
                <w:color w:val="000000"/>
                <w:sz w:val="24"/>
                <w:szCs w:val="24"/>
              </w:rPr>
              <w:t>7</w:t>
            </w:r>
          </w:p>
        </w:tc>
        <w:tc>
          <w:tcPr>
            <w:vAlign w:val="center"/>
          </w:tcPr>
          <w:p>
            <w:pPr>
              <w:jc w:val="center"/>
            </w:pPr>
            <w:r>
              <w:rPr>
                <w:color w:val="000000"/>
                <w:sz w:val="24"/>
                <w:szCs w:val="24"/>
              </w:rPr>
              <w:t>600350</w:t>
            </w:r>
          </w:p>
        </w:tc>
        <w:tc>
          <w:tcPr>
            <w:vAlign w:val="center"/>
          </w:tcPr>
          <w:p>
            <w:pPr>
              <w:jc w:val="center"/>
            </w:pPr>
            <w:r>
              <w:rPr>
                <w:color w:val="000000"/>
                <w:sz w:val="24"/>
                <w:szCs w:val="24"/>
              </w:rPr>
              <w:t>山东高速</w:t>
            </w:r>
          </w:p>
        </w:tc>
        <w:tc>
          <w:tcPr>
            <w:vAlign w:val="center"/>
          </w:tcPr>
          <w:p>
            <w:pPr>
              <w:jc w:val="right"/>
            </w:pPr>
            <w:r>
              <w:rPr>
                <w:color w:val="000000"/>
                <w:sz w:val="24"/>
                <w:szCs w:val="24"/>
              </w:rPr>
              <w:t>820,200</w:t>
            </w:r>
          </w:p>
        </w:tc>
        <w:tc>
          <w:tcPr>
            <w:vAlign w:val="center"/>
          </w:tcPr>
          <w:p>
            <w:pPr>
              <w:jc w:val="right"/>
            </w:pPr>
            <w:r>
              <w:rPr>
                <w:color w:val="000000"/>
                <w:sz w:val="24"/>
                <w:szCs w:val="24"/>
              </w:rPr>
              <w:t>5,036,028.00</w:t>
            </w:r>
          </w:p>
        </w:tc>
        <w:tc>
          <w:tcPr>
            <w:vAlign w:val="center"/>
          </w:tcPr>
          <w:p>
            <w:pPr>
              <w:jc w:val="right"/>
            </w:pPr>
            <w:r>
              <w:rPr>
                <w:color w:val="000000"/>
                <w:sz w:val="24"/>
                <w:szCs w:val="24"/>
              </w:rPr>
              <w:t>0.81</w:t>
            </w:r>
          </w:p>
        </w:tc>
      </w:tr>
      <w:tr>
        <w:tc>
          <w:tcPr>
            <w:vAlign w:val="center"/>
          </w:tcPr>
          <w:p>
            <w:pPr>
              <w:jc w:val="center"/>
            </w:pPr>
            <w:r>
              <w:rPr>
                <w:color w:val="000000"/>
                <w:sz w:val="24"/>
                <w:szCs w:val="24"/>
              </w:rPr>
              <w:t>8</w:t>
            </w:r>
          </w:p>
        </w:tc>
        <w:tc>
          <w:tcPr>
            <w:vAlign w:val="center"/>
          </w:tcPr>
          <w:p>
            <w:pPr>
              <w:jc w:val="center"/>
            </w:pPr>
            <w:r>
              <w:rPr>
                <w:color w:val="000000"/>
                <w:sz w:val="24"/>
                <w:szCs w:val="24"/>
              </w:rPr>
              <w:t>601238</w:t>
            </w:r>
          </w:p>
        </w:tc>
        <w:tc>
          <w:tcPr>
            <w:vAlign w:val="center"/>
          </w:tcPr>
          <w:p>
            <w:pPr>
              <w:jc w:val="center"/>
            </w:pPr>
            <w:r>
              <w:rPr>
                <w:color w:val="000000"/>
                <w:sz w:val="24"/>
                <w:szCs w:val="24"/>
              </w:rPr>
              <w:t>广汽集团</w:t>
            </w:r>
          </w:p>
        </w:tc>
        <w:tc>
          <w:tcPr>
            <w:vAlign w:val="center"/>
          </w:tcPr>
          <w:p>
            <w:pPr>
              <w:jc w:val="right"/>
            </w:pPr>
            <w:r>
              <w:rPr>
                <w:color w:val="000000"/>
                <w:sz w:val="24"/>
                <w:szCs w:val="24"/>
              </w:rPr>
              <w:t>532,190</w:t>
            </w:r>
          </w:p>
        </w:tc>
        <w:tc>
          <w:tcPr>
            <w:vAlign w:val="center"/>
          </w:tcPr>
          <w:p>
            <w:pPr>
              <w:jc w:val="right"/>
            </w:pPr>
            <w:r>
              <w:rPr>
                <w:color w:val="000000"/>
                <w:sz w:val="24"/>
                <w:szCs w:val="24"/>
              </w:rPr>
              <w:t>4,789,710.00</w:t>
            </w:r>
          </w:p>
        </w:tc>
        <w:tc>
          <w:tcPr>
            <w:vAlign w:val="center"/>
          </w:tcPr>
          <w:p>
            <w:pPr>
              <w:jc w:val="right"/>
            </w:pPr>
            <w:r>
              <w:rPr>
                <w:color w:val="000000"/>
                <w:sz w:val="24"/>
                <w:szCs w:val="24"/>
              </w:rPr>
              <w:t>0.77</w:t>
            </w:r>
          </w:p>
        </w:tc>
      </w:tr>
      <w:tr>
        <w:tc>
          <w:tcPr>
            <w:vAlign w:val="center"/>
          </w:tcPr>
          <w:p>
            <w:pPr>
              <w:jc w:val="center"/>
            </w:pPr>
            <w:r>
              <w:rPr>
                <w:color w:val="000000"/>
                <w:sz w:val="24"/>
                <w:szCs w:val="24"/>
              </w:rPr>
              <w:t>9</w:t>
            </w:r>
          </w:p>
        </w:tc>
        <w:tc>
          <w:tcPr>
            <w:vAlign w:val="center"/>
          </w:tcPr>
          <w:p>
            <w:pPr>
              <w:jc w:val="center"/>
            </w:pPr>
            <w:r>
              <w:rPr>
                <w:color w:val="000000"/>
                <w:sz w:val="24"/>
                <w:szCs w:val="24"/>
              </w:rPr>
              <w:t>601088</w:t>
            </w:r>
          </w:p>
        </w:tc>
        <w:tc>
          <w:tcPr>
            <w:vAlign w:val="center"/>
          </w:tcPr>
          <w:p>
            <w:pPr>
              <w:jc w:val="center"/>
            </w:pPr>
            <w:r>
              <w:rPr>
                <w:color w:val="000000"/>
                <w:sz w:val="24"/>
                <w:szCs w:val="24"/>
              </w:rPr>
              <w:t>中国神华</w:t>
            </w:r>
          </w:p>
        </w:tc>
        <w:tc>
          <w:tcPr>
            <w:vAlign w:val="center"/>
          </w:tcPr>
          <w:p>
            <w:pPr>
              <w:jc w:val="right"/>
            </w:pPr>
            <w:r>
              <w:rPr>
                <w:color w:val="000000"/>
                <w:sz w:val="24"/>
                <w:szCs w:val="24"/>
              </w:rPr>
              <w:t>301,000</w:t>
            </w:r>
          </w:p>
        </w:tc>
        <w:tc>
          <w:tcPr>
            <w:vAlign w:val="center"/>
          </w:tcPr>
          <w:p>
            <w:pPr>
              <w:jc w:val="right"/>
            </w:pPr>
            <w:r>
              <w:rPr>
                <w:color w:val="000000"/>
                <w:sz w:val="24"/>
                <w:szCs w:val="24"/>
              </w:rPr>
              <w:t>4,322,360.00</w:t>
            </w:r>
          </w:p>
        </w:tc>
        <w:tc>
          <w:tcPr>
            <w:vAlign w:val="center"/>
          </w:tcPr>
          <w:p>
            <w:pPr>
              <w:jc w:val="right"/>
            </w:pPr>
            <w:r>
              <w:rPr>
                <w:color w:val="000000"/>
                <w:sz w:val="24"/>
                <w:szCs w:val="24"/>
              </w:rPr>
              <w:t>0.70</w:t>
            </w:r>
          </w:p>
        </w:tc>
      </w:tr>
      <w:tr>
        <w:tc>
          <w:tcPr>
            <w:vAlign w:val="center"/>
          </w:tcPr>
          <w:p>
            <w:pPr>
              <w:jc w:val="center"/>
            </w:pPr>
            <w:r>
              <w:rPr>
                <w:color w:val="000000"/>
                <w:sz w:val="24"/>
                <w:szCs w:val="24"/>
              </w:rPr>
              <w:t>10</w:t>
            </w:r>
          </w:p>
        </w:tc>
        <w:tc>
          <w:tcPr>
            <w:vAlign w:val="center"/>
          </w:tcPr>
          <w:p>
            <w:pPr>
              <w:jc w:val="center"/>
            </w:pPr>
            <w:r>
              <w:rPr>
                <w:color w:val="000000"/>
                <w:sz w:val="24"/>
                <w:szCs w:val="24"/>
              </w:rPr>
              <w:t>002120</w:t>
            </w:r>
          </w:p>
        </w:tc>
        <w:tc>
          <w:tcPr>
            <w:vAlign w:val="center"/>
          </w:tcPr>
          <w:p>
            <w:pPr>
              <w:jc w:val="center"/>
            </w:pPr>
            <w:r>
              <w:rPr>
                <w:color w:val="000000"/>
                <w:sz w:val="24"/>
                <w:szCs w:val="24"/>
              </w:rPr>
              <w:t>韵达股份</w:t>
            </w:r>
          </w:p>
        </w:tc>
        <w:tc>
          <w:tcPr>
            <w:vAlign w:val="center"/>
          </w:tcPr>
          <w:p>
            <w:pPr>
              <w:jc w:val="right"/>
            </w:pPr>
            <w:r>
              <w:rPr>
                <w:color w:val="000000"/>
                <w:sz w:val="24"/>
                <w:szCs w:val="24"/>
              </w:rPr>
              <w:t>175,500</w:t>
            </w:r>
          </w:p>
        </w:tc>
        <w:tc>
          <w:tcPr>
            <w:vAlign w:val="center"/>
          </w:tcPr>
          <w:p>
            <w:pPr>
              <w:jc w:val="right"/>
            </w:pPr>
            <w:r>
              <w:rPr>
                <w:color w:val="000000"/>
                <w:sz w:val="24"/>
                <w:szCs w:val="24"/>
              </w:rPr>
              <w:t>4,290,975.00</w:t>
            </w:r>
          </w:p>
        </w:tc>
        <w:tc>
          <w:tcPr>
            <w:vAlign w:val="center"/>
          </w:tcPr>
          <w:p>
            <w:pPr>
              <w:jc w:val="right"/>
            </w:pPr>
            <w:r>
              <w:rPr>
                <w:color w:val="000000"/>
                <w:sz w:val="24"/>
                <w:szCs w:val="24"/>
              </w:rPr>
              <w:t>0.69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34,957,346.50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5.62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76,674,361.90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12.33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76,674,361.90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12.33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141,217,180.00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22.71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10,005,000.00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1.61</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203,712,000.00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32.76</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1,140,033.80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0.18</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467,705,922.20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75.21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180208</w:t>
            </w:r>
          </w:p>
        </w:tc>
        <w:tc>
          <w:tcPr>
            <w:vAlign w:val="center"/>
          </w:tcPr>
          <w:p>
            <w:pPr>
              <w:jc w:val="center"/>
            </w:pPr>
            <w:r>
              <w:rPr>
                <w:color w:val="000000"/>
                <w:sz w:val="24"/>
                <w:szCs w:val="24"/>
              </w:rPr>
              <w:t>18国开08</w:t>
            </w:r>
          </w:p>
        </w:tc>
        <w:tc>
          <w:tcPr>
            <w:vAlign w:val="center"/>
          </w:tcPr>
          <w:p>
            <w:pPr>
              <w:jc w:val="right"/>
            </w:pPr>
            <w:r>
              <w:rPr>
                <w:color w:val="000000"/>
                <w:sz w:val="24"/>
                <w:szCs w:val="24"/>
              </w:rPr>
              <w:t>500,000</w:t>
            </w:r>
          </w:p>
        </w:tc>
        <w:tc>
          <w:tcPr>
            <w:vAlign w:val="center"/>
          </w:tcPr>
          <w:p>
            <w:pPr>
              <w:jc w:val="right"/>
            </w:pPr>
            <w:r>
              <w:rPr>
                <w:color w:val="000000"/>
                <w:sz w:val="24"/>
                <w:szCs w:val="24"/>
              </w:rPr>
              <w:t>50,755,000.00</w:t>
            </w:r>
          </w:p>
        </w:tc>
        <w:tc>
          <w:tcPr>
            <w:vAlign w:val="center"/>
          </w:tcPr>
          <w:p>
            <w:pPr>
              <w:jc w:val="right"/>
            </w:pPr>
            <w:r>
              <w:rPr>
                <w:color w:val="000000"/>
                <w:sz w:val="24"/>
                <w:szCs w:val="24"/>
              </w:rPr>
              <w:t>8.16</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229,510</w:t>
            </w:r>
          </w:p>
        </w:tc>
        <w:tc>
          <w:tcPr>
            <w:vAlign w:val="center"/>
          </w:tcPr>
          <w:p>
            <w:pPr>
              <w:jc w:val="right"/>
            </w:pPr>
            <w:r>
              <w:rPr>
                <w:color w:val="000000"/>
                <w:sz w:val="24"/>
                <w:szCs w:val="24"/>
              </w:rPr>
              <w:t>22,985,426.50</w:t>
            </w:r>
          </w:p>
        </w:tc>
        <w:tc>
          <w:tcPr>
            <w:vAlign w:val="center"/>
          </w:tcPr>
          <w:p>
            <w:pPr>
              <w:jc w:val="right"/>
            </w:pPr>
            <w:r>
              <w:rPr>
                <w:color w:val="000000"/>
                <w:sz w:val="24"/>
                <w:szCs w:val="24"/>
              </w:rPr>
              <w:t>3.70</w:t>
            </w:r>
          </w:p>
        </w:tc>
      </w:tr>
      <w:tr>
        <w:tc>
          <w:tcPr>
            <w:vAlign w:val="center"/>
          </w:tcPr>
          <w:p>
            <w:pPr>
              <w:jc w:val="center"/>
            </w:pPr>
            <w:r>
              <w:rPr>
                <w:color w:val="000000"/>
                <w:sz w:val="24"/>
                <w:szCs w:val="24"/>
              </w:rPr>
              <w:t>3</w:t>
            </w:r>
          </w:p>
        </w:tc>
        <w:tc>
          <w:tcPr>
            <w:vAlign w:val="center"/>
          </w:tcPr>
          <w:p>
            <w:pPr>
              <w:jc w:val="center"/>
            </w:pPr>
            <w:r>
              <w:rPr>
                <w:color w:val="000000"/>
                <w:sz w:val="24"/>
                <w:szCs w:val="24"/>
              </w:rPr>
              <w:t>1282414</w:t>
            </w:r>
          </w:p>
        </w:tc>
        <w:tc>
          <w:tcPr>
            <w:vAlign w:val="center"/>
          </w:tcPr>
          <w:p>
            <w:pPr>
              <w:jc w:val="center"/>
            </w:pPr>
            <w:r>
              <w:rPr>
                <w:color w:val="000000"/>
                <w:sz w:val="24"/>
                <w:szCs w:val="24"/>
              </w:rPr>
              <w:t>12国开投MTN2</w:t>
            </w:r>
          </w:p>
        </w:tc>
        <w:tc>
          <w:tcPr>
            <w:vAlign w:val="center"/>
          </w:tcPr>
          <w:p>
            <w:pPr>
              <w:jc w:val="right"/>
            </w:pPr>
            <w:r>
              <w:rPr>
                <w:color w:val="000000"/>
                <w:sz w:val="24"/>
                <w:szCs w:val="24"/>
              </w:rPr>
              <w:t>200,000</w:t>
            </w:r>
          </w:p>
        </w:tc>
        <w:tc>
          <w:tcPr>
            <w:vAlign w:val="center"/>
          </w:tcPr>
          <w:p>
            <w:pPr>
              <w:jc w:val="right"/>
            </w:pPr>
            <w:r>
              <w:rPr>
                <w:color w:val="000000"/>
                <w:sz w:val="24"/>
                <w:szCs w:val="24"/>
              </w:rPr>
              <w:t>21,068,000.00</w:t>
            </w:r>
          </w:p>
        </w:tc>
        <w:tc>
          <w:tcPr>
            <w:vAlign w:val="center"/>
          </w:tcPr>
          <w:p>
            <w:pPr>
              <w:jc w:val="right"/>
            </w:pPr>
            <w:r>
              <w:rPr>
                <w:color w:val="000000"/>
                <w:sz w:val="24"/>
                <w:szCs w:val="24"/>
              </w:rPr>
              <w:t>3.39</w:t>
            </w:r>
          </w:p>
        </w:tc>
      </w:tr>
      <w:tr>
        <w:tc>
          <w:tcPr>
            <w:vAlign w:val="center"/>
          </w:tcPr>
          <w:p>
            <w:pPr>
              <w:jc w:val="center"/>
            </w:pPr>
            <w:r>
              <w:rPr>
                <w:color w:val="000000"/>
                <w:sz w:val="24"/>
                <w:szCs w:val="24"/>
              </w:rPr>
              <w:t>4</w:t>
            </w:r>
          </w:p>
        </w:tc>
        <w:tc>
          <w:tcPr>
            <w:vAlign w:val="center"/>
          </w:tcPr>
          <w:p>
            <w:pPr>
              <w:jc w:val="center"/>
            </w:pPr>
            <w:r>
              <w:rPr>
                <w:color w:val="000000"/>
                <w:sz w:val="24"/>
                <w:szCs w:val="24"/>
              </w:rPr>
              <w:t>190015</w:t>
            </w:r>
          </w:p>
        </w:tc>
        <w:tc>
          <w:tcPr>
            <w:vAlign w:val="center"/>
          </w:tcPr>
          <w:p>
            <w:pPr>
              <w:jc w:val="center"/>
            </w:pPr>
            <w:r>
              <w:rPr>
                <w:color w:val="000000"/>
                <w:sz w:val="24"/>
                <w:szCs w:val="24"/>
              </w:rPr>
              <w:t>19附息国债15</w:t>
            </w:r>
          </w:p>
        </w:tc>
        <w:tc>
          <w:tcPr>
            <w:vAlign w:val="center"/>
          </w:tcPr>
          <w:p>
            <w:pPr>
              <w:jc w:val="right"/>
            </w:pPr>
            <w:r>
              <w:rPr>
                <w:color w:val="000000"/>
                <w:sz w:val="24"/>
                <w:szCs w:val="24"/>
              </w:rPr>
              <w:t>200,000</w:t>
            </w:r>
          </w:p>
        </w:tc>
        <w:tc>
          <w:tcPr>
            <w:vAlign w:val="center"/>
          </w:tcPr>
          <w:p>
            <w:pPr>
              <w:jc w:val="right"/>
            </w:pPr>
            <w:r>
              <w:rPr>
                <w:color w:val="000000"/>
                <w:sz w:val="24"/>
                <w:szCs w:val="24"/>
              </w:rPr>
              <w:t>20,450,000.00</w:t>
            </w:r>
          </w:p>
        </w:tc>
        <w:tc>
          <w:tcPr>
            <w:vAlign w:val="center"/>
          </w:tcPr>
          <w:p>
            <w:pPr>
              <w:jc w:val="right"/>
            </w:pPr>
            <w:r>
              <w:rPr>
                <w:color w:val="000000"/>
                <w:sz w:val="24"/>
                <w:szCs w:val="24"/>
              </w:rPr>
              <w:t>3.29</w:t>
            </w:r>
          </w:p>
        </w:tc>
      </w:tr>
      <w:tr>
        <w:tc>
          <w:tcPr>
            <w:vAlign w:val="center"/>
          </w:tcPr>
          <w:p>
            <w:pPr>
              <w:jc w:val="center"/>
            </w:pPr>
            <w:r>
              <w:rPr>
                <w:color w:val="000000"/>
                <w:sz w:val="24"/>
                <w:szCs w:val="24"/>
              </w:rPr>
              <w:t>5</w:t>
            </w:r>
          </w:p>
        </w:tc>
        <w:tc>
          <w:tcPr>
            <w:vAlign w:val="center"/>
          </w:tcPr>
          <w:p>
            <w:pPr>
              <w:jc w:val="center"/>
            </w:pPr>
            <w:r>
              <w:rPr>
                <w:color w:val="000000"/>
                <w:sz w:val="24"/>
                <w:szCs w:val="24"/>
              </w:rPr>
              <w:t>101900630</w:t>
            </w:r>
          </w:p>
        </w:tc>
        <w:tc>
          <w:tcPr>
            <w:vAlign w:val="center"/>
          </w:tcPr>
          <w:p>
            <w:pPr>
              <w:jc w:val="center"/>
            </w:pPr>
            <w:r>
              <w:rPr>
                <w:color w:val="000000"/>
                <w:sz w:val="24"/>
                <w:szCs w:val="24"/>
              </w:rPr>
              <w:t>19京国资MTN001</w:t>
            </w:r>
          </w:p>
        </w:tc>
        <w:tc>
          <w:tcPr>
            <w:vAlign w:val="center"/>
          </w:tcPr>
          <w:p>
            <w:pPr>
              <w:jc w:val="right"/>
            </w:pPr>
            <w:r>
              <w:rPr>
                <w:color w:val="000000"/>
                <w:sz w:val="24"/>
                <w:szCs w:val="24"/>
              </w:rPr>
              <w:t>200,000</w:t>
            </w:r>
          </w:p>
        </w:tc>
        <w:tc>
          <w:tcPr>
            <w:vAlign w:val="center"/>
          </w:tcPr>
          <w:p>
            <w:pPr>
              <w:jc w:val="right"/>
            </w:pPr>
            <w:r>
              <w:rPr>
                <w:color w:val="000000"/>
                <w:sz w:val="24"/>
                <w:szCs w:val="24"/>
              </w:rPr>
              <w:t>20,348,000.00</w:t>
            </w:r>
          </w:p>
        </w:tc>
        <w:tc>
          <w:tcPr>
            <w:vAlign w:val="center"/>
          </w:tcPr>
          <w:p>
            <w:pPr>
              <w:jc w:val="right"/>
            </w:pPr>
            <w:r>
              <w:rPr>
                <w:color w:val="000000"/>
                <w:sz w:val="24"/>
                <w:szCs w:val="24"/>
              </w:rPr>
              <w:t>3.27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报告期内本基金投资的前十名证券的发行主体除18招商G8（证券代码：143762）外，未出现被监管部门立案调查，或在报告编制日前一年内受到公开谴责、处罚的情形。</w:t>
      </w:r>
    </w:p>
    <w:p>
      <w:pPr>
        <w:autoSpaceDE w:val="0"/>
        <w:autoSpaceDN w:val="0"/>
        <w:adjustRightInd w:val="0"/>
        <w:spacing w:before="29" w:line="288" w:lineRule="auto"/>
        <w:jc w:val="left"/>
        <w:rPr>
          <w:b/>
          <w:bCs/>
          <w:color w:val="000000"/>
          <w:kern w:val="0"/>
          <w:sz w:val="24"/>
          <w:szCs w:val="24"/>
        </w:rPr>
      </w:pPr>
      <w:r>
        <w:rPr>
          <w:bCs/>
          <w:color w:val="000000"/>
          <w:kern w:val="0"/>
          <w:sz w:val="24"/>
          <w:szCs w:val="24"/>
        </w:rPr>
        <w:t>报告期内本基金投资的前十名证券之一18招商G8（证券代码：143762）的发行主体招商证券于2019年9月11日公告，中国证监会北京监管局向公司北京朝外大街证券营业部下发了《关于对招商证券股份有限公司北京朝外大街证券营业部采取责令改正并增加合规检查次数措施的决定》（[2019]96号），认为该营业部在为某客户开立融资融券账户时，由于员工操作失误，该营业部将融资融券账户错误关联到另一客户股东账户下；在代销产品过程中，该营业部向某客户进行风险提示的留痕缺失。因此，北京证监局对该营业部作出责令改正并增加合规检查次数的监督管理措施决定。</w:t>
      </w:r>
    </w:p>
    <w:p>
      <w:pPr>
        <w:autoSpaceDE w:val="0"/>
        <w:autoSpaceDN w:val="0"/>
        <w:adjustRightInd w:val="0"/>
        <w:spacing w:before="29" w:line="288" w:lineRule="auto"/>
        <w:jc w:val="left"/>
        <w:rPr>
          <w:b/>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27,236.75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10,878,459.98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7,188,120.77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6,352.07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18,100,169.57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110059</w:t>
            </w:r>
          </w:p>
        </w:tc>
        <w:tc>
          <w:tcPr>
            <w:vAlign w:val="center"/>
          </w:tcPr>
          <w:p>
            <w:pPr>
              <w:jc w:val="center"/>
            </w:pPr>
            <w:r>
              <w:rPr>
                <w:color w:val="000000"/>
                <w:sz w:val="24"/>
                <w:szCs w:val="24"/>
              </w:rPr>
              <w:t>浦发转债</w:t>
            </w:r>
          </w:p>
        </w:tc>
        <w:tc>
          <w:tcPr>
            <w:vAlign w:val="center"/>
          </w:tcPr>
          <w:p>
            <w:pPr>
              <w:jc w:val="right"/>
            </w:pPr>
            <w:r>
              <w:rPr>
                <w:color w:val="000000"/>
                <w:sz w:val="24"/>
                <w:szCs w:val="24"/>
              </w:rPr>
              <w:t>1,136,646.00</w:t>
            </w:r>
          </w:p>
        </w:tc>
        <w:tc>
          <w:tcPr>
            <w:vAlign w:val="center"/>
          </w:tcPr>
          <w:p>
            <w:pPr>
              <w:jc w:val="right"/>
            </w:pPr>
            <w:r>
              <w:rPr>
                <w:color w:val="000000"/>
                <w:sz w:val="24"/>
                <w:szCs w:val="24"/>
              </w:rPr>
              <w:t>0.18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263,583,497.85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335,178,544.26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52,455,700.80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546,306,341.31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123,694,879.96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123,694,879.96</w:t>
            </w:r>
          </w:p>
        </w:tc>
        <w:tc>
          <w:tcPr>
            <w:vAlign w:val="center"/>
          </w:tcPr>
          <w:p>
            <w:pPr>
              <w:jc w:val="center"/>
            </w:pPr>
            <w:r>
              <w:rPr>
                <w:rFonts w:ascii="宋体" w:hAnsi="宋体"/>
                <w:color w:val="000000"/>
                <w:kern w:val="0"/>
              </w:rPr>
              <w:t>22.64%</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17.57%</w:t>
            </w:r>
          </w:p>
        </w:tc>
      </w:tr>
      <w:tr>
        <w:tc>
          <w:tcPr>
            <w:vMerge/>
          </w:tcPr>
          <w:p/>
        </w:tc>
        <w:tc>
          <w:tcPr>
            <w:vAlign w:val="center"/>
          </w:tcPr>
          <w:p>
            <w:pPr>
              <w:jc w:val="center"/>
            </w:pPr>
            <w:r>
              <w:rPr>
                <w:rFonts w:ascii="宋体" w:hAnsi="宋体"/>
                <w:color w:val="000000"/>
                <w:kern w:val="0"/>
              </w:rPr>
              <w:t>3</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95,968,330.13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47,984,165.07</w:t>
            </w:r>
          </w:p>
        </w:tc>
        <w:tc>
          <w:tcPr>
            <w:vAlign w:val="center"/>
          </w:tcPr>
          <w:p>
            <w:pPr>
              <w:jc w:val="center"/>
            </w:pPr>
            <w:r>
              <w:rPr>
                <w:rFonts w:ascii="宋体" w:hAnsi="宋体"/>
                <w:color w:val="000000"/>
                <w:kern w:val="0"/>
              </w:rPr>
              <w:t>47,984,165.06</w:t>
            </w:r>
          </w:p>
        </w:tc>
        <w:tc>
          <w:tcPr>
            <w:vAlign w:val="center"/>
          </w:tcPr>
          <w:p>
            <w:pPr>
              <w:jc w:val="center"/>
            </w:pPr>
            <w:r>
              <w:rPr>
                <w:rFonts w:ascii="宋体" w:hAnsi="宋体"/>
                <w:color w:val="000000"/>
                <w:kern w:val="0"/>
              </w:rPr>
              <w:t>8.78%</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1、中国证监会准予交银施罗德荣鑫保本混合型证券投资基金募集注册的文件；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2、《交银施罗德荣鑫灵活配置混合型证券投资基金基金合同》；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3、《交银施罗德荣鑫灵活配置混合型证券投资基金招募说明书》；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4、《交银施罗德荣鑫灵活配置混合型证券投资基金托管协议》；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5、《交银施罗德荣鑫保本混合型证券投资基金基金合同》；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6、《交银施罗德荣鑫保本混合型证券投资基金招募说明书》；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7、《交银施罗德荣鑫保本混合型证券投资基金托管协议》； </w:t>
      </w:r>
    </w:p>
    <w:p>
      <w:pPr>
        <w:spacing w:before="29" w:line="288" w:lineRule="auto"/>
        <w:ind w:firstLine="480" w:firstLineChars="200"/>
        <w:rPr>
          <w:color w:val="000000"/>
          <w:sz w:val="24"/>
          <w:szCs w:val="24"/>
        </w:rPr>
      </w:pPr>
      <w:r>
        <w:rPr>
          <w:color w:val="000000"/>
          <w:sz w:val="24"/>
          <w:szCs w:val="24"/>
        </w:rPr>
        <w:t>8、《交银施罗德荣鑫保本混合型证券投资基金保证合同》；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11、关于申请募集注册交银施罗德荣鑫保本混合型证券投资基金的法律意见书；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12、关于修改《交银施罗德荣鑫保本混合型证券投资基金基金合同》的法律意见书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13、报告期内交银施罗德荣鑫保本混合型证券投资基金、交银施罗德荣鑫灵活配置混合型证券投资基金在指定报刊上各项公告的原稿。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交银施罗德荣鑫灵活配置混合型证券投资基金2020年第2季度报告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