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交银施罗德恒益灵活配置混合型证券投资基金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交银恒益灵活配置混合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004975</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004975</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2017年9月15日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463,605,910.13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本基金在有效控制投资风险的前提下，通过积极主动的投资管理，力争获取超越业绩比较基准的投资收益，追求基金资产的长期稳定增值。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沪深300指数收益率×40%+中证综合债券指数收益率×60%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9,984,410.17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11,865,878.31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0.0310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528,850,809.52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1.1407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2.79%</w:t>
            </w:r>
          </w:p>
        </w:tc>
        <w:tc>
          <w:tcPr>
            <w:vAlign w:val="center"/>
          </w:tcPr>
          <w:p>
            <w:pPr>
              <w:jc w:val="center"/>
            </w:pPr>
            <w:r>
              <w:rPr>
                <w:color w:val="000000"/>
                <w:sz w:val="24"/>
                <w:szCs w:val="24"/>
              </w:rPr>
              <w:t>0.18%</w:t>
            </w:r>
          </w:p>
        </w:tc>
        <w:tc>
          <w:tcPr>
            <w:vAlign w:val="center"/>
          </w:tcPr>
          <w:p>
            <w:pPr>
              <w:jc w:val="center"/>
            </w:pPr>
            <w:r>
              <w:rPr>
                <w:color w:val="000000"/>
                <w:sz w:val="24"/>
                <w:szCs w:val="24"/>
              </w:rPr>
              <w:t>4.90%</w:t>
            </w:r>
          </w:p>
        </w:tc>
        <w:tc>
          <w:tcPr>
            <w:vAlign w:val="center"/>
          </w:tcPr>
          <w:p>
            <w:pPr>
              <w:jc w:val="center"/>
            </w:pPr>
            <w:r>
              <w:rPr>
                <w:color w:val="000000"/>
                <w:sz w:val="24"/>
                <w:szCs w:val="24"/>
              </w:rPr>
              <w:t>0.37%</w:t>
            </w:r>
          </w:p>
        </w:tc>
        <w:tc>
          <w:tcPr>
            <w:vAlign w:val="center"/>
          </w:tcPr>
          <w:p>
            <w:pPr>
              <w:jc w:val="center"/>
            </w:pPr>
            <w:r>
              <w:rPr>
                <w:color w:val="000000"/>
                <w:sz w:val="24"/>
                <w:szCs w:val="24"/>
              </w:rPr>
              <w:t>-2.11%</w:t>
            </w:r>
          </w:p>
        </w:tc>
        <w:tc>
          <w:tcPr>
            <w:vAlign w:val="center"/>
          </w:tcPr>
          <w:p>
            <w:pPr>
              <w:jc w:val="center"/>
            </w:pPr>
            <w:r>
              <w:rPr>
                <w:color w:val="000000"/>
                <w:sz w:val="24"/>
                <w:szCs w:val="24"/>
              </w:rPr>
              <w:t>-0.19%</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3.86%</w:t>
            </w:r>
          </w:p>
        </w:tc>
        <w:tc>
          <w:tcPr>
            <w:vAlign w:val="center"/>
          </w:tcPr>
          <w:p>
            <w:pPr>
              <w:jc w:val="center"/>
            </w:pPr>
            <w:r>
              <w:rPr>
                <w:color w:val="000000"/>
                <w:sz w:val="24"/>
                <w:szCs w:val="24"/>
              </w:rPr>
              <w:t>0.31%</w:t>
            </w:r>
          </w:p>
        </w:tc>
        <w:tc>
          <w:tcPr>
            <w:vAlign w:val="center"/>
          </w:tcPr>
          <w:p>
            <w:pPr>
              <w:jc w:val="center"/>
            </w:pPr>
            <w:r>
              <w:rPr>
                <w:color w:val="000000"/>
                <w:sz w:val="24"/>
                <w:szCs w:val="24"/>
              </w:rPr>
              <w:t>2.40%</w:t>
            </w:r>
          </w:p>
        </w:tc>
        <w:tc>
          <w:tcPr>
            <w:vAlign w:val="center"/>
          </w:tcPr>
          <w:p>
            <w:pPr>
              <w:jc w:val="center"/>
            </w:pPr>
            <w:r>
              <w:rPr>
                <w:color w:val="000000"/>
                <w:sz w:val="24"/>
                <w:szCs w:val="24"/>
              </w:rPr>
              <w:t>0.59%</w:t>
            </w:r>
          </w:p>
        </w:tc>
        <w:tc>
          <w:tcPr>
            <w:vAlign w:val="center"/>
          </w:tcPr>
          <w:p>
            <w:pPr>
              <w:jc w:val="center"/>
            </w:pPr>
            <w:r>
              <w:rPr>
                <w:color w:val="000000"/>
                <w:sz w:val="24"/>
                <w:szCs w:val="24"/>
              </w:rPr>
              <w:t>1.46%</w:t>
            </w:r>
          </w:p>
        </w:tc>
        <w:tc>
          <w:tcPr>
            <w:vAlign w:val="center"/>
          </w:tcPr>
          <w:p>
            <w:pPr>
              <w:jc w:val="center"/>
            </w:pPr>
            <w:r>
              <w:rPr>
                <w:color w:val="000000"/>
                <w:sz w:val="24"/>
                <w:szCs w:val="24"/>
              </w:rPr>
              <w:t>-0.28%</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11.44%</w:t>
            </w:r>
          </w:p>
        </w:tc>
        <w:tc>
          <w:tcPr>
            <w:vAlign w:val="center"/>
          </w:tcPr>
          <w:p>
            <w:pPr>
              <w:jc w:val="center"/>
            </w:pPr>
            <w:r>
              <w:rPr>
                <w:color w:val="000000"/>
                <w:sz w:val="24"/>
                <w:szCs w:val="24"/>
              </w:rPr>
              <w:t>0.26%</w:t>
            </w:r>
          </w:p>
        </w:tc>
        <w:tc>
          <w:tcPr>
            <w:vAlign w:val="center"/>
          </w:tcPr>
          <w:p>
            <w:pPr>
              <w:jc w:val="center"/>
            </w:pPr>
            <w:r>
              <w:rPr>
                <w:color w:val="000000"/>
                <w:sz w:val="24"/>
                <w:szCs w:val="24"/>
              </w:rPr>
              <w:t>7.01%</w:t>
            </w:r>
          </w:p>
        </w:tc>
        <w:tc>
          <w:tcPr>
            <w:vAlign w:val="center"/>
          </w:tcPr>
          <w:p>
            <w:pPr>
              <w:jc w:val="center"/>
            </w:pPr>
            <w:r>
              <w:rPr>
                <w:color w:val="000000"/>
                <w:sz w:val="24"/>
                <w:szCs w:val="24"/>
              </w:rPr>
              <w:t>0.48%</w:t>
            </w:r>
          </w:p>
        </w:tc>
        <w:tc>
          <w:tcPr>
            <w:vAlign w:val="center"/>
          </w:tcPr>
          <w:p>
            <w:pPr>
              <w:jc w:val="center"/>
            </w:pPr>
            <w:r>
              <w:rPr>
                <w:color w:val="000000"/>
                <w:sz w:val="24"/>
                <w:szCs w:val="24"/>
              </w:rPr>
              <w:t>4.43%</w:t>
            </w:r>
          </w:p>
        </w:tc>
        <w:tc>
          <w:tcPr>
            <w:vAlign w:val="center"/>
          </w:tcPr>
          <w:p>
            <w:pPr>
              <w:jc w:val="center"/>
            </w:pPr>
            <w:r>
              <w:rPr>
                <w:color w:val="000000"/>
                <w:sz w:val="24"/>
                <w:szCs w:val="24"/>
              </w:rPr>
              <w:t>-0.22%</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14.07%</w:t>
            </w:r>
          </w:p>
        </w:tc>
        <w:tc>
          <w:tcPr>
            <w:vAlign w:val="center"/>
          </w:tcPr>
          <w:p>
            <w:pPr>
              <w:jc w:val="center"/>
            </w:pPr>
            <w:r>
              <w:rPr>
                <w:color w:val="000000"/>
                <w:sz w:val="24"/>
                <w:szCs w:val="24"/>
              </w:rPr>
              <w:t>0.45%</w:t>
            </w:r>
          </w:p>
        </w:tc>
        <w:tc>
          <w:tcPr>
            <w:vAlign w:val="center"/>
          </w:tcPr>
          <w:p>
            <w:pPr>
              <w:jc w:val="center"/>
            </w:pPr>
            <w:r>
              <w:rPr>
                <w:color w:val="000000"/>
                <w:sz w:val="24"/>
                <w:szCs w:val="24"/>
              </w:rPr>
              <w:t>14.32%</w:t>
            </w:r>
          </w:p>
        </w:tc>
        <w:tc>
          <w:tcPr>
            <w:vAlign w:val="center"/>
          </w:tcPr>
          <w:p>
            <w:pPr>
              <w:jc w:val="center"/>
            </w:pPr>
            <w:r>
              <w:rPr>
                <w:color w:val="000000"/>
                <w:sz w:val="24"/>
                <w:szCs w:val="24"/>
              </w:rPr>
              <w:t>0.51%</w:t>
            </w:r>
          </w:p>
        </w:tc>
        <w:tc>
          <w:tcPr>
            <w:vAlign w:val="center"/>
          </w:tcPr>
          <w:p>
            <w:pPr>
              <w:jc w:val="center"/>
            </w:pPr>
            <w:r>
              <w:rPr>
                <w:color w:val="000000"/>
                <w:sz w:val="24"/>
                <w:szCs w:val="24"/>
              </w:rPr>
              <w:t>-0.25%</w:t>
            </w:r>
          </w:p>
        </w:tc>
        <w:tc>
          <w:tcPr>
            <w:vAlign w:val="center"/>
          </w:tcPr>
          <w:p>
            <w:pPr>
              <w:jc w:val="center"/>
            </w:pPr>
            <w:r>
              <w:rPr>
                <w:color w:val="000000"/>
                <w:sz w:val="24"/>
                <w:szCs w:val="24"/>
              </w:rPr>
              <w:t>-0.06%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交银施罗德恒益灵活配置混合型证券投资基金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2017年9月15日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李娜</w:t>
            </w:r>
          </w:p>
        </w:tc>
        <w:tc>
          <w:tcPr>
            <w:vAlign w:val="center"/>
          </w:tcPr>
          <w:p>
            <w:pPr>
              <w:jc w:val="center"/>
            </w:pPr>
            <w:r>
              <w:rPr>
                <w:color w:val="000000"/>
                <w:sz w:val="24"/>
                <w:szCs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szCs w:val="24"/>
              </w:rPr>
              <w:t>2019-06-18</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szCs w:val="24"/>
              </w:rPr>
              <w:t>凌超</w:t>
            </w:r>
          </w:p>
        </w:tc>
        <w:tc>
          <w:tcPr>
            <w:vAlign w:val="center"/>
          </w:tcPr>
          <w:p>
            <w:pPr>
              <w:jc w:val="center"/>
            </w:pPr>
            <w:r>
              <w:rPr>
                <w:color w:val="000000"/>
                <w:sz w:val="24"/>
                <w:szCs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szCs w:val="24"/>
              </w:rPr>
              <w:t>2019-07-20</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券市场初期走势仍然较为火热，但随着后期资金面利率水平上行、央行货币政策防空转及经济逐步复苏的影响，收益率呈现先下后上的V型走势。四月，因市场资金面仍然相对宽裕，国外新冠病情持续发酵，受悲观预期影响，债市仍在持续火热。但步入五月伊始，国内疫情逐步控制，经济逐步恢复企稳，央行开始关注资金空转的影响，引导资金利率水平上行，政策开始趋向精准投放以提高信用派生的针对性和有效性，债券收益率开始触底回升；进入六月，经济持续恢复，资金利率水平维持在高位，信用派生政策持续发力，债券利率持续上行后，逐步进入高位震荡状态。</w:t>
      </w:r>
    </w:p>
    <w:p>
      <w:pPr>
        <w:spacing w:before="29" w:line="288" w:lineRule="auto"/>
        <w:ind w:firstLine="480" w:firstLineChars="200"/>
        <w:rPr>
          <w:color w:val="000000"/>
          <w:sz w:val="24"/>
          <w:szCs w:val="24"/>
        </w:rPr>
      </w:pPr>
      <w:r>
        <w:rPr>
          <w:color w:val="000000"/>
          <w:sz w:val="24"/>
          <w:szCs w:val="24"/>
        </w:rPr>
        <w:t>二季度，权益市场走势较为良好，在经济逐步企稳恢复、全球流动性同时宽裕的背景下，主要指数表现趋势上涨的势头，特别是创业板指数更是持续上行并创出年内新高。在四月，市场逐步企稳恢复，消费医药和业绩较好的科技类个股表现突出，五月国内经济逐步恢复，经济托底相关政策也不断出台，市场出现进一步回暖，医药消费、消费电子龙头品种、新能源汽车产业链等品种均表现亮眼。步入六月之后，虽然国外疫情仍然持续，但各国主要股指均进一步回升，部分指数甚至接近大跌之前的位置。A股主要指数也大幅恢复，创业板指数更是创下年内新高。</w:t>
      </w:r>
    </w:p>
    <w:p>
      <w:pPr>
        <w:spacing w:before="29" w:line="288" w:lineRule="auto"/>
        <w:ind w:firstLine="480" w:firstLineChars="200"/>
        <w:rPr>
          <w:color w:val="000000"/>
          <w:sz w:val="24"/>
          <w:szCs w:val="24"/>
        </w:rPr>
      </w:pPr>
      <w:r>
        <w:rPr>
          <w:color w:val="000000"/>
          <w:sz w:val="24"/>
          <w:szCs w:val="24"/>
        </w:rPr>
        <w:t>在基金操作中，债券部分我们维持中短久期高等级信用债的底仓配置，以获取稳定的票息收益。权益方面，随着市场逐步回暖，在总体稳健的基础上，将持仓结构调整得更加平衡。此外，组合积极参与权益及转债的一级申购，以增厚组合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三季度，随着经济的逐步复苏，新冠疫情影响的逐步趋弱，债券预期将维持震荡的格局。目前来看，政策带来的经济复苏更多是出于对冲经济下滑幅度和就业维持稳定的良好状态，在不出现政策大幅度向投资转向的背景下，经济向上弹性较弱，债券收益率暂时看不到太大的上行空间。由于经济目前仍在复苏过程之中，货币政策短期进一步宽松的可能性下降，债市在目前收益率水平下趋于震荡的概率偏大。未来基金将维持底仓配置中短久期高等级信用债品种，以获取票息收益，并根据市场变化动态调整组合久期。权益方面，我们将继续维持稳健品种配置，保持对景气度较高行业投资机会的关注。同时我们将继续积极参加权益及转债的一级申购，以期增厚组合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128,183,142.12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128,183,142.12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403,967,864.40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403,967,864.40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5,209,412.92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0.96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6,910,996.38</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544,271,415.82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1,066,948.00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0.20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39,986,459.26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7.56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13,336,633.40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5,380,368.00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12,729,661.61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4,509,043.16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31,497,992.73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14,054,226.00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396,271.60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5,212,772.04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128,183,142.12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24.24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587,800</w:t>
            </w:r>
          </w:p>
        </w:tc>
        <w:tc>
          <w:tcPr>
            <w:vAlign w:val="center"/>
          </w:tcPr>
          <w:p>
            <w:pPr>
              <w:jc w:val="right"/>
            </w:pPr>
            <w:r>
              <w:rPr>
                <w:color w:val="000000"/>
                <w:sz w:val="24"/>
                <w:szCs w:val="24"/>
              </w:rPr>
              <w:t>8,687,684.00</w:t>
            </w:r>
          </w:p>
        </w:tc>
        <w:tc>
          <w:tcPr>
            <w:vAlign w:val="center"/>
          </w:tcPr>
          <w:p>
            <w:pPr>
              <w:jc w:val="right"/>
            </w:pPr>
            <w:r>
              <w:rPr>
                <w:color w:val="000000"/>
                <w:sz w:val="24"/>
                <w:szCs w:val="24"/>
              </w:rPr>
              <w:t>1.64</w:t>
            </w:r>
          </w:p>
        </w:tc>
      </w:tr>
      <w:tr>
        <w:tc>
          <w:tcPr>
            <w:vAlign w:val="center"/>
          </w:tcPr>
          <w:p>
            <w:pPr>
              <w:jc w:val="center"/>
            </w:pPr>
            <w:r>
              <w:rPr>
                <w:color w:val="000000"/>
                <w:sz w:val="24"/>
                <w:szCs w:val="24"/>
              </w:rPr>
              <w:t>2</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360,380</w:t>
            </w:r>
          </w:p>
        </w:tc>
        <w:tc>
          <w:tcPr>
            <w:vAlign w:val="center"/>
          </w:tcPr>
          <w:p>
            <w:pPr>
              <w:jc w:val="right"/>
            </w:pPr>
            <w:r>
              <w:rPr>
                <w:color w:val="000000"/>
                <w:sz w:val="24"/>
                <w:szCs w:val="24"/>
              </w:rPr>
              <w:t>8,613,082.00</w:t>
            </w:r>
          </w:p>
        </w:tc>
        <w:tc>
          <w:tcPr>
            <w:vAlign w:val="center"/>
          </w:tcPr>
          <w:p>
            <w:pPr>
              <w:jc w:val="right"/>
            </w:pPr>
            <w:r>
              <w:rPr>
                <w:color w:val="000000"/>
                <w:sz w:val="24"/>
                <w:szCs w:val="24"/>
              </w:rPr>
              <w:t>1.63</w:t>
            </w:r>
          </w:p>
        </w:tc>
      </w:tr>
      <w:tr>
        <w:tc>
          <w:tcPr>
            <w:vAlign w:val="center"/>
          </w:tcPr>
          <w:p>
            <w:pPr>
              <w:jc w:val="center"/>
            </w:pPr>
            <w:r>
              <w:rPr>
                <w:color w:val="000000"/>
                <w:sz w:val="24"/>
                <w:szCs w:val="24"/>
              </w:rPr>
              <w:t>3</w:t>
            </w:r>
          </w:p>
        </w:tc>
        <w:tc>
          <w:tcPr>
            <w:vAlign w:val="center"/>
          </w:tcPr>
          <w:p>
            <w:pPr>
              <w:jc w:val="center"/>
            </w:pPr>
            <w:r>
              <w:rPr>
                <w:color w:val="000000"/>
                <w:sz w:val="24"/>
                <w:szCs w:val="24"/>
              </w:rPr>
              <w:t>601939</w:t>
            </w:r>
          </w:p>
        </w:tc>
        <w:tc>
          <w:tcPr>
            <w:vAlign w:val="center"/>
          </w:tcPr>
          <w:p>
            <w:pPr>
              <w:jc w:val="center"/>
            </w:pPr>
            <w:r>
              <w:rPr>
                <w:color w:val="000000"/>
                <w:sz w:val="24"/>
                <w:szCs w:val="24"/>
              </w:rPr>
              <w:t>建设银行</w:t>
            </w:r>
          </w:p>
        </w:tc>
        <w:tc>
          <w:tcPr>
            <w:vAlign w:val="center"/>
          </w:tcPr>
          <w:p>
            <w:pPr>
              <w:jc w:val="right"/>
            </w:pPr>
            <w:r>
              <w:rPr>
                <w:color w:val="000000"/>
                <w:sz w:val="24"/>
                <w:szCs w:val="24"/>
              </w:rPr>
              <w:t>1,285,900</w:t>
            </w:r>
          </w:p>
        </w:tc>
        <w:tc>
          <w:tcPr>
            <w:vAlign w:val="center"/>
          </w:tcPr>
          <w:p>
            <w:pPr>
              <w:jc w:val="right"/>
            </w:pPr>
            <w:r>
              <w:rPr>
                <w:color w:val="000000"/>
                <w:sz w:val="24"/>
                <w:szCs w:val="24"/>
              </w:rPr>
              <w:t>8,114,029.00</w:t>
            </w:r>
          </w:p>
        </w:tc>
        <w:tc>
          <w:tcPr>
            <w:vAlign w:val="center"/>
          </w:tcPr>
          <w:p>
            <w:pPr>
              <w:jc w:val="right"/>
            </w:pPr>
            <w:r>
              <w:rPr>
                <w:color w:val="000000"/>
                <w:sz w:val="24"/>
                <w:szCs w:val="24"/>
              </w:rPr>
              <w:t>1.53</w:t>
            </w:r>
          </w:p>
        </w:tc>
      </w:tr>
      <w:tr>
        <w:tc>
          <w:tcPr>
            <w:vAlign w:val="center"/>
          </w:tcPr>
          <w:p>
            <w:pPr>
              <w:jc w:val="center"/>
            </w:pPr>
            <w:r>
              <w:rPr>
                <w:color w:val="000000"/>
                <w:sz w:val="24"/>
                <w:szCs w:val="24"/>
              </w:rPr>
              <w:t>4</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1,554,400</w:t>
            </w:r>
          </w:p>
        </w:tc>
        <w:tc>
          <w:tcPr>
            <w:vAlign w:val="center"/>
          </w:tcPr>
          <w:p>
            <w:pPr>
              <w:jc w:val="right"/>
            </w:pPr>
            <w:r>
              <w:rPr>
                <w:color w:val="000000"/>
                <w:sz w:val="24"/>
                <w:szCs w:val="24"/>
              </w:rPr>
              <w:t>7,740,912.00</w:t>
            </w:r>
          </w:p>
        </w:tc>
        <w:tc>
          <w:tcPr>
            <w:vAlign w:val="center"/>
          </w:tcPr>
          <w:p>
            <w:pPr>
              <w:jc w:val="right"/>
            </w:pPr>
            <w:r>
              <w:rPr>
                <w:color w:val="000000"/>
                <w:sz w:val="24"/>
                <w:szCs w:val="24"/>
              </w:rPr>
              <w:t>1.46</w:t>
            </w:r>
          </w:p>
        </w:tc>
      </w:tr>
      <w:tr>
        <w:tc>
          <w:tcPr>
            <w:vAlign w:val="center"/>
          </w:tcPr>
          <w:p>
            <w:pPr>
              <w:jc w:val="center"/>
            </w:pPr>
            <w:r>
              <w:rPr>
                <w:color w:val="000000"/>
                <w:sz w:val="24"/>
                <w:szCs w:val="24"/>
              </w:rPr>
              <w:t>5</w:t>
            </w:r>
          </w:p>
        </w:tc>
        <w:tc>
          <w:tcPr>
            <w:vAlign w:val="center"/>
          </w:tcPr>
          <w:p>
            <w:pPr>
              <w:jc w:val="center"/>
            </w:pPr>
            <w:r>
              <w:rPr>
                <w:color w:val="000000"/>
                <w:sz w:val="24"/>
                <w:szCs w:val="24"/>
              </w:rPr>
              <w:t>601668</w:t>
            </w:r>
          </w:p>
        </w:tc>
        <w:tc>
          <w:tcPr>
            <w:vAlign w:val="center"/>
          </w:tcPr>
          <w:p>
            <w:pPr>
              <w:jc w:val="center"/>
            </w:pPr>
            <w:r>
              <w:rPr>
                <w:color w:val="000000"/>
                <w:sz w:val="24"/>
                <w:szCs w:val="24"/>
              </w:rPr>
              <w:t>中国建筑</w:t>
            </w:r>
          </w:p>
        </w:tc>
        <w:tc>
          <w:tcPr>
            <w:vAlign w:val="center"/>
          </w:tcPr>
          <w:p>
            <w:pPr>
              <w:jc w:val="right"/>
            </w:pPr>
            <w:r>
              <w:rPr>
                <w:color w:val="000000"/>
                <w:sz w:val="24"/>
                <w:szCs w:val="24"/>
              </w:rPr>
              <w:t>1,163,300</w:t>
            </w:r>
          </w:p>
        </w:tc>
        <w:tc>
          <w:tcPr>
            <w:vAlign w:val="center"/>
          </w:tcPr>
          <w:p>
            <w:pPr>
              <w:jc w:val="right"/>
            </w:pPr>
            <w:r>
              <w:rPr>
                <w:color w:val="000000"/>
                <w:sz w:val="24"/>
                <w:szCs w:val="24"/>
              </w:rPr>
              <w:t>5,548,941.00</w:t>
            </w:r>
          </w:p>
        </w:tc>
        <w:tc>
          <w:tcPr>
            <w:vAlign w:val="center"/>
          </w:tcPr>
          <w:p>
            <w:pPr>
              <w:jc w:val="right"/>
            </w:pPr>
            <w:r>
              <w:rPr>
                <w:color w:val="000000"/>
                <w:sz w:val="24"/>
                <w:szCs w:val="24"/>
              </w:rPr>
              <w:t>1.05</w:t>
            </w:r>
          </w:p>
        </w:tc>
      </w:tr>
      <w:tr>
        <w:tc>
          <w:tcPr>
            <w:vAlign w:val="center"/>
          </w:tcPr>
          <w:p>
            <w:pPr>
              <w:jc w:val="center"/>
            </w:pPr>
            <w:r>
              <w:rPr>
                <w:color w:val="000000"/>
                <w:sz w:val="24"/>
                <w:szCs w:val="24"/>
              </w:rPr>
              <w:t>6</w:t>
            </w:r>
          </w:p>
        </w:tc>
        <w:tc>
          <w:tcPr>
            <w:vAlign w:val="center"/>
          </w:tcPr>
          <w:p>
            <w:pPr>
              <w:jc w:val="center"/>
            </w:pPr>
            <w:r>
              <w:rPr>
                <w:color w:val="000000"/>
                <w:sz w:val="24"/>
                <w:szCs w:val="24"/>
              </w:rPr>
              <w:t>601933</w:t>
            </w:r>
          </w:p>
        </w:tc>
        <w:tc>
          <w:tcPr>
            <w:vAlign w:val="center"/>
          </w:tcPr>
          <w:p>
            <w:pPr>
              <w:jc w:val="center"/>
            </w:pPr>
            <w:r>
              <w:rPr>
                <w:color w:val="000000"/>
                <w:sz w:val="24"/>
                <w:szCs w:val="24"/>
              </w:rPr>
              <w:t>永辉超市</w:t>
            </w:r>
          </w:p>
        </w:tc>
        <w:tc>
          <w:tcPr>
            <w:vAlign w:val="center"/>
          </w:tcPr>
          <w:p>
            <w:pPr>
              <w:jc w:val="right"/>
            </w:pPr>
            <w:r>
              <w:rPr>
                <w:color w:val="000000"/>
                <w:sz w:val="24"/>
                <w:szCs w:val="24"/>
              </w:rPr>
              <w:t>573,600</w:t>
            </w:r>
          </w:p>
        </w:tc>
        <w:tc>
          <w:tcPr>
            <w:vAlign w:val="center"/>
          </w:tcPr>
          <w:p>
            <w:pPr>
              <w:jc w:val="right"/>
            </w:pPr>
            <w:r>
              <w:rPr>
                <w:color w:val="000000"/>
                <w:sz w:val="24"/>
                <w:szCs w:val="24"/>
              </w:rPr>
              <w:t>5,380,368.00</w:t>
            </w:r>
          </w:p>
        </w:tc>
        <w:tc>
          <w:tcPr>
            <w:vAlign w:val="center"/>
          </w:tcPr>
          <w:p>
            <w:pPr>
              <w:jc w:val="right"/>
            </w:pPr>
            <w:r>
              <w:rPr>
                <w:color w:val="000000"/>
                <w:sz w:val="24"/>
                <w:szCs w:val="24"/>
              </w:rPr>
              <w:t>1.02</w:t>
            </w:r>
          </w:p>
        </w:tc>
      </w:tr>
      <w:tr>
        <w:tc>
          <w:tcPr>
            <w:vAlign w:val="center"/>
          </w:tcPr>
          <w:p>
            <w:pPr>
              <w:jc w:val="center"/>
            </w:pPr>
            <w:r>
              <w:rPr>
                <w:color w:val="000000"/>
                <w:sz w:val="24"/>
                <w:szCs w:val="24"/>
              </w:rPr>
              <w:t>7</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205,300</w:t>
            </w:r>
          </w:p>
        </w:tc>
        <w:tc>
          <w:tcPr>
            <w:vAlign w:val="center"/>
          </w:tcPr>
          <w:p>
            <w:pPr>
              <w:jc w:val="right"/>
            </w:pPr>
            <w:r>
              <w:rPr>
                <w:color w:val="000000"/>
                <w:sz w:val="24"/>
                <w:szCs w:val="24"/>
              </w:rPr>
              <w:t>5,366,542.00</w:t>
            </w:r>
          </w:p>
        </w:tc>
        <w:tc>
          <w:tcPr>
            <w:vAlign w:val="center"/>
          </w:tcPr>
          <w:p>
            <w:pPr>
              <w:jc w:val="right"/>
            </w:pPr>
            <w:r>
              <w:rPr>
                <w:color w:val="000000"/>
                <w:sz w:val="24"/>
                <w:szCs w:val="24"/>
              </w:rPr>
              <w:t>1.01</w:t>
            </w:r>
          </w:p>
        </w:tc>
      </w:tr>
      <w:tr>
        <w:tc>
          <w:tcPr>
            <w:vAlign w:val="center"/>
          </w:tcPr>
          <w:p>
            <w:pPr>
              <w:jc w:val="center"/>
            </w:pPr>
            <w:r>
              <w:rPr>
                <w:color w:val="000000"/>
                <w:sz w:val="24"/>
                <w:szCs w:val="24"/>
              </w:rPr>
              <w:t>8</w:t>
            </w:r>
          </w:p>
        </w:tc>
        <w:tc>
          <w:tcPr>
            <w:vAlign w:val="center"/>
          </w:tcPr>
          <w:p>
            <w:pPr>
              <w:jc w:val="center"/>
            </w:pPr>
            <w:r>
              <w:rPr>
                <w:color w:val="000000"/>
                <w:sz w:val="24"/>
                <w:szCs w:val="24"/>
              </w:rPr>
              <w:t>001965</w:t>
            </w:r>
          </w:p>
        </w:tc>
        <w:tc>
          <w:tcPr>
            <w:vAlign w:val="center"/>
          </w:tcPr>
          <w:p>
            <w:pPr>
              <w:jc w:val="center"/>
            </w:pPr>
            <w:r>
              <w:rPr>
                <w:color w:val="000000"/>
                <w:sz w:val="24"/>
                <w:szCs w:val="24"/>
              </w:rPr>
              <w:t>招商公路</w:t>
            </w:r>
          </w:p>
        </w:tc>
        <w:tc>
          <w:tcPr>
            <w:vAlign w:val="center"/>
          </w:tcPr>
          <w:p>
            <w:pPr>
              <w:jc w:val="right"/>
            </w:pPr>
            <w:r>
              <w:rPr>
                <w:color w:val="000000"/>
                <w:sz w:val="24"/>
                <w:szCs w:val="24"/>
              </w:rPr>
              <w:t>778,085</w:t>
            </w:r>
          </w:p>
        </w:tc>
        <w:tc>
          <w:tcPr>
            <w:vAlign w:val="center"/>
          </w:tcPr>
          <w:p>
            <w:pPr>
              <w:jc w:val="right"/>
            </w:pPr>
            <w:r>
              <w:rPr>
                <w:color w:val="000000"/>
                <w:sz w:val="24"/>
                <w:szCs w:val="24"/>
              </w:rPr>
              <w:t>5,236,512.05</w:t>
            </w:r>
          </w:p>
        </w:tc>
        <w:tc>
          <w:tcPr>
            <w:vAlign w:val="center"/>
          </w:tcPr>
          <w:p>
            <w:pPr>
              <w:jc w:val="right"/>
            </w:pPr>
            <w:r>
              <w:rPr>
                <w:color w:val="000000"/>
                <w:sz w:val="24"/>
                <w:szCs w:val="24"/>
              </w:rPr>
              <w:t>0.99</w:t>
            </w:r>
          </w:p>
        </w:tc>
      </w:tr>
      <w:tr>
        <w:tc>
          <w:tcPr>
            <w:vAlign w:val="center"/>
          </w:tcPr>
          <w:p>
            <w:pPr>
              <w:jc w:val="center"/>
            </w:pPr>
            <w:r>
              <w:rPr>
                <w:color w:val="000000"/>
                <w:sz w:val="24"/>
                <w:szCs w:val="24"/>
              </w:rPr>
              <w:t>9</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128,700</w:t>
            </w:r>
          </w:p>
        </w:tc>
        <w:tc>
          <w:tcPr>
            <w:vAlign w:val="center"/>
          </w:tcPr>
          <w:p>
            <w:pPr>
              <w:jc w:val="right"/>
            </w:pPr>
            <w:r>
              <w:rPr>
                <w:color w:val="000000"/>
                <w:sz w:val="24"/>
                <w:szCs w:val="24"/>
              </w:rPr>
              <w:t>5,229,081.00</w:t>
            </w:r>
          </w:p>
        </w:tc>
        <w:tc>
          <w:tcPr>
            <w:vAlign w:val="center"/>
          </w:tcPr>
          <w:p>
            <w:pPr>
              <w:jc w:val="right"/>
            </w:pPr>
            <w:r>
              <w:rPr>
                <w:color w:val="000000"/>
                <w:sz w:val="24"/>
                <w:szCs w:val="24"/>
              </w:rPr>
              <w:t>0.99</w:t>
            </w:r>
          </w:p>
        </w:tc>
      </w:tr>
      <w:tr>
        <w:tc>
          <w:tcPr>
            <w:vAlign w:val="center"/>
          </w:tcPr>
          <w:p>
            <w:pPr>
              <w:jc w:val="center"/>
            </w:pPr>
            <w:r>
              <w:rPr>
                <w:color w:val="000000"/>
                <w:sz w:val="24"/>
                <w:szCs w:val="24"/>
              </w:rPr>
              <w:t>10</w:t>
            </w:r>
          </w:p>
        </w:tc>
        <w:tc>
          <w:tcPr>
            <w:vAlign w:val="center"/>
          </w:tcPr>
          <w:p>
            <w:pPr>
              <w:jc w:val="center"/>
            </w:pPr>
            <w:r>
              <w:rPr>
                <w:color w:val="000000"/>
                <w:sz w:val="24"/>
                <w:szCs w:val="24"/>
              </w:rPr>
              <w:t>300070</w:t>
            </w:r>
          </w:p>
        </w:tc>
        <w:tc>
          <w:tcPr>
            <w:vAlign w:val="center"/>
          </w:tcPr>
          <w:p>
            <w:pPr>
              <w:jc w:val="center"/>
            </w:pPr>
            <w:r>
              <w:rPr>
                <w:color w:val="000000"/>
                <w:sz w:val="24"/>
                <w:szCs w:val="24"/>
              </w:rPr>
              <w:t>碧水源</w:t>
            </w:r>
          </w:p>
        </w:tc>
        <w:tc>
          <w:tcPr>
            <w:vAlign w:val="center"/>
          </w:tcPr>
          <w:p>
            <w:pPr>
              <w:jc w:val="right"/>
            </w:pPr>
            <w:r>
              <w:rPr>
                <w:color w:val="000000"/>
                <w:sz w:val="24"/>
                <w:szCs w:val="24"/>
              </w:rPr>
              <w:t>641,967</w:t>
            </w:r>
          </w:p>
        </w:tc>
        <w:tc>
          <w:tcPr>
            <w:vAlign w:val="center"/>
          </w:tcPr>
          <w:p>
            <w:pPr>
              <w:jc w:val="right"/>
            </w:pPr>
            <w:r>
              <w:rPr>
                <w:color w:val="000000"/>
                <w:sz w:val="24"/>
                <w:szCs w:val="24"/>
              </w:rPr>
              <w:t>5,212,772.04</w:t>
            </w:r>
          </w:p>
        </w:tc>
        <w:tc>
          <w:tcPr>
            <w:vAlign w:val="center"/>
          </w:tcPr>
          <w:p>
            <w:pPr>
              <w:jc w:val="right"/>
            </w:pPr>
            <w:r>
              <w:rPr>
                <w:color w:val="000000"/>
                <w:sz w:val="24"/>
                <w:szCs w:val="24"/>
              </w:rPr>
              <w:t>0.99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17,852,922.00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3.38</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51,730,942.40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9.78</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51,730,942.40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9.78</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171,414,000.00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32.41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10,005,000.00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1.89</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152,964,000.00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28.92</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403,967,864.40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76.39</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018006</w:t>
            </w:r>
          </w:p>
        </w:tc>
        <w:tc>
          <w:tcPr>
            <w:vAlign w:val="center"/>
          </w:tcPr>
          <w:p>
            <w:pPr>
              <w:jc w:val="center"/>
            </w:pPr>
            <w:r>
              <w:rPr>
                <w:color w:val="000000"/>
                <w:sz w:val="24"/>
                <w:szCs w:val="24"/>
              </w:rPr>
              <w:t>国开1702</w:t>
            </w:r>
          </w:p>
        </w:tc>
        <w:tc>
          <w:tcPr>
            <w:vAlign w:val="center"/>
          </w:tcPr>
          <w:p>
            <w:pPr>
              <w:jc w:val="right"/>
            </w:pPr>
            <w:r>
              <w:rPr>
                <w:color w:val="000000"/>
                <w:sz w:val="24"/>
                <w:szCs w:val="24"/>
              </w:rPr>
              <w:t>309,280</w:t>
            </w:r>
          </w:p>
        </w:tc>
        <w:tc>
          <w:tcPr>
            <w:vAlign w:val="center"/>
          </w:tcPr>
          <w:p>
            <w:pPr>
              <w:jc w:val="right"/>
            </w:pPr>
            <w:r>
              <w:rPr>
                <w:color w:val="000000"/>
                <w:sz w:val="24"/>
                <w:szCs w:val="24"/>
              </w:rPr>
              <w:t>31,725,942.40</w:t>
            </w:r>
          </w:p>
        </w:tc>
        <w:tc>
          <w:tcPr>
            <w:vAlign w:val="center"/>
          </w:tcPr>
          <w:p>
            <w:pPr>
              <w:jc w:val="right"/>
            </w:pPr>
            <w:r>
              <w:rPr>
                <w:color w:val="000000"/>
                <w:sz w:val="24"/>
                <w:szCs w:val="24"/>
              </w:rPr>
              <w:t>6.00</w:t>
            </w:r>
          </w:p>
        </w:tc>
      </w:tr>
      <w:tr>
        <w:tc>
          <w:tcPr>
            <w:vAlign w:val="center"/>
          </w:tcPr>
          <w:p>
            <w:pPr>
              <w:jc w:val="center"/>
            </w:pPr>
            <w:r>
              <w:rPr>
                <w:color w:val="000000"/>
                <w:sz w:val="24"/>
                <w:szCs w:val="24"/>
              </w:rPr>
              <w:t>2</w:t>
            </w:r>
          </w:p>
        </w:tc>
        <w:tc>
          <w:tcPr>
            <w:vAlign w:val="center"/>
          </w:tcPr>
          <w:p>
            <w:pPr>
              <w:jc w:val="center"/>
            </w:pPr>
            <w:r>
              <w:rPr>
                <w:color w:val="000000"/>
                <w:sz w:val="24"/>
                <w:szCs w:val="24"/>
              </w:rPr>
              <w:t>101900926</w:t>
            </w:r>
          </w:p>
        </w:tc>
        <w:tc>
          <w:tcPr>
            <w:vAlign w:val="center"/>
          </w:tcPr>
          <w:p>
            <w:pPr>
              <w:jc w:val="center"/>
            </w:pPr>
            <w:r>
              <w:rPr>
                <w:color w:val="000000"/>
                <w:sz w:val="24"/>
                <w:szCs w:val="24"/>
              </w:rPr>
              <w:t>19中电投MTN013</w:t>
            </w:r>
          </w:p>
        </w:tc>
        <w:tc>
          <w:tcPr>
            <w:vAlign w:val="center"/>
          </w:tcPr>
          <w:p>
            <w:pPr>
              <w:jc w:val="right"/>
            </w:pPr>
            <w:r>
              <w:rPr>
                <w:color w:val="000000"/>
                <w:sz w:val="24"/>
                <w:szCs w:val="24"/>
              </w:rPr>
              <w:t>300,000</w:t>
            </w:r>
          </w:p>
        </w:tc>
        <w:tc>
          <w:tcPr>
            <w:vAlign w:val="center"/>
          </w:tcPr>
          <w:p>
            <w:pPr>
              <w:jc w:val="right"/>
            </w:pPr>
            <w:r>
              <w:rPr>
                <w:color w:val="000000"/>
                <w:sz w:val="24"/>
                <w:szCs w:val="24"/>
              </w:rPr>
              <w:t>30,555,000.00</w:t>
            </w:r>
          </w:p>
        </w:tc>
        <w:tc>
          <w:tcPr>
            <w:vAlign w:val="center"/>
          </w:tcPr>
          <w:p>
            <w:pPr>
              <w:jc w:val="right"/>
            </w:pPr>
            <w:r>
              <w:rPr>
                <w:color w:val="000000"/>
                <w:sz w:val="24"/>
                <w:szCs w:val="24"/>
              </w:rPr>
              <w:t>5.78</w:t>
            </w:r>
          </w:p>
        </w:tc>
      </w:tr>
      <w:tr>
        <w:tc>
          <w:tcPr>
            <w:vAlign w:val="center"/>
          </w:tcPr>
          <w:p>
            <w:pPr>
              <w:jc w:val="center"/>
            </w:pPr>
            <w:r>
              <w:rPr>
                <w:color w:val="000000"/>
                <w:sz w:val="24"/>
                <w:szCs w:val="24"/>
              </w:rPr>
              <w:t>3</w:t>
            </w:r>
          </w:p>
        </w:tc>
        <w:tc>
          <w:tcPr>
            <w:vAlign w:val="center"/>
          </w:tcPr>
          <w:p>
            <w:pPr>
              <w:jc w:val="center"/>
            </w:pPr>
            <w:r>
              <w:rPr>
                <w:color w:val="000000"/>
                <w:sz w:val="24"/>
                <w:szCs w:val="24"/>
              </w:rPr>
              <w:t>101901298</w:t>
            </w:r>
          </w:p>
        </w:tc>
        <w:tc>
          <w:tcPr>
            <w:vAlign w:val="center"/>
          </w:tcPr>
          <w:p>
            <w:pPr>
              <w:jc w:val="center"/>
            </w:pPr>
            <w:r>
              <w:rPr>
                <w:color w:val="000000"/>
                <w:sz w:val="24"/>
                <w:szCs w:val="24"/>
              </w:rPr>
              <w:t>19国电MTN003</w:t>
            </w:r>
          </w:p>
        </w:tc>
        <w:tc>
          <w:tcPr>
            <w:vAlign w:val="center"/>
          </w:tcPr>
          <w:p>
            <w:pPr>
              <w:jc w:val="right"/>
            </w:pPr>
            <w:r>
              <w:rPr>
                <w:color w:val="000000"/>
                <w:sz w:val="24"/>
                <w:szCs w:val="24"/>
              </w:rPr>
              <w:t>200,000</w:t>
            </w:r>
          </w:p>
        </w:tc>
        <w:tc>
          <w:tcPr>
            <w:vAlign w:val="center"/>
          </w:tcPr>
          <w:p>
            <w:pPr>
              <w:jc w:val="right"/>
            </w:pPr>
            <w:r>
              <w:rPr>
                <w:color w:val="000000"/>
                <w:sz w:val="24"/>
                <w:szCs w:val="24"/>
              </w:rPr>
              <w:t>20,296,000.00</w:t>
            </w:r>
          </w:p>
        </w:tc>
        <w:tc>
          <w:tcPr>
            <w:vAlign w:val="center"/>
          </w:tcPr>
          <w:p>
            <w:pPr>
              <w:jc w:val="right"/>
            </w:pPr>
            <w:r>
              <w:rPr>
                <w:color w:val="000000"/>
                <w:sz w:val="24"/>
                <w:szCs w:val="24"/>
              </w:rPr>
              <w:t>3.84</w:t>
            </w:r>
          </w:p>
        </w:tc>
      </w:tr>
      <w:tr>
        <w:tc>
          <w:tcPr>
            <w:vAlign w:val="center"/>
          </w:tcPr>
          <w:p>
            <w:pPr>
              <w:jc w:val="center"/>
            </w:pPr>
            <w:r>
              <w:rPr>
                <w:color w:val="000000"/>
                <w:sz w:val="24"/>
                <w:szCs w:val="24"/>
              </w:rPr>
              <w:t>4</w:t>
            </w:r>
          </w:p>
        </w:tc>
        <w:tc>
          <w:tcPr>
            <w:vAlign w:val="center"/>
          </w:tcPr>
          <w:p>
            <w:pPr>
              <w:jc w:val="center"/>
            </w:pPr>
            <w:r>
              <w:rPr>
                <w:color w:val="000000"/>
                <w:sz w:val="24"/>
                <w:szCs w:val="24"/>
              </w:rPr>
              <w:t>101900125</w:t>
            </w:r>
          </w:p>
        </w:tc>
        <w:tc>
          <w:tcPr>
            <w:vAlign w:val="center"/>
          </w:tcPr>
          <w:p>
            <w:pPr>
              <w:jc w:val="center"/>
            </w:pPr>
            <w:r>
              <w:rPr>
                <w:color w:val="000000"/>
                <w:sz w:val="24"/>
                <w:szCs w:val="24"/>
              </w:rPr>
              <w:t>19国电MTN001</w:t>
            </w:r>
          </w:p>
        </w:tc>
        <w:tc>
          <w:tcPr>
            <w:vAlign w:val="center"/>
          </w:tcPr>
          <w:p>
            <w:pPr>
              <w:jc w:val="right"/>
            </w:pPr>
            <w:r>
              <w:rPr>
                <w:color w:val="000000"/>
                <w:sz w:val="24"/>
                <w:szCs w:val="24"/>
              </w:rPr>
              <w:t>200,000</w:t>
            </w:r>
          </w:p>
        </w:tc>
        <w:tc>
          <w:tcPr>
            <w:vAlign w:val="center"/>
          </w:tcPr>
          <w:p>
            <w:pPr>
              <w:jc w:val="right"/>
            </w:pPr>
            <w:r>
              <w:rPr>
                <w:color w:val="000000"/>
                <w:sz w:val="24"/>
                <w:szCs w:val="24"/>
              </w:rPr>
              <w:t>20,242,000.00</w:t>
            </w:r>
          </w:p>
        </w:tc>
        <w:tc>
          <w:tcPr>
            <w:vAlign w:val="center"/>
          </w:tcPr>
          <w:p>
            <w:pPr>
              <w:jc w:val="right"/>
            </w:pPr>
            <w:r>
              <w:rPr>
                <w:color w:val="000000"/>
                <w:sz w:val="24"/>
                <w:szCs w:val="24"/>
              </w:rPr>
              <w:t>3.83</w:t>
            </w:r>
          </w:p>
        </w:tc>
      </w:tr>
      <w:tr>
        <w:tc>
          <w:tcPr>
            <w:vAlign w:val="center"/>
          </w:tcPr>
          <w:p>
            <w:pPr>
              <w:jc w:val="center"/>
            </w:pPr>
            <w:r>
              <w:rPr>
                <w:color w:val="000000"/>
                <w:sz w:val="24"/>
                <w:szCs w:val="24"/>
              </w:rPr>
              <w:t>5</w:t>
            </w:r>
          </w:p>
        </w:tc>
        <w:tc>
          <w:tcPr>
            <w:vAlign w:val="center"/>
          </w:tcPr>
          <w:p>
            <w:pPr>
              <w:jc w:val="center"/>
            </w:pPr>
            <w:r>
              <w:rPr>
                <w:color w:val="000000"/>
                <w:sz w:val="24"/>
                <w:szCs w:val="24"/>
              </w:rPr>
              <w:t>155462</w:t>
            </w:r>
          </w:p>
        </w:tc>
        <w:tc>
          <w:tcPr>
            <w:vAlign w:val="center"/>
          </w:tcPr>
          <w:p>
            <w:pPr>
              <w:jc w:val="center"/>
            </w:pPr>
            <w:r>
              <w:rPr>
                <w:color w:val="000000"/>
                <w:sz w:val="24"/>
                <w:szCs w:val="24"/>
              </w:rPr>
              <w:t>19中船03</w:t>
            </w:r>
          </w:p>
        </w:tc>
        <w:tc>
          <w:tcPr>
            <w:vAlign w:val="center"/>
          </w:tcPr>
          <w:p>
            <w:pPr>
              <w:jc w:val="right"/>
            </w:pPr>
            <w:r>
              <w:rPr>
                <w:color w:val="000000"/>
                <w:sz w:val="24"/>
                <w:szCs w:val="24"/>
              </w:rPr>
              <w:t>200,000</w:t>
            </w:r>
          </w:p>
        </w:tc>
        <w:tc>
          <w:tcPr>
            <w:vAlign w:val="center"/>
          </w:tcPr>
          <w:p>
            <w:pPr>
              <w:jc w:val="right"/>
            </w:pPr>
            <w:r>
              <w:rPr>
                <w:color w:val="000000"/>
                <w:sz w:val="24"/>
                <w:szCs w:val="24"/>
              </w:rPr>
              <w:t>20,126,000.00</w:t>
            </w:r>
          </w:p>
        </w:tc>
        <w:tc>
          <w:tcPr>
            <w:vAlign w:val="center"/>
          </w:tcPr>
          <w:p>
            <w:pPr>
              <w:jc w:val="right"/>
            </w:pPr>
            <w:r>
              <w:rPr>
                <w:color w:val="000000"/>
                <w:sz w:val="24"/>
                <w:szCs w:val="24"/>
              </w:rPr>
              <w:t>3.81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12,935.57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6,882,358.84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15,696.93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5.04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6,910,996.38</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307,139,049.46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169,111,064.65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12,644,203.98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463,605,910.13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2020/4/1-2020/6/30</w:t>
            </w:r>
          </w:p>
        </w:tc>
        <w:tc>
          <w:tcPr>
            <w:vAlign w:val="center"/>
          </w:tcPr>
          <w:p>
            <w:pPr>
              <w:jc w:val="center"/>
            </w:pPr>
            <w:r>
              <w:rPr>
                <w:rFonts w:ascii="宋体" w:hAnsi="宋体"/>
                <w:color w:val="000000"/>
                <w:kern w:val="0"/>
              </w:rPr>
              <w:t>53,960,331.43</w:t>
            </w:r>
          </w:p>
        </w:tc>
        <w:tc>
          <w:tcPr>
            <w:vAlign w:val="center"/>
          </w:tcPr>
          <w:p>
            <w:pPr>
              <w:jc w:val="center"/>
            </w:pPr>
            <w:r>
              <w:rPr>
                <w:rFonts w:ascii="宋体" w:hAnsi="宋体"/>
                <w:color w:val="000000"/>
                <w:kern w:val="0"/>
              </w:rPr>
              <w:t>36,011,589.94</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89,971,921.37</w:t>
            </w:r>
          </w:p>
        </w:tc>
        <w:tc>
          <w:tcPr>
            <w:vAlign w:val="center"/>
          </w:tcPr>
          <w:p>
            <w:pPr>
              <w:jc w:val="center"/>
            </w:pPr>
            <w:r>
              <w:rPr>
                <w:rFonts w:ascii="宋体" w:hAnsi="宋体"/>
                <w:color w:val="000000"/>
                <w:kern w:val="0"/>
              </w:rPr>
              <w:t>19.41%</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2020/4/1-2020/6/30</w:t>
            </w:r>
          </w:p>
        </w:tc>
        <w:tc>
          <w:tcPr>
            <w:vAlign w:val="center"/>
          </w:tcPr>
          <w:p>
            <w:pPr>
              <w:jc w:val="center"/>
            </w:pPr>
            <w:r>
              <w:rPr>
                <w:rFonts w:ascii="宋体" w:hAnsi="宋体"/>
                <w:color w:val="000000"/>
                <w:kern w:val="0"/>
              </w:rPr>
              <w:t>98,589,174.80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98,589,174.80</w:t>
            </w:r>
          </w:p>
        </w:tc>
        <w:tc>
          <w:tcPr>
            <w:vAlign w:val="center"/>
          </w:tcPr>
          <w:p>
            <w:pPr>
              <w:jc w:val="center"/>
            </w:pPr>
            <w:r>
              <w:rPr>
                <w:rFonts w:ascii="宋体" w:hAnsi="宋体"/>
                <w:color w:val="000000"/>
                <w:kern w:val="0"/>
              </w:rPr>
              <w:t>21.27%</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1、中国证监会准予交银施罗德恒益灵活配置混合型证券投资基金募集注册的文件；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2、《交银施罗德恒益灵活配置混合型证券投资基金基金合同》；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3、《交银施罗德恒益灵活配置混合型证券投资基金招募说明书》；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4、《交银施罗德恒益灵活配置混合型证券投资基金托管协议》；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5、关于申请募集注册交银施罗德恒益灵活配置混合型证券投资基金的法律意见书；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8、报告期内交银施罗德恒益灵活配置混合型证券投资基金在指定报刊上各项公告的原稿。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交银施罗德恒益灵活配置混合型证券投资基金2020年第2季度报告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