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交银施罗德沪港深价值精选灵活配置混合型证券投资基金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二〇二〇年七月二十一日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1E33D3" w:rsidRDefault="00BF0FAE">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2020</w:t>
      </w:r>
      <w:r>
        <w:rPr>
          <w:color w:val="000000"/>
          <w:sz w:val="24"/>
          <w:szCs w:val="24"/>
        </w:rPr>
        <w:t>年</w:t>
      </w:r>
      <w:r>
        <w:rPr>
          <w:color w:val="000000"/>
          <w:sz w:val="24"/>
          <w:szCs w:val="24"/>
        </w:rPr>
        <w:t>7</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交银沪港深价值精选混合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519779</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519779</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11</w:t>
            </w:r>
            <w:r w:rsidRPr="00414345">
              <w:rPr>
                <w:color w:val="000000"/>
                <w:kern w:val="0"/>
                <w:sz w:val="24"/>
                <w:szCs w:val="24"/>
              </w:rPr>
              <w:t>月</w:t>
            </w:r>
            <w:r w:rsidRPr="00414345">
              <w:rPr>
                <w:color w:val="000000"/>
                <w:kern w:val="0"/>
                <w:sz w:val="24"/>
                <w:szCs w:val="24"/>
              </w:rPr>
              <w:t>7</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308,749,105.89</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本基金通过优化资产配置和灵活运用多种投资策略，把握沪港通及后续资本市场开放政策带来的投资机会，力争实现基金资产的长期稳定增值。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×40%+</w:t>
            </w:r>
            <w:r w:rsidRPr="00414345">
              <w:rPr>
                <w:color w:val="000000"/>
                <w:kern w:val="0"/>
                <w:sz w:val="24"/>
                <w:szCs w:val="24"/>
              </w:rPr>
              <w:t>恒生指数收益率</w:t>
            </w:r>
            <w:r w:rsidRPr="00414345">
              <w:rPr>
                <w:color w:val="000000"/>
                <w:kern w:val="0"/>
                <w:sz w:val="24"/>
                <w:szCs w:val="24"/>
              </w:rPr>
              <w:t>×40%+</w:t>
            </w:r>
            <w:r w:rsidRPr="00414345">
              <w:rPr>
                <w:color w:val="000000"/>
                <w:kern w:val="0"/>
                <w:sz w:val="24"/>
                <w:szCs w:val="24"/>
              </w:rPr>
              <w:t>中证综合债券指数收益率</w:t>
            </w:r>
            <w:r w:rsidRPr="00414345">
              <w:rPr>
                <w:color w:val="000000"/>
                <w:kern w:val="0"/>
                <w:sz w:val="24"/>
                <w:szCs w:val="24"/>
              </w:rPr>
              <w:t>×20%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E33D3" w:rsidRDefault="00BF0FAE">
            <w:pPr>
              <w:adjustRightInd w:val="0"/>
              <w:spacing w:before="29" w:line="288" w:lineRule="auto"/>
              <w:ind w:left="17"/>
              <w:jc w:val="left"/>
              <w:rPr>
                <w:color w:val="000000"/>
                <w:sz w:val="24"/>
                <w:szCs w:val="24"/>
              </w:rPr>
            </w:pPr>
            <w:r>
              <w:rPr>
                <w:color w:val="000000"/>
                <w:kern w:val="0"/>
                <w:sz w:val="24"/>
                <w:szCs w:val="24"/>
              </w:rPr>
              <w:t>本基金是一只混合型基金，其风险和预期收益高于债</w:t>
            </w:r>
            <w:r>
              <w:rPr>
                <w:color w:val="000000"/>
                <w:kern w:val="0"/>
                <w:sz w:val="24"/>
                <w:szCs w:val="24"/>
              </w:rPr>
              <w:lastRenderedPageBreak/>
              <w:t>券型基金和货币市场基金，低于股票型基金。属于承担较高风险、预期收益较高的证券投资基金品种。</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本基金可投资港股通标的股票，会面临港股通机制下因投资环境、投资标的、市场制度以及交易规则等差异带来的特有风险。</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BF0FAE" w:rsidRPr="00414345" w:rsidTr="00BF0FAE">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BF0FAE" w:rsidRPr="00414345" w:rsidTr="00BF0FA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2,055,804.82</w:t>
            </w:r>
          </w:p>
        </w:tc>
      </w:tr>
      <w:tr w:rsidR="00BF0FAE" w:rsidRPr="00414345" w:rsidTr="00BF0FA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104,152,333.65</w:t>
            </w:r>
          </w:p>
        </w:tc>
      </w:tr>
      <w:tr w:rsidR="00BF0FAE" w:rsidRPr="00414345" w:rsidTr="00BF0FA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0.3454</w:t>
            </w:r>
          </w:p>
        </w:tc>
      </w:tr>
      <w:tr w:rsidR="00BF0FAE" w:rsidRPr="00414345" w:rsidTr="00BF0FA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510,719,294.97</w:t>
            </w:r>
          </w:p>
        </w:tc>
      </w:tr>
      <w:tr w:rsidR="00BF0FAE" w:rsidRPr="00414345" w:rsidTr="00BF0FAE">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1.654</w:t>
            </w:r>
          </w:p>
        </w:tc>
      </w:tr>
    </w:tbl>
    <w:p w:rsidR="001E33D3" w:rsidRDefault="00BF0FAE">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1E33D3">
        <w:trPr>
          <w:jc w:val="center"/>
        </w:trPr>
        <w:tc>
          <w:tcPr>
            <w:tcW w:w="1701" w:type="dxa"/>
            <w:vAlign w:val="center"/>
          </w:tcPr>
          <w:p w:rsidR="001E33D3" w:rsidRDefault="00BF0FAE">
            <w:pPr>
              <w:jc w:val="left"/>
            </w:pPr>
            <w:r>
              <w:rPr>
                <w:color w:val="000000"/>
                <w:sz w:val="24"/>
                <w:szCs w:val="24"/>
              </w:rPr>
              <w:t>过去三个月</w:t>
            </w:r>
          </w:p>
        </w:tc>
        <w:tc>
          <w:tcPr>
            <w:tcW w:w="1045" w:type="dxa"/>
            <w:vAlign w:val="center"/>
          </w:tcPr>
          <w:p w:rsidR="001E33D3" w:rsidRDefault="00BF0FAE">
            <w:pPr>
              <w:jc w:val="center"/>
            </w:pPr>
            <w:r>
              <w:rPr>
                <w:color w:val="000000"/>
                <w:sz w:val="24"/>
                <w:szCs w:val="24"/>
              </w:rPr>
              <w:t>26.36%</w:t>
            </w:r>
          </w:p>
        </w:tc>
        <w:tc>
          <w:tcPr>
            <w:tcW w:w="1344" w:type="dxa"/>
            <w:vAlign w:val="center"/>
          </w:tcPr>
          <w:p w:rsidR="001E33D3" w:rsidRDefault="00BF0FAE">
            <w:pPr>
              <w:jc w:val="center"/>
            </w:pPr>
            <w:r>
              <w:rPr>
                <w:color w:val="000000"/>
                <w:sz w:val="24"/>
                <w:szCs w:val="24"/>
              </w:rPr>
              <w:t>1.14%</w:t>
            </w:r>
          </w:p>
        </w:tc>
        <w:tc>
          <w:tcPr>
            <w:tcW w:w="1194" w:type="dxa"/>
            <w:vAlign w:val="center"/>
          </w:tcPr>
          <w:p w:rsidR="001E33D3" w:rsidRDefault="00BF0FAE">
            <w:pPr>
              <w:jc w:val="center"/>
            </w:pPr>
            <w:r>
              <w:rPr>
                <w:color w:val="000000"/>
                <w:sz w:val="24"/>
                <w:szCs w:val="24"/>
              </w:rPr>
              <w:t>6.53%</w:t>
            </w:r>
          </w:p>
        </w:tc>
        <w:tc>
          <w:tcPr>
            <w:tcW w:w="1492" w:type="dxa"/>
            <w:vAlign w:val="center"/>
          </w:tcPr>
          <w:p w:rsidR="001E33D3" w:rsidRDefault="00BF0FAE">
            <w:pPr>
              <w:jc w:val="center"/>
            </w:pPr>
            <w:r>
              <w:rPr>
                <w:color w:val="000000"/>
                <w:sz w:val="24"/>
                <w:szCs w:val="24"/>
              </w:rPr>
              <w:t>0.92%</w:t>
            </w:r>
          </w:p>
        </w:tc>
        <w:tc>
          <w:tcPr>
            <w:tcW w:w="1194" w:type="dxa"/>
            <w:vAlign w:val="center"/>
          </w:tcPr>
          <w:p w:rsidR="001E33D3" w:rsidRDefault="00BF0FAE">
            <w:pPr>
              <w:jc w:val="center"/>
            </w:pPr>
            <w:r>
              <w:rPr>
                <w:color w:val="000000"/>
                <w:sz w:val="24"/>
                <w:szCs w:val="24"/>
              </w:rPr>
              <w:t>19.83%</w:t>
            </w:r>
          </w:p>
        </w:tc>
        <w:tc>
          <w:tcPr>
            <w:tcW w:w="898" w:type="dxa"/>
            <w:vAlign w:val="center"/>
          </w:tcPr>
          <w:p w:rsidR="001E33D3" w:rsidRDefault="00BF0FAE">
            <w:pPr>
              <w:jc w:val="center"/>
            </w:pPr>
            <w:r>
              <w:rPr>
                <w:color w:val="000000"/>
                <w:sz w:val="24"/>
                <w:szCs w:val="24"/>
              </w:rPr>
              <w:t>0.22%</w:t>
            </w:r>
          </w:p>
        </w:tc>
      </w:tr>
      <w:tr w:rsidR="001E33D3">
        <w:trPr>
          <w:jc w:val="center"/>
        </w:trPr>
        <w:tc>
          <w:tcPr>
            <w:tcW w:w="1701" w:type="dxa"/>
            <w:vAlign w:val="center"/>
          </w:tcPr>
          <w:p w:rsidR="001E33D3" w:rsidRDefault="00BF0FAE">
            <w:pPr>
              <w:jc w:val="left"/>
            </w:pPr>
            <w:r>
              <w:rPr>
                <w:color w:val="000000"/>
                <w:sz w:val="24"/>
                <w:szCs w:val="24"/>
              </w:rPr>
              <w:t>过去六个月</w:t>
            </w:r>
          </w:p>
        </w:tc>
        <w:tc>
          <w:tcPr>
            <w:tcW w:w="1045" w:type="dxa"/>
            <w:vAlign w:val="center"/>
          </w:tcPr>
          <w:p w:rsidR="001E33D3" w:rsidRDefault="00BF0FAE">
            <w:pPr>
              <w:jc w:val="center"/>
            </w:pPr>
            <w:r>
              <w:rPr>
                <w:color w:val="000000"/>
                <w:sz w:val="24"/>
                <w:szCs w:val="24"/>
              </w:rPr>
              <w:t>25.68%</w:t>
            </w:r>
          </w:p>
        </w:tc>
        <w:tc>
          <w:tcPr>
            <w:tcW w:w="1344" w:type="dxa"/>
            <w:vAlign w:val="center"/>
          </w:tcPr>
          <w:p w:rsidR="001E33D3" w:rsidRDefault="00BF0FAE">
            <w:pPr>
              <w:jc w:val="center"/>
            </w:pPr>
            <w:r>
              <w:rPr>
                <w:color w:val="000000"/>
                <w:sz w:val="24"/>
                <w:szCs w:val="24"/>
              </w:rPr>
              <w:t>1.62%</w:t>
            </w:r>
          </w:p>
        </w:tc>
        <w:tc>
          <w:tcPr>
            <w:tcW w:w="1194" w:type="dxa"/>
            <w:vAlign w:val="center"/>
          </w:tcPr>
          <w:p w:rsidR="001E33D3" w:rsidRDefault="00BF0FAE">
            <w:pPr>
              <w:jc w:val="center"/>
            </w:pPr>
            <w:r>
              <w:rPr>
                <w:color w:val="000000"/>
                <w:sz w:val="24"/>
                <w:szCs w:val="24"/>
              </w:rPr>
              <w:t>-4.14%</w:t>
            </w:r>
          </w:p>
        </w:tc>
        <w:tc>
          <w:tcPr>
            <w:tcW w:w="1492" w:type="dxa"/>
            <w:vAlign w:val="center"/>
          </w:tcPr>
          <w:p w:rsidR="001E33D3" w:rsidRDefault="00BF0FAE">
            <w:pPr>
              <w:jc w:val="center"/>
            </w:pPr>
            <w:r>
              <w:rPr>
                <w:color w:val="000000"/>
                <w:sz w:val="24"/>
                <w:szCs w:val="24"/>
              </w:rPr>
              <w:t>1.27%</w:t>
            </w:r>
          </w:p>
        </w:tc>
        <w:tc>
          <w:tcPr>
            <w:tcW w:w="1194" w:type="dxa"/>
            <w:vAlign w:val="center"/>
          </w:tcPr>
          <w:p w:rsidR="001E33D3" w:rsidRDefault="00BF0FAE">
            <w:pPr>
              <w:jc w:val="center"/>
            </w:pPr>
            <w:r>
              <w:rPr>
                <w:color w:val="000000"/>
                <w:sz w:val="24"/>
                <w:szCs w:val="24"/>
              </w:rPr>
              <w:t>29.82%</w:t>
            </w:r>
          </w:p>
        </w:tc>
        <w:tc>
          <w:tcPr>
            <w:tcW w:w="898" w:type="dxa"/>
            <w:vAlign w:val="center"/>
          </w:tcPr>
          <w:p w:rsidR="001E33D3" w:rsidRDefault="00BF0FAE">
            <w:pPr>
              <w:jc w:val="center"/>
            </w:pPr>
            <w:r>
              <w:rPr>
                <w:color w:val="000000"/>
                <w:sz w:val="24"/>
                <w:szCs w:val="24"/>
              </w:rPr>
              <w:t>0.35%</w:t>
            </w:r>
          </w:p>
        </w:tc>
      </w:tr>
      <w:tr w:rsidR="001E33D3">
        <w:trPr>
          <w:jc w:val="center"/>
        </w:trPr>
        <w:tc>
          <w:tcPr>
            <w:tcW w:w="1701" w:type="dxa"/>
            <w:vAlign w:val="center"/>
          </w:tcPr>
          <w:p w:rsidR="001E33D3" w:rsidRDefault="00BF0FAE">
            <w:pPr>
              <w:jc w:val="left"/>
            </w:pPr>
            <w:r>
              <w:rPr>
                <w:color w:val="000000"/>
                <w:sz w:val="24"/>
                <w:szCs w:val="24"/>
              </w:rPr>
              <w:t>过去一年</w:t>
            </w:r>
          </w:p>
        </w:tc>
        <w:tc>
          <w:tcPr>
            <w:tcW w:w="1045" w:type="dxa"/>
            <w:vAlign w:val="center"/>
          </w:tcPr>
          <w:p w:rsidR="001E33D3" w:rsidRDefault="00BF0FAE">
            <w:pPr>
              <w:jc w:val="center"/>
            </w:pPr>
            <w:r>
              <w:rPr>
                <w:color w:val="000000"/>
                <w:sz w:val="24"/>
                <w:szCs w:val="24"/>
              </w:rPr>
              <w:t>48.47%</w:t>
            </w:r>
          </w:p>
        </w:tc>
        <w:tc>
          <w:tcPr>
            <w:tcW w:w="1344" w:type="dxa"/>
            <w:vAlign w:val="center"/>
          </w:tcPr>
          <w:p w:rsidR="001E33D3" w:rsidRDefault="00BF0FAE">
            <w:pPr>
              <w:jc w:val="center"/>
            </w:pPr>
            <w:r>
              <w:rPr>
                <w:color w:val="000000"/>
                <w:sz w:val="24"/>
                <w:szCs w:val="24"/>
              </w:rPr>
              <w:t>1.28%</w:t>
            </w:r>
          </w:p>
        </w:tc>
        <w:tc>
          <w:tcPr>
            <w:tcW w:w="1194" w:type="dxa"/>
            <w:vAlign w:val="center"/>
          </w:tcPr>
          <w:p w:rsidR="001E33D3" w:rsidRDefault="00BF0FAE">
            <w:pPr>
              <w:jc w:val="center"/>
            </w:pPr>
            <w:r>
              <w:rPr>
                <w:color w:val="000000"/>
                <w:sz w:val="24"/>
                <w:szCs w:val="24"/>
              </w:rPr>
              <w:t>-1.29%</w:t>
            </w:r>
          </w:p>
        </w:tc>
        <w:tc>
          <w:tcPr>
            <w:tcW w:w="1492" w:type="dxa"/>
            <w:vAlign w:val="center"/>
          </w:tcPr>
          <w:p w:rsidR="001E33D3" w:rsidRDefault="00BF0FAE">
            <w:pPr>
              <w:jc w:val="center"/>
            </w:pPr>
            <w:r>
              <w:rPr>
                <w:color w:val="000000"/>
                <w:sz w:val="24"/>
                <w:szCs w:val="24"/>
              </w:rPr>
              <w:t>1.00%</w:t>
            </w:r>
          </w:p>
        </w:tc>
        <w:tc>
          <w:tcPr>
            <w:tcW w:w="1194" w:type="dxa"/>
            <w:vAlign w:val="center"/>
          </w:tcPr>
          <w:p w:rsidR="001E33D3" w:rsidRDefault="00BF0FAE">
            <w:pPr>
              <w:jc w:val="center"/>
            </w:pPr>
            <w:r>
              <w:rPr>
                <w:color w:val="000000"/>
                <w:sz w:val="24"/>
                <w:szCs w:val="24"/>
              </w:rPr>
              <w:t>49.76%</w:t>
            </w:r>
          </w:p>
        </w:tc>
        <w:tc>
          <w:tcPr>
            <w:tcW w:w="898" w:type="dxa"/>
            <w:vAlign w:val="center"/>
          </w:tcPr>
          <w:p w:rsidR="001E33D3" w:rsidRDefault="00BF0FAE">
            <w:pPr>
              <w:jc w:val="center"/>
            </w:pPr>
            <w:r>
              <w:rPr>
                <w:color w:val="000000"/>
                <w:sz w:val="24"/>
                <w:szCs w:val="24"/>
              </w:rPr>
              <w:t>0.28%</w:t>
            </w:r>
          </w:p>
        </w:tc>
      </w:tr>
      <w:tr w:rsidR="001E33D3">
        <w:trPr>
          <w:jc w:val="center"/>
        </w:trPr>
        <w:tc>
          <w:tcPr>
            <w:tcW w:w="1701" w:type="dxa"/>
            <w:vAlign w:val="center"/>
          </w:tcPr>
          <w:p w:rsidR="001E33D3" w:rsidRDefault="00BF0FAE">
            <w:pPr>
              <w:jc w:val="left"/>
            </w:pPr>
            <w:r>
              <w:rPr>
                <w:color w:val="000000"/>
                <w:sz w:val="24"/>
                <w:szCs w:val="24"/>
              </w:rPr>
              <w:lastRenderedPageBreak/>
              <w:t>过去三年</w:t>
            </w:r>
          </w:p>
        </w:tc>
        <w:tc>
          <w:tcPr>
            <w:tcW w:w="1045" w:type="dxa"/>
            <w:vAlign w:val="center"/>
          </w:tcPr>
          <w:p w:rsidR="001E33D3" w:rsidRDefault="00BF0FAE">
            <w:pPr>
              <w:jc w:val="center"/>
            </w:pPr>
            <w:r>
              <w:rPr>
                <w:color w:val="000000"/>
                <w:sz w:val="24"/>
                <w:szCs w:val="24"/>
              </w:rPr>
              <w:t>54.84%</w:t>
            </w:r>
          </w:p>
        </w:tc>
        <w:tc>
          <w:tcPr>
            <w:tcW w:w="1344" w:type="dxa"/>
            <w:vAlign w:val="center"/>
          </w:tcPr>
          <w:p w:rsidR="001E33D3" w:rsidRDefault="00BF0FAE">
            <w:pPr>
              <w:jc w:val="center"/>
            </w:pPr>
            <w:r>
              <w:rPr>
                <w:color w:val="000000"/>
                <w:sz w:val="24"/>
                <w:szCs w:val="24"/>
              </w:rPr>
              <w:t>1.08%</w:t>
            </w:r>
          </w:p>
        </w:tc>
        <w:tc>
          <w:tcPr>
            <w:tcW w:w="1194" w:type="dxa"/>
            <w:vAlign w:val="center"/>
          </w:tcPr>
          <w:p w:rsidR="001E33D3" w:rsidRDefault="00BF0FAE">
            <w:pPr>
              <w:jc w:val="center"/>
            </w:pPr>
            <w:r>
              <w:rPr>
                <w:color w:val="000000"/>
                <w:sz w:val="24"/>
                <w:szCs w:val="24"/>
              </w:rPr>
              <w:t>7.66%</w:t>
            </w:r>
          </w:p>
        </w:tc>
        <w:tc>
          <w:tcPr>
            <w:tcW w:w="1492" w:type="dxa"/>
            <w:vAlign w:val="center"/>
          </w:tcPr>
          <w:p w:rsidR="001E33D3" w:rsidRDefault="00BF0FAE">
            <w:pPr>
              <w:jc w:val="center"/>
            </w:pPr>
            <w:r>
              <w:rPr>
                <w:color w:val="000000"/>
                <w:sz w:val="24"/>
                <w:szCs w:val="24"/>
              </w:rPr>
              <w:t>0.91%</w:t>
            </w:r>
          </w:p>
        </w:tc>
        <w:tc>
          <w:tcPr>
            <w:tcW w:w="1194" w:type="dxa"/>
            <w:vAlign w:val="center"/>
          </w:tcPr>
          <w:p w:rsidR="001E33D3" w:rsidRDefault="00BF0FAE">
            <w:pPr>
              <w:jc w:val="center"/>
            </w:pPr>
            <w:r>
              <w:rPr>
                <w:color w:val="000000"/>
                <w:sz w:val="24"/>
                <w:szCs w:val="24"/>
              </w:rPr>
              <w:t>47.18%</w:t>
            </w:r>
          </w:p>
        </w:tc>
        <w:tc>
          <w:tcPr>
            <w:tcW w:w="898" w:type="dxa"/>
            <w:vAlign w:val="center"/>
          </w:tcPr>
          <w:p w:rsidR="001E33D3" w:rsidRDefault="00BF0FAE">
            <w:pPr>
              <w:jc w:val="center"/>
            </w:pPr>
            <w:r>
              <w:rPr>
                <w:color w:val="000000"/>
                <w:sz w:val="24"/>
                <w:szCs w:val="24"/>
              </w:rPr>
              <w:t>0.17%</w:t>
            </w:r>
          </w:p>
        </w:tc>
      </w:tr>
      <w:tr w:rsidR="001E33D3">
        <w:trPr>
          <w:jc w:val="center"/>
        </w:trPr>
        <w:tc>
          <w:tcPr>
            <w:tcW w:w="1701" w:type="dxa"/>
            <w:vAlign w:val="center"/>
          </w:tcPr>
          <w:p w:rsidR="001E33D3" w:rsidRDefault="00BF0FAE">
            <w:pPr>
              <w:jc w:val="left"/>
            </w:pPr>
            <w:r>
              <w:rPr>
                <w:color w:val="000000"/>
                <w:sz w:val="24"/>
                <w:szCs w:val="24"/>
              </w:rPr>
              <w:t>自基金合同生效起至今</w:t>
            </w:r>
          </w:p>
        </w:tc>
        <w:tc>
          <w:tcPr>
            <w:tcW w:w="1045" w:type="dxa"/>
            <w:vAlign w:val="center"/>
          </w:tcPr>
          <w:p w:rsidR="001E33D3" w:rsidRDefault="00BF0FAE">
            <w:pPr>
              <w:jc w:val="center"/>
            </w:pPr>
            <w:r>
              <w:rPr>
                <w:color w:val="000000"/>
                <w:sz w:val="24"/>
                <w:szCs w:val="24"/>
              </w:rPr>
              <w:t>78.22%</w:t>
            </w:r>
          </w:p>
        </w:tc>
        <w:tc>
          <w:tcPr>
            <w:tcW w:w="1344" w:type="dxa"/>
            <w:vAlign w:val="center"/>
          </w:tcPr>
          <w:p w:rsidR="001E33D3" w:rsidRDefault="00BF0FAE">
            <w:pPr>
              <w:jc w:val="center"/>
            </w:pPr>
            <w:r>
              <w:rPr>
                <w:color w:val="000000"/>
                <w:sz w:val="24"/>
                <w:szCs w:val="24"/>
              </w:rPr>
              <w:t>1.00%</w:t>
            </w:r>
          </w:p>
        </w:tc>
        <w:tc>
          <w:tcPr>
            <w:tcW w:w="1194" w:type="dxa"/>
            <w:vAlign w:val="center"/>
          </w:tcPr>
          <w:p w:rsidR="001E33D3" w:rsidRDefault="00BF0FAE">
            <w:pPr>
              <w:jc w:val="center"/>
            </w:pPr>
            <w:r>
              <w:rPr>
                <w:color w:val="000000"/>
                <w:sz w:val="24"/>
                <w:szCs w:val="24"/>
              </w:rPr>
              <w:t>17.21%</w:t>
            </w:r>
          </w:p>
        </w:tc>
        <w:tc>
          <w:tcPr>
            <w:tcW w:w="1492" w:type="dxa"/>
            <w:vAlign w:val="center"/>
          </w:tcPr>
          <w:p w:rsidR="001E33D3" w:rsidRDefault="00BF0FAE">
            <w:pPr>
              <w:jc w:val="center"/>
            </w:pPr>
            <w:r>
              <w:rPr>
                <w:color w:val="000000"/>
                <w:sz w:val="24"/>
                <w:szCs w:val="24"/>
              </w:rPr>
              <w:t>0.85%</w:t>
            </w:r>
          </w:p>
        </w:tc>
        <w:tc>
          <w:tcPr>
            <w:tcW w:w="1194" w:type="dxa"/>
            <w:vAlign w:val="center"/>
          </w:tcPr>
          <w:p w:rsidR="001E33D3" w:rsidRDefault="00BF0FAE">
            <w:pPr>
              <w:jc w:val="center"/>
            </w:pPr>
            <w:r>
              <w:rPr>
                <w:color w:val="000000"/>
                <w:sz w:val="24"/>
                <w:szCs w:val="24"/>
              </w:rPr>
              <w:t>61.01%</w:t>
            </w:r>
          </w:p>
        </w:tc>
        <w:tc>
          <w:tcPr>
            <w:tcW w:w="898" w:type="dxa"/>
            <w:vAlign w:val="center"/>
          </w:tcPr>
          <w:p w:rsidR="001E33D3" w:rsidRDefault="00BF0FAE">
            <w:pPr>
              <w:jc w:val="center"/>
            </w:pPr>
            <w:r>
              <w:rPr>
                <w:color w:val="000000"/>
                <w:sz w:val="24"/>
                <w:szCs w:val="24"/>
              </w:rPr>
              <w:t>0.15%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交银施罗德沪港深价值精选灵活配置混合型证券投资基金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7</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1E33D3">
        <w:trPr>
          <w:jc w:val="center"/>
        </w:trPr>
        <w:tc>
          <w:tcPr>
            <w:tcW w:w="846" w:type="dxa"/>
            <w:vAlign w:val="center"/>
          </w:tcPr>
          <w:p w:rsidR="001E33D3" w:rsidRDefault="00BF0FAE">
            <w:pPr>
              <w:jc w:val="center"/>
            </w:pPr>
            <w:r>
              <w:rPr>
                <w:color w:val="000000"/>
                <w:sz w:val="24"/>
                <w:szCs w:val="24"/>
              </w:rPr>
              <w:t>陈俊华</w:t>
            </w:r>
          </w:p>
        </w:tc>
        <w:tc>
          <w:tcPr>
            <w:tcW w:w="845" w:type="dxa"/>
            <w:vAlign w:val="center"/>
          </w:tcPr>
          <w:p w:rsidR="001E33D3" w:rsidRDefault="00BF0FAE">
            <w:pPr>
              <w:jc w:val="center"/>
            </w:pPr>
            <w:r>
              <w:rPr>
                <w:color w:val="000000"/>
                <w:sz w:val="24"/>
                <w:szCs w:val="24"/>
              </w:rPr>
              <w:t>交银环球精选</w:t>
            </w:r>
            <w:r>
              <w:rPr>
                <w:color w:val="000000"/>
                <w:sz w:val="24"/>
                <w:szCs w:val="24"/>
              </w:rPr>
              <w:lastRenderedPageBreak/>
              <w:t>混合</w:t>
            </w:r>
            <w:r>
              <w:rPr>
                <w:color w:val="000000"/>
                <w:sz w:val="24"/>
                <w:szCs w:val="24"/>
              </w:rPr>
              <w:t>(QDII)</w:t>
            </w:r>
            <w:r>
              <w:rPr>
                <w:color w:val="000000"/>
                <w:sz w:val="24"/>
                <w:szCs w:val="24"/>
              </w:rPr>
              <w:t>、交银沪港深价值精选混合、交银核心资产混合的基金经理，公司跨境投资副总监</w:t>
            </w:r>
          </w:p>
        </w:tc>
        <w:tc>
          <w:tcPr>
            <w:tcW w:w="1549" w:type="dxa"/>
            <w:vAlign w:val="center"/>
          </w:tcPr>
          <w:p w:rsidR="001E33D3" w:rsidRDefault="00BF0FAE">
            <w:pPr>
              <w:jc w:val="center"/>
            </w:pPr>
            <w:r>
              <w:rPr>
                <w:color w:val="000000"/>
                <w:sz w:val="24"/>
                <w:szCs w:val="24"/>
              </w:rPr>
              <w:lastRenderedPageBreak/>
              <w:t>2016-11-07</w:t>
            </w:r>
          </w:p>
        </w:tc>
        <w:tc>
          <w:tcPr>
            <w:tcW w:w="1548" w:type="dxa"/>
            <w:vAlign w:val="center"/>
          </w:tcPr>
          <w:p w:rsidR="001E33D3" w:rsidRDefault="00BF0FAE">
            <w:pPr>
              <w:jc w:val="center"/>
            </w:pPr>
            <w:r>
              <w:rPr>
                <w:color w:val="000000"/>
                <w:sz w:val="24"/>
                <w:szCs w:val="24"/>
              </w:rPr>
              <w:t>-</w:t>
            </w:r>
          </w:p>
        </w:tc>
        <w:tc>
          <w:tcPr>
            <w:tcW w:w="1407" w:type="dxa"/>
            <w:vAlign w:val="center"/>
          </w:tcPr>
          <w:p w:rsidR="001E33D3" w:rsidRDefault="00BF0FAE">
            <w:pPr>
              <w:jc w:val="center"/>
            </w:pPr>
            <w:r>
              <w:rPr>
                <w:color w:val="000000"/>
                <w:sz w:val="24"/>
                <w:szCs w:val="24"/>
              </w:rPr>
              <w:t>15</w:t>
            </w:r>
            <w:r>
              <w:rPr>
                <w:color w:val="000000"/>
                <w:sz w:val="24"/>
                <w:szCs w:val="24"/>
              </w:rPr>
              <w:t>年</w:t>
            </w:r>
          </w:p>
        </w:tc>
        <w:tc>
          <w:tcPr>
            <w:tcW w:w="2673" w:type="dxa"/>
            <w:vAlign w:val="center"/>
          </w:tcPr>
          <w:p w:rsidR="001E33D3" w:rsidRDefault="00BF0FAE">
            <w:r>
              <w:rPr>
                <w:color w:val="000000"/>
                <w:sz w:val="24"/>
                <w:szCs w:val="24"/>
              </w:rPr>
              <w:t>陈俊华女士，中国国籍，上海交通大学金融学硕士。历任国泰君安证券</w:t>
            </w:r>
            <w:r>
              <w:rPr>
                <w:color w:val="000000"/>
                <w:sz w:val="24"/>
                <w:szCs w:val="24"/>
              </w:rPr>
              <w:lastRenderedPageBreak/>
              <w:t>研究部研究员、中国国际金融有限公司研究部公用事业组负责人。</w:t>
            </w:r>
            <w:r>
              <w:rPr>
                <w:color w:val="000000"/>
                <w:sz w:val="24"/>
                <w:szCs w:val="24"/>
              </w:rPr>
              <w:t>2015</w:t>
            </w:r>
            <w:r>
              <w:rPr>
                <w:color w:val="000000"/>
                <w:sz w:val="24"/>
                <w:szCs w:val="24"/>
              </w:rPr>
              <w:t>年加入交银施罗德基金管理有限公司。</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21</w:t>
            </w:r>
            <w:r>
              <w:rPr>
                <w:color w:val="000000"/>
                <w:sz w:val="24"/>
                <w:szCs w:val="24"/>
              </w:rPr>
              <w:t>日至</w:t>
            </w:r>
            <w:r>
              <w:rPr>
                <w:color w:val="000000"/>
                <w:sz w:val="24"/>
                <w:szCs w:val="24"/>
              </w:rPr>
              <w:t>2019</w:t>
            </w:r>
            <w:r>
              <w:rPr>
                <w:color w:val="000000"/>
                <w:sz w:val="24"/>
                <w:szCs w:val="24"/>
              </w:rPr>
              <w:t>年</w:t>
            </w:r>
            <w:r>
              <w:rPr>
                <w:color w:val="000000"/>
                <w:sz w:val="24"/>
                <w:szCs w:val="24"/>
              </w:rPr>
              <w:t>9</w:t>
            </w:r>
            <w:r>
              <w:rPr>
                <w:color w:val="000000"/>
                <w:sz w:val="24"/>
                <w:szCs w:val="24"/>
              </w:rPr>
              <w:t>月</w:t>
            </w:r>
            <w:r>
              <w:rPr>
                <w:color w:val="000000"/>
                <w:sz w:val="24"/>
                <w:szCs w:val="24"/>
              </w:rPr>
              <w:t>19</w:t>
            </w:r>
            <w:r>
              <w:rPr>
                <w:color w:val="000000"/>
                <w:sz w:val="24"/>
                <w:szCs w:val="24"/>
              </w:rPr>
              <w:t>日担任交银施罗德全球自然资源证券投资基金的基金经理。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1E33D3" w:rsidRDefault="00BF0FAE">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1E33D3" w:rsidRDefault="00BF0FAE">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1E33D3" w:rsidRDefault="00BF0FAE">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1E33D3" w:rsidRDefault="00BF0FAE">
      <w:pPr>
        <w:spacing w:before="29" w:line="288" w:lineRule="auto"/>
        <w:ind w:firstLineChars="200" w:firstLine="480"/>
        <w:rPr>
          <w:color w:val="000000"/>
          <w:sz w:val="24"/>
          <w:szCs w:val="24"/>
        </w:rPr>
      </w:pPr>
      <w:r>
        <w:rPr>
          <w:color w:val="000000"/>
          <w:sz w:val="24"/>
          <w:szCs w:val="24"/>
        </w:rPr>
        <w:t>2020</w:t>
      </w:r>
      <w:r>
        <w:rPr>
          <w:color w:val="000000"/>
          <w:sz w:val="24"/>
          <w:szCs w:val="24"/>
        </w:rPr>
        <w:t>年二季度，投资者关注重点为经济恢复的进展。全球来看，大家对于疫情控制、经济逐步恢复都从担忧转向乐观，尽管中间因为疫情二次反复，投资者的市场预期发生波折，但不改整体经济恢复的方向。落实到投资端，全球股市都出现了反弹。比较而言，中国的复工进展更好一些，</w:t>
      </w:r>
      <w:r>
        <w:rPr>
          <w:color w:val="000000"/>
          <w:sz w:val="24"/>
          <w:szCs w:val="24"/>
        </w:rPr>
        <w:t>A</w:t>
      </w:r>
      <w:r>
        <w:rPr>
          <w:color w:val="000000"/>
          <w:sz w:val="24"/>
          <w:szCs w:val="24"/>
        </w:rPr>
        <w:t>股市场反弹过程中的波折也要好于海外市场。市场关注焦点方面，此次全球市场都表现出了高度一致性：共同关注科技、消费和医药；且愿意聚焦龙头，给予行业龙头更多的溢价。我们认为这背后体现了投资者高度一致的判断：目前处于经济修复期，恢复进展仍存较多不确定性，各产业的需求前景尚未明朗。在这样的背景下，投资者：</w:t>
      </w:r>
      <w:r>
        <w:rPr>
          <w:color w:val="000000"/>
          <w:sz w:val="24"/>
          <w:szCs w:val="24"/>
        </w:rPr>
        <w:t>1</w:t>
      </w:r>
      <w:r>
        <w:rPr>
          <w:color w:val="000000"/>
          <w:sz w:val="24"/>
          <w:szCs w:val="24"/>
        </w:rPr>
        <w:t>）更加聚焦具备</w:t>
      </w:r>
      <w:r>
        <w:rPr>
          <w:color w:val="000000"/>
          <w:sz w:val="24"/>
          <w:szCs w:val="24"/>
        </w:rPr>
        <w:t>“</w:t>
      </w:r>
      <w:r>
        <w:rPr>
          <w:color w:val="000000"/>
          <w:sz w:val="24"/>
          <w:szCs w:val="24"/>
        </w:rPr>
        <w:t>必需</w:t>
      </w:r>
      <w:r>
        <w:rPr>
          <w:color w:val="000000"/>
          <w:sz w:val="24"/>
          <w:szCs w:val="24"/>
        </w:rPr>
        <w:t>”</w:t>
      </w:r>
      <w:r>
        <w:rPr>
          <w:color w:val="000000"/>
          <w:sz w:val="24"/>
          <w:szCs w:val="24"/>
        </w:rPr>
        <w:t>属性的行业；</w:t>
      </w:r>
      <w:r>
        <w:rPr>
          <w:color w:val="000000"/>
          <w:sz w:val="24"/>
          <w:szCs w:val="24"/>
        </w:rPr>
        <w:t>2</w:t>
      </w:r>
      <w:r>
        <w:rPr>
          <w:color w:val="000000"/>
          <w:sz w:val="24"/>
          <w:szCs w:val="24"/>
        </w:rPr>
        <w:t>）更加聚焦龙头公司，因为面对外部不确定性，它们存活、发展壮大的概率相对更大。</w:t>
      </w:r>
    </w:p>
    <w:p w:rsidR="001E33D3" w:rsidRDefault="00BF0FAE">
      <w:pPr>
        <w:spacing w:before="29" w:line="288" w:lineRule="auto"/>
        <w:ind w:firstLineChars="200" w:firstLine="480"/>
        <w:rPr>
          <w:color w:val="000000"/>
          <w:sz w:val="24"/>
          <w:szCs w:val="24"/>
        </w:rPr>
      </w:pPr>
      <w:r>
        <w:rPr>
          <w:color w:val="000000"/>
          <w:sz w:val="24"/>
          <w:szCs w:val="24"/>
        </w:rPr>
        <w:t>回顾整个二季度，我们维持中高仓位运行，主要增持了消费板块和提供线上生活服务业务的公司，减少了地产和部分软件个股。选股方面，除估值因素外，对于行业的考量，我们不仅关注什么行业更具防御性，更重要的是，我们在思考，此次疫情带来什么样的需求变化？哪些需求在增加？产生了哪些新的需求？这些要素，是我们进行行业配置和个股筛选的重要考量。体现在组合方面，我们均衡配置于消费制造、软件及消费服务和电子制造。我们也希望通过均衡的配置来化解波动，更好控制回撤。</w:t>
      </w:r>
      <w:r>
        <w:rPr>
          <w:color w:val="000000"/>
          <w:sz w:val="24"/>
          <w:szCs w:val="24"/>
        </w:rPr>
        <w:t>A</w:t>
      </w:r>
      <w:r>
        <w:rPr>
          <w:color w:val="000000"/>
          <w:sz w:val="24"/>
          <w:szCs w:val="24"/>
        </w:rPr>
        <w:t>股和港股方面，二季度我们港股占比提升，这主要是行业配置和个股筛选的结果，并非简单的</w:t>
      </w:r>
      <w:r>
        <w:rPr>
          <w:color w:val="000000"/>
          <w:sz w:val="24"/>
          <w:szCs w:val="24"/>
        </w:rPr>
        <w:t>A</w:t>
      </w:r>
      <w:r>
        <w:rPr>
          <w:color w:val="000000"/>
          <w:sz w:val="24"/>
          <w:szCs w:val="24"/>
        </w:rPr>
        <w:t>股和港股的配置考量。</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2020</w:t>
      </w:r>
      <w:r w:rsidRPr="00414345">
        <w:rPr>
          <w:color w:val="000000"/>
          <w:sz w:val="24"/>
          <w:szCs w:val="24"/>
        </w:rPr>
        <w:t>年三季度，我们仍将继续进行深度研究和挖掘，希望通过优选个股来给持有人带来回报。行业方面，我们仍然看好的是消费服务和制造业龙头，制造业方面，我们比较关注的是</w:t>
      </w:r>
      <w:r w:rsidRPr="00414345">
        <w:rPr>
          <w:color w:val="000000"/>
          <w:sz w:val="24"/>
          <w:szCs w:val="24"/>
        </w:rPr>
        <w:t>5G</w:t>
      </w:r>
      <w:r w:rsidRPr="00414345">
        <w:rPr>
          <w:color w:val="000000"/>
          <w:sz w:val="24"/>
          <w:szCs w:val="24"/>
        </w:rPr>
        <w:t>带来的多种应用和新能源车领域。我们会积极在这些领域寻找具备安全边际和处于向上发展阶段的企业。宏观和市场方面，我们比较关注的是</w:t>
      </w:r>
      <w:r w:rsidRPr="00414345">
        <w:rPr>
          <w:color w:val="000000"/>
          <w:sz w:val="24"/>
          <w:szCs w:val="24"/>
        </w:rPr>
        <w:t>A</w:t>
      </w:r>
      <w:r w:rsidRPr="00414345">
        <w:rPr>
          <w:color w:val="000000"/>
          <w:sz w:val="24"/>
          <w:szCs w:val="24"/>
        </w:rPr>
        <w:t>股和港股近期的一些制度变化，例如</w:t>
      </w:r>
      <w:r w:rsidRPr="00414345">
        <w:rPr>
          <w:color w:val="000000"/>
          <w:sz w:val="24"/>
          <w:szCs w:val="24"/>
        </w:rPr>
        <w:t>A</w:t>
      </w:r>
      <w:r w:rsidRPr="00414345">
        <w:rPr>
          <w:color w:val="000000"/>
          <w:sz w:val="24"/>
          <w:szCs w:val="24"/>
        </w:rPr>
        <w:t>股方面：</w:t>
      </w:r>
      <w:r w:rsidRPr="00414345">
        <w:rPr>
          <w:color w:val="000000"/>
          <w:sz w:val="24"/>
          <w:szCs w:val="24"/>
        </w:rPr>
        <w:t>1</w:t>
      </w:r>
      <w:r w:rsidRPr="00414345">
        <w:rPr>
          <w:color w:val="000000"/>
          <w:sz w:val="24"/>
          <w:szCs w:val="24"/>
        </w:rPr>
        <w:t>）科创板成立</w:t>
      </w:r>
      <w:r w:rsidRPr="00414345">
        <w:rPr>
          <w:color w:val="000000"/>
          <w:sz w:val="24"/>
          <w:szCs w:val="24"/>
        </w:rPr>
        <w:t>1</w:t>
      </w:r>
      <w:r w:rsidRPr="00414345">
        <w:rPr>
          <w:color w:val="000000"/>
          <w:sz w:val="24"/>
          <w:szCs w:val="24"/>
        </w:rPr>
        <w:t>年，迎来更多的优质硬科技公司；</w:t>
      </w:r>
      <w:r w:rsidRPr="00414345">
        <w:rPr>
          <w:color w:val="000000"/>
          <w:sz w:val="24"/>
          <w:szCs w:val="24"/>
        </w:rPr>
        <w:t>2</w:t>
      </w:r>
      <w:r w:rsidRPr="00414345">
        <w:rPr>
          <w:color w:val="000000"/>
          <w:sz w:val="24"/>
          <w:szCs w:val="24"/>
        </w:rPr>
        <w:t>）创业板上市、交易制度变化；港股方面：</w:t>
      </w:r>
      <w:r w:rsidRPr="00414345">
        <w:rPr>
          <w:color w:val="000000"/>
          <w:sz w:val="24"/>
          <w:szCs w:val="24"/>
        </w:rPr>
        <w:t>1</w:t>
      </w:r>
      <w:r w:rsidRPr="00414345">
        <w:rPr>
          <w:color w:val="000000"/>
          <w:sz w:val="24"/>
          <w:szCs w:val="24"/>
        </w:rPr>
        <w:t>）更多消费、医药公司来港上市；</w:t>
      </w:r>
      <w:r w:rsidRPr="00414345">
        <w:rPr>
          <w:color w:val="000000"/>
          <w:sz w:val="24"/>
          <w:szCs w:val="24"/>
        </w:rPr>
        <w:t>2</w:t>
      </w:r>
      <w:r w:rsidRPr="00414345">
        <w:rPr>
          <w:color w:val="000000"/>
          <w:sz w:val="24"/>
          <w:szCs w:val="24"/>
        </w:rPr>
        <w:t>）恒生指数即将进行调整，增加内资股成分占比，且会有更多中概股回归港股上市。上述措施对于投资的影响体现在未来我们会拥有更多优质的标的可以进行投资。这是机遇也是挑战，我们将一如既往地做好研究，努力为投资人赚取回报。</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426,324,976.59</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83.10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426,324,976.59</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83.10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64,900.00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0.01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64,900.00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0.01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75,016,612.93</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14.62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11,611,819.47</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2.26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513,018,308.99</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126,100,577.09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24.69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12,766.32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10,768,645.68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2.11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22,003,327.12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4.31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55,863,945.59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10.94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10,424,559.72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13,524,000.00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6,520,000.00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245,217,821.52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48.01</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F51C4E" w:rsidRPr="00FF0BBF" w:rsidTr="00AD114B">
        <w:trPr>
          <w:jc w:val="center"/>
        </w:trPr>
        <w:tc>
          <w:tcPr>
            <w:tcW w:w="2397"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行业类别</w:t>
            </w:r>
          </w:p>
        </w:tc>
        <w:tc>
          <w:tcPr>
            <w:tcW w:w="3119"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公允价值（人民币）</w:t>
            </w:r>
          </w:p>
        </w:tc>
        <w:tc>
          <w:tcPr>
            <w:tcW w:w="3118"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rsidR="001E33D3">
        <w:trPr>
          <w:jc w:val="center"/>
        </w:trPr>
        <w:tc>
          <w:tcPr>
            <w:tcW w:w="2397" w:type="dxa"/>
            <w:vAlign w:val="center"/>
          </w:tcPr>
          <w:p w:rsidR="001E33D3" w:rsidRDefault="00BF0FAE">
            <w:pPr>
              <w:jc w:val="center"/>
            </w:pPr>
            <w:r>
              <w:rPr>
                <w:color w:val="000000"/>
                <w:sz w:val="24"/>
              </w:rPr>
              <w:t>信息技术</w:t>
            </w:r>
          </w:p>
        </w:tc>
        <w:tc>
          <w:tcPr>
            <w:tcW w:w="3119" w:type="dxa"/>
            <w:vAlign w:val="center"/>
          </w:tcPr>
          <w:p w:rsidR="001E33D3" w:rsidRDefault="00BF0FAE">
            <w:pPr>
              <w:jc w:val="center"/>
            </w:pPr>
            <w:r>
              <w:rPr>
                <w:color w:val="000000"/>
                <w:sz w:val="24"/>
              </w:rPr>
              <w:t>64,597,106.64</w:t>
            </w:r>
          </w:p>
        </w:tc>
        <w:tc>
          <w:tcPr>
            <w:tcW w:w="3118" w:type="dxa"/>
            <w:vAlign w:val="center"/>
          </w:tcPr>
          <w:p w:rsidR="001E33D3" w:rsidRDefault="00BF0FAE">
            <w:pPr>
              <w:jc w:val="center"/>
            </w:pPr>
            <w:r>
              <w:rPr>
                <w:color w:val="000000"/>
                <w:sz w:val="24"/>
              </w:rPr>
              <w:t>12.65</w:t>
            </w:r>
          </w:p>
        </w:tc>
      </w:tr>
      <w:tr w:rsidR="001E33D3">
        <w:trPr>
          <w:jc w:val="center"/>
        </w:trPr>
        <w:tc>
          <w:tcPr>
            <w:tcW w:w="2397" w:type="dxa"/>
            <w:vAlign w:val="center"/>
          </w:tcPr>
          <w:p w:rsidR="001E33D3" w:rsidRDefault="00BF0FAE">
            <w:pPr>
              <w:jc w:val="center"/>
            </w:pPr>
            <w:r>
              <w:rPr>
                <w:color w:val="000000"/>
                <w:sz w:val="24"/>
              </w:rPr>
              <w:t>非日常生活消费品</w:t>
            </w:r>
          </w:p>
        </w:tc>
        <w:tc>
          <w:tcPr>
            <w:tcW w:w="3119" w:type="dxa"/>
            <w:vAlign w:val="center"/>
          </w:tcPr>
          <w:p w:rsidR="001E33D3" w:rsidRDefault="00BF0FAE">
            <w:pPr>
              <w:jc w:val="center"/>
            </w:pPr>
            <w:r>
              <w:rPr>
                <w:color w:val="000000"/>
                <w:sz w:val="24"/>
              </w:rPr>
              <w:t>58,553,011.18</w:t>
            </w:r>
          </w:p>
        </w:tc>
        <w:tc>
          <w:tcPr>
            <w:tcW w:w="3118" w:type="dxa"/>
            <w:vAlign w:val="center"/>
          </w:tcPr>
          <w:p w:rsidR="001E33D3" w:rsidRDefault="00BF0FAE">
            <w:pPr>
              <w:jc w:val="center"/>
            </w:pPr>
            <w:r>
              <w:rPr>
                <w:color w:val="000000"/>
                <w:sz w:val="24"/>
              </w:rPr>
              <w:t>11.46</w:t>
            </w:r>
          </w:p>
        </w:tc>
      </w:tr>
      <w:tr w:rsidR="001E33D3">
        <w:trPr>
          <w:jc w:val="center"/>
        </w:trPr>
        <w:tc>
          <w:tcPr>
            <w:tcW w:w="2397" w:type="dxa"/>
            <w:vAlign w:val="center"/>
          </w:tcPr>
          <w:p w:rsidR="001E33D3" w:rsidRDefault="00BF0FAE">
            <w:pPr>
              <w:jc w:val="center"/>
            </w:pPr>
            <w:r>
              <w:rPr>
                <w:color w:val="000000"/>
                <w:sz w:val="24"/>
              </w:rPr>
              <w:t>通讯服务</w:t>
            </w:r>
          </w:p>
        </w:tc>
        <w:tc>
          <w:tcPr>
            <w:tcW w:w="3119" w:type="dxa"/>
            <w:vAlign w:val="center"/>
          </w:tcPr>
          <w:p w:rsidR="001E33D3" w:rsidRDefault="00BF0FAE">
            <w:pPr>
              <w:jc w:val="center"/>
            </w:pPr>
            <w:r>
              <w:rPr>
                <w:color w:val="000000"/>
                <w:sz w:val="24"/>
              </w:rPr>
              <w:t>40,989,706.56</w:t>
            </w:r>
          </w:p>
        </w:tc>
        <w:tc>
          <w:tcPr>
            <w:tcW w:w="3118" w:type="dxa"/>
            <w:vAlign w:val="center"/>
          </w:tcPr>
          <w:p w:rsidR="001E33D3" w:rsidRDefault="00BF0FAE">
            <w:pPr>
              <w:jc w:val="center"/>
            </w:pPr>
            <w:r>
              <w:rPr>
                <w:color w:val="000000"/>
                <w:sz w:val="24"/>
              </w:rPr>
              <w:t>8.03</w:t>
            </w:r>
          </w:p>
        </w:tc>
      </w:tr>
      <w:tr w:rsidR="001E33D3">
        <w:trPr>
          <w:jc w:val="center"/>
        </w:trPr>
        <w:tc>
          <w:tcPr>
            <w:tcW w:w="2397" w:type="dxa"/>
            <w:vAlign w:val="center"/>
          </w:tcPr>
          <w:p w:rsidR="001E33D3" w:rsidRDefault="00BF0FAE">
            <w:pPr>
              <w:jc w:val="center"/>
            </w:pPr>
            <w:r>
              <w:rPr>
                <w:color w:val="000000"/>
                <w:sz w:val="24"/>
              </w:rPr>
              <w:t>金融</w:t>
            </w:r>
          </w:p>
        </w:tc>
        <w:tc>
          <w:tcPr>
            <w:tcW w:w="3119" w:type="dxa"/>
            <w:vAlign w:val="center"/>
          </w:tcPr>
          <w:p w:rsidR="001E33D3" w:rsidRDefault="00BF0FAE">
            <w:pPr>
              <w:jc w:val="center"/>
            </w:pPr>
            <w:r>
              <w:rPr>
                <w:color w:val="000000"/>
                <w:sz w:val="24"/>
              </w:rPr>
              <w:t>9,043,056.00</w:t>
            </w:r>
          </w:p>
        </w:tc>
        <w:tc>
          <w:tcPr>
            <w:tcW w:w="3118" w:type="dxa"/>
            <w:vAlign w:val="center"/>
          </w:tcPr>
          <w:p w:rsidR="001E33D3" w:rsidRDefault="00BF0FAE">
            <w:pPr>
              <w:jc w:val="center"/>
            </w:pPr>
            <w:r>
              <w:rPr>
                <w:color w:val="000000"/>
                <w:sz w:val="24"/>
              </w:rPr>
              <w:t>1.77</w:t>
            </w:r>
          </w:p>
        </w:tc>
      </w:tr>
      <w:tr w:rsidR="001E33D3">
        <w:trPr>
          <w:jc w:val="center"/>
        </w:trPr>
        <w:tc>
          <w:tcPr>
            <w:tcW w:w="2397" w:type="dxa"/>
            <w:vAlign w:val="center"/>
          </w:tcPr>
          <w:p w:rsidR="001E33D3" w:rsidRDefault="00BF0FAE">
            <w:pPr>
              <w:jc w:val="center"/>
            </w:pPr>
            <w:r>
              <w:rPr>
                <w:color w:val="000000"/>
                <w:sz w:val="24"/>
              </w:rPr>
              <w:t>房地产</w:t>
            </w:r>
          </w:p>
        </w:tc>
        <w:tc>
          <w:tcPr>
            <w:tcW w:w="3119" w:type="dxa"/>
            <w:vAlign w:val="center"/>
          </w:tcPr>
          <w:p w:rsidR="001E33D3" w:rsidRDefault="00BF0FAE">
            <w:pPr>
              <w:jc w:val="center"/>
            </w:pPr>
            <w:r>
              <w:rPr>
                <w:color w:val="000000"/>
                <w:sz w:val="24"/>
              </w:rPr>
              <w:t>5,517,177.60</w:t>
            </w:r>
          </w:p>
        </w:tc>
        <w:tc>
          <w:tcPr>
            <w:tcW w:w="3118" w:type="dxa"/>
            <w:vAlign w:val="center"/>
          </w:tcPr>
          <w:p w:rsidR="001E33D3" w:rsidRDefault="00BF0FAE">
            <w:pPr>
              <w:jc w:val="center"/>
            </w:pPr>
            <w:r>
              <w:rPr>
                <w:color w:val="000000"/>
                <w:sz w:val="24"/>
              </w:rPr>
              <w:t>1.08</w:t>
            </w:r>
          </w:p>
        </w:tc>
      </w:tr>
      <w:tr w:rsidR="001E33D3">
        <w:trPr>
          <w:jc w:val="center"/>
        </w:trPr>
        <w:tc>
          <w:tcPr>
            <w:tcW w:w="2397" w:type="dxa"/>
            <w:vAlign w:val="center"/>
          </w:tcPr>
          <w:p w:rsidR="001E33D3" w:rsidRDefault="00BF0FAE">
            <w:pPr>
              <w:jc w:val="center"/>
            </w:pPr>
            <w:r>
              <w:rPr>
                <w:color w:val="000000"/>
                <w:sz w:val="24"/>
              </w:rPr>
              <w:t>医疗保健</w:t>
            </w:r>
          </w:p>
        </w:tc>
        <w:tc>
          <w:tcPr>
            <w:tcW w:w="3119" w:type="dxa"/>
            <w:vAlign w:val="center"/>
          </w:tcPr>
          <w:p w:rsidR="001E33D3" w:rsidRDefault="00BF0FAE">
            <w:pPr>
              <w:jc w:val="center"/>
            </w:pPr>
            <w:r>
              <w:rPr>
                <w:color w:val="000000"/>
                <w:sz w:val="24"/>
              </w:rPr>
              <w:t>2,407,097.09</w:t>
            </w:r>
          </w:p>
        </w:tc>
        <w:tc>
          <w:tcPr>
            <w:tcW w:w="3118" w:type="dxa"/>
            <w:vAlign w:val="center"/>
          </w:tcPr>
          <w:p w:rsidR="001E33D3" w:rsidRDefault="00BF0FAE">
            <w:pPr>
              <w:jc w:val="center"/>
            </w:pPr>
            <w:r>
              <w:rPr>
                <w:color w:val="000000"/>
                <w:sz w:val="24"/>
              </w:rPr>
              <w:t>0.47</w:t>
            </w:r>
          </w:p>
        </w:tc>
      </w:tr>
      <w:tr w:rsidR="00F51C4E" w:rsidRPr="00FF0BBF" w:rsidTr="00AD114B">
        <w:trPr>
          <w:jc w:val="center"/>
        </w:trPr>
        <w:tc>
          <w:tcPr>
            <w:tcW w:w="2397"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合计</w:t>
            </w:r>
          </w:p>
        </w:tc>
        <w:tc>
          <w:tcPr>
            <w:tcW w:w="3119"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181,107,155.07</w:t>
            </w:r>
          </w:p>
        </w:tc>
        <w:tc>
          <w:tcPr>
            <w:tcW w:w="3118"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35.46</w:t>
            </w:r>
          </w:p>
        </w:tc>
      </w:tr>
    </w:tbl>
    <w:p w:rsidR="00F51C4E" w:rsidRDefault="00BC0FB7" w:rsidP="00F51C4E">
      <w:pPr>
        <w:spacing w:before="29" w:line="360" w:lineRule="auto"/>
        <w:ind w:left="17"/>
        <w:rPr>
          <w:color w:val="000000"/>
          <w:sz w:val="24"/>
        </w:rPr>
      </w:pPr>
      <w:r>
        <w:rPr>
          <w:rFonts w:hint="eastAsia"/>
          <w:color w:val="000000"/>
          <w:sz w:val="24"/>
        </w:rPr>
        <w:t>注：</w:t>
      </w:r>
      <w:bookmarkStart w:id="0" w:name="_GoBack"/>
      <w:bookmarkEnd w:id="0"/>
      <w:r w:rsidR="00F51C4E" w:rsidRPr="00FF0BBF">
        <w:rPr>
          <w:color w:val="000000"/>
          <w:sz w:val="24"/>
        </w:rPr>
        <w:t>以上分类采用全球行业分类标准（</w:t>
      </w:r>
      <w:r w:rsidR="00F51C4E" w:rsidRPr="00FF0BBF">
        <w:rPr>
          <w:color w:val="000000"/>
          <w:sz w:val="24"/>
        </w:rPr>
        <w:t>GICS</w:t>
      </w:r>
      <w:r w:rsidR="00F51C4E" w:rsidRPr="00FF0BBF">
        <w:rPr>
          <w:color w:val="000000"/>
          <w:sz w:val="24"/>
        </w:rPr>
        <w:t>）。</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1E33D3">
        <w:trPr>
          <w:jc w:val="center"/>
        </w:trPr>
        <w:tc>
          <w:tcPr>
            <w:tcW w:w="855" w:type="dxa"/>
            <w:vAlign w:val="center"/>
          </w:tcPr>
          <w:p w:rsidR="001E33D3" w:rsidRDefault="00BF0FAE">
            <w:pPr>
              <w:jc w:val="center"/>
            </w:pPr>
            <w:r>
              <w:rPr>
                <w:color w:val="000000"/>
                <w:sz w:val="24"/>
                <w:szCs w:val="24"/>
              </w:rPr>
              <w:t>1</w:t>
            </w:r>
          </w:p>
        </w:tc>
        <w:tc>
          <w:tcPr>
            <w:tcW w:w="1334" w:type="dxa"/>
            <w:vAlign w:val="center"/>
          </w:tcPr>
          <w:p w:rsidR="001E33D3" w:rsidRDefault="00BF0FAE">
            <w:pPr>
              <w:jc w:val="center"/>
            </w:pPr>
            <w:r>
              <w:rPr>
                <w:color w:val="000000"/>
                <w:sz w:val="24"/>
                <w:szCs w:val="24"/>
              </w:rPr>
              <w:t>00700.HK</w:t>
            </w:r>
          </w:p>
        </w:tc>
        <w:tc>
          <w:tcPr>
            <w:tcW w:w="1777" w:type="dxa"/>
            <w:vAlign w:val="center"/>
          </w:tcPr>
          <w:p w:rsidR="001E33D3" w:rsidRDefault="00BF0FAE">
            <w:pPr>
              <w:jc w:val="center"/>
            </w:pPr>
            <w:r>
              <w:rPr>
                <w:color w:val="000000"/>
                <w:sz w:val="24"/>
                <w:szCs w:val="24"/>
              </w:rPr>
              <w:t>腾讯控股</w:t>
            </w:r>
          </w:p>
        </w:tc>
        <w:tc>
          <w:tcPr>
            <w:tcW w:w="1334" w:type="dxa"/>
            <w:vAlign w:val="center"/>
          </w:tcPr>
          <w:p w:rsidR="001E33D3" w:rsidRDefault="00BF0FAE">
            <w:pPr>
              <w:jc w:val="right"/>
            </w:pPr>
            <w:r>
              <w:rPr>
                <w:color w:val="000000"/>
                <w:sz w:val="24"/>
                <w:szCs w:val="24"/>
              </w:rPr>
              <w:t>90,000</w:t>
            </w:r>
          </w:p>
        </w:tc>
        <w:tc>
          <w:tcPr>
            <w:tcW w:w="1924" w:type="dxa"/>
            <w:vAlign w:val="center"/>
          </w:tcPr>
          <w:p w:rsidR="001E33D3" w:rsidRDefault="00BF0FAE">
            <w:pPr>
              <w:jc w:val="right"/>
            </w:pPr>
            <w:r>
              <w:rPr>
                <w:color w:val="000000"/>
                <w:sz w:val="24"/>
                <w:szCs w:val="24"/>
              </w:rPr>
              <w:t>40,989,706.56</w:t>
            </w:r>
          </w:p>
        </w:tc>
        <w:tc>
          <w:tcPr>
            <w:tcW w:w="1644" w:type="dxa"/>
            <w:vAlign w:val="center"/>
          </w:tcPr>
          <w:p w:rsidR="001E33D3" w:rsidRDefault="00BF0FAE">
            <w:pPr>
              <w:jc w:val="right"/>
            </w:pPr>
            <w:r>
              <w:rPr>
                <w:color w:val="000000"/>
                <w:sz w:val="24"/>
                <w:szCs w:val="24"/>
              </w:rPr>
              <w:t>8.03</w:t>
            </w:r>
          </w:p>
        </w:tc>
      </w:tr>
      <w:tr w:rsidR="001E33D3">
        <w:trPr>
          <w:jc w:val="center"/>
        </w:trPr>
        <w:tc>
          <w:tcPr>
            <w:tcW w:w="855" w:type="dxa"/>
            <w:vAlign w:val="center"/>
          </w:tcPr>
          <w:p w:rsidR="001E33D3" w:rsidRDefault="00BF0FAE">
            <w:pPr>
              <w:jc w:val="center"/>
            </w:pPr>
            <w:r>
              <w:rPr>
                <w:color w:val="000000"/>
                <w:sz w:val="24"/>
                <w:szCs w:val="24"/>
              </w:rPr>
              <w:t>2</w:t>
            </w:r>
          </w:p>
        </w:tc>
        <w:tc>
          <w:tcPr>
            <w:tcW w:w="1334" w:type="dxa"/>
            <w:vAlign w:val="center"/>
          </w:tcPr>
          <w:p w:rsidR="001E33D3" w:rsidRDefault="00BF0FAE">
            <w:pPr>
              <w:jc w:val="center"/>
            </w:pPr>
            <w:r>
              <w:rPr>
                <w:color w:val="000000"/>
                <w:sz w:val="24"/>
                <w:szCs w:val="24"/>
              </w:rPr>
              <w:t>00981.HK</w:t>
            </w:r>
          </w:p>
        </w:tc>
        <w:tc>
          <w:tcPr>
            <w:tcW w:w="1777" w:type="dxa"/>
            <w:vAlign w:val="center"/>
          </w:tcPr>
          <w:p w:rsidR="001E33D3" w:rsidRDefault="00BF0FAE">
            <w:pPr>
              <w:jc w:val="center"/>
            </w:pPr>
            <w:r>
              <w:rPr>
                <w:color w:val="000000"/>
                <w:sz w:val="24"/>
                <w:szCs w:val="24"/>
              </w:rPr>
              <w:t>中芯国际</w:t>
            </w:r>
          </w:p>
        </w:tc>
        <w:tc>
          <w:tcPr>
            <w:tcW w:w="1334" w:type="dxa"/>
            <w:vAlign w:val="center"/>
          </w:tcPr>
          <w:p w:rsidR="001E33D3" w:rsidRDefault="00BF0FAE">
            <w:pPr>
              <w:jc w:val="right"/>
            </w:pPr>
            <w:r>
              <w:rPr>
                <w:color w:val="000000"/>
                <w:sz w:val="24"/>
                <w:szCs w:val="24"/>
              </w:rPr>
              <w:t>1,200,000</w:t>
            </w:r>
          </w:p>
        </w:tc>
        <w:tc>
          <w:tcPr>
            <w:tcW w:w="1924" w:type="dxa"/>
            <w:vAlign w:val="center"/>
          </w:tcPr>
          <w:p w:rsidR="001E33D3" w:rsidRDefault="00BF0FAE">
            <w:pPr>
              <w:jc w:val="right"/>
            </w:pPr>
            <w:r>
              <w:rPr>
                <w:color w:val="000000"/>
                <w:sz w:val="24"/>
                <w:szCs w:val="24"/>
              </w:rPr>
              <w:t>29,595,456.00</w:t>
            </w:r>
          </w:p>
        </w:tc>
        <w:tc>
          <w:tcPr>
            <w:tcW w:w="1644" w:type="dxa"/>
            <w:vAlign w:val="center"/>
          </w:tcPr>
          <w:p w:rsidR="001E33D3" w:rsidRDefault="00BF0FAE">
            <w:pPr>
              <w:jc w:val="right"/>
            </w:pPr>
            <w:r>
              <w:rPr>
                <w:color w:val="000000"/>
                <w:sz w:val="24"/>
                <w:szCs w:val="24"/>
              </w:rPr>
              <w:t>5.79</w:t>
            </w:r>
          </w:p>
        </w:tc>
      </w:tr>
      <w:tr w:rsidR="001E33D3">
        <w:trPr>
          <w:jc w:val="center"/>
        </w:trPr>
        <w:tc>
          <w:tcPr>
            <w:tcW w:w="855" w:type="dxa"/>
            <w:vAlign w:val="center"/>
          </w:tcPr>
          <w:p w:rsidR="001E33D3" w:rsidRDefault="00BF0FAE">
            <w:pPr>
              <w:jc w:val="center"/>
            </w:pPr>
            <w:r>
              <w:rPr>
                <w:color w:val="000000"/>
                <w:sz w:val="24"/>
                <w:szCs w:val="24"/>
              </w:rPr>
              <w:t>3</w:t>
            </w:r>
          </w:p>
        </w:tc>
        <w:tc>
          <w:tcPr>
            <w:tcW w:w="1334" w:type="dxa"/>
            <w:vAlign w:val="center"/>
          </w:tcPr>
          <w:p w:rsidR="001E33D3" w:rsidRDefault="00BF0FAE">
            <w:pPr>
              <w:jc w:val="center"/>
            </w:pPr>
            <w:r>
              <w:rPr>
                <w:color w:val="000000"/>
                <w:sz w:val="24"/>
                <w:szCs w:val="24"/>
              </w:rPr>
              <w:t>03690.HK</w:t>
            </w:r>
          </w:p>
        </w:tc>
        <w:tc>
          <w:tcPr>
            <w:tcW w:w="1777" w:type="dxa"/>
            <w:vAlign w:val="center"/>
          </w:tcPr>
          <w:p w:rsidR="001E33D3" w:rsidRDefault="00BF0FAE">
            <w:pPr>
              <w:jc w:val="center"/>
            </w:pPr>
            <w:r>
              <w:rPr>
                <w:color w:val="000000"/>
                <w:sz w:val="24"/>
                <w:szCs w:val="24"/>
              </w:rPr>
              <w:t>美团点评－Ｗ</w:t>
            </w:r>
          </w:p>
        </w:tc>
        <w:tc>
          <w:tcPr>
            <w:tcW w:w="1334" w:type="dxa"/>
            <w:vAlign w:val="center"/>
          </w:tcPr>
          <w:p w:rsidR="001E33D3" w:rsidRDefault="00BF0FAE">
            <w:pPr>
              <w:jc w:val="right"/>
            </w:pPr>
            <w:r>
              <w:rPr>
                <w:color w:val="000000"/>
                <w:sz w:val="24"/>
                <w:szCs w:val="24"/>
              </w:rPr>
              <w:t>150,000</w:t>
            </w:r>
          </w:p>
        </w:tc>
        <w:tc>
          <w:tcPr>
            <w:tcW w:w="1924" w:type="dxa"/>
            <w:vAlign w:val="center"/>
          </w:tcPr>
          <w:p w:rsidR="001E33D3" w:rsidRDefault="00BF0FAE">
            <w:pPr>
              <w:jc w:val="right"/>
            </w:pPr>
            <w:r>
              <w:rPr>
                <w:color w:val="000000"/>
                <w:sz w:val="24"/>
                <w:szCs w:val="24"/>
              </w:rPr>
              <w:t>23,553,050.40</w:t>
            </w:r>
          </w:p>
        </w:tc>
        <w:tc>
          <w:tcPr>
            <w:tcW w:w="1644" w:type="dxa"/>
            <w:vAlign w:val="center"/>
          </w:tcPr>
          <w:p w:rsidR="001E33D3" w:rsidRDefault="00BF0FAE">
            <w:pPr>
              <w:jc w:val="right"/>
            </w:pPr>
            <w:r>
              <w:rPr>
                <w:color w:val="000000"/>
                <w:sz w:val="24"/>
                <w:szCs w:val="24"/>
              </w:rPr>
              <w:t>4.61</w:t>
            </w:r>
          </w:p>
        </w:tc>
      </w:tr>
      <w:tr w:rsidR="001E33D3">
        <w:trPr>
          <w:jc w:val="center"/>
        </w:trPr>
        <w:tc>
          <w:tcPr>
            <w:tcW w:w="855" w:type="dxa"/>
            <w:vAlign w:val="center"/>
          </w:tcPr>
          <w:p w:rsidR="001E33D3" w:rsidRDefault="00BF0FAE">
            <w:pPr>
              <w:jc w:val="center"/>
            </w:pPr>
            <w:r>
              <w:rPr>
                <w:color w:val="000000"/>
                <w:sz w:val="24"/>
                <w:szCs w:val="24"/>
              </w:rPr>
              <w:t>4</w:t>
            </w:r>
          </w:p>
        </w:tc>
        <w:tc>
          <w:tcPr>
            <w:tcW w:w="1334" w:type="dxa"/>
            <w:vAlign w:val="center"/>
          </w:tcPr>
          <w:p w:rsidR="001E33D3" w:rsidRDefault="00BF0FAE">
            <w:pPr>
              <w:jc w:val="center"/>
            </w:pPr>
            <w:r>
              <w:rPr>
                <w:color w:val="000000"/>
                <w:sz w:val="24"/>
                <w:szCs w:val="24"/>
              </w:rPr>
              <w:t>02382.HK</w:t>
            </w:r>
          </w:p>
        </w:tc>
        <w:tc>
          <w:tcPr>
            <w:tcW w:w="1777" w:type="dxa"/>
            <w:vAlign w:val="center"/>
          </w:tcPr>
          <w:p w:rsidR="001E33D3" w:rsidRDefault="00BF0FAE">
            <w:pPr>
              <w:jc w:val="center"/>
            </w:pPr>
            <w:r>
              <w:rPr>
                <w:color w:val="000000"/>
                <w:sz w:val="24"/>
                <w:szCs w:val="24"/>
              </w:rPr>
              <w:t>舜宇光学科技</w:t>
            </w:r>
          </w:p>
        </w:tc>
        <w:tc>
          <w:tcPr>
            <w:tcW w:w="1334" w:type="dxa"/>
            <w:vAlign w:val="center"/>
          </w:tcPr>
          <w:p w:rsidR="001E33D3" w:rsidRDefault="00BF0FAE">
            <w:pPr>
              <w:jc w:val="right"/>
            </w:pPr>
            <w:r>
              <w:rPr>
                <w:color w:val="000000"/>
                <w:sz w:val="24"/>
                <w:szCs w:val="24"/>
              </w:rPr>
              <w:t>200,000</w:t>
            </w:r>
          </w:p>
        </w:tc>
        <w:tc>
          <w:tcPr>
            <w:tcW w:w="1924" w:type="dxa"/>
            <w:vAlign w:val="center"/>
          </w:tcPr>
          <w:p w:rsidR="001E33D3" w:rsidRDefault="00BF0FAE">
            <w:pPr>
              <w:jc w:val="right"/>
            </w:pPr>
            <w:r>
              <w:rPr>
                <w:color w:val="000000"/>
                <w:sz w:val="24"/>
                <w:szCs w:val="24"/>
              </w:rPr>
              <w:t>22,653,312.00</w:t>
            </w:r>
          </w:p>
        </w:tc>
        <w:tc>
          <w:tcPr>
            <w:tcW w:w="1644" w:type="dxa"/>
            <w:vAlign w:val="center"/>
          </w:tcPr>
          <w:p w:rsidR="001E33D3" w:rsidRDefault="00BF0FAE">
            <w:pPr>
              <w:jc w:val="right"/>
            </w:pPr>
            <w:r>
              <w:rPr>
                <w:color w:val="000000"/>
                <w:sz w:val="24"/>
                <w:szCs w:val="24"/>
              </w:rPr>
              <w:t>4.44</w:t>
            </w:r>
          </w:p>
        </w:tc>
      </w:tr>
      <w:tr w:rsidR="001E33D3">
        <w:trPr>
          <w:jc w:val="center"/>
        </w:trPr>
        <w:tc>
          <w:tcPr>
            <w:tcW w:w="855" w:type="dxa"/>
            <w:vAlign w:val="center"/>
          </w:tcPr>
          <w:p w:rsidR="001E33D3" w:rsidRDefault="00BF0FAE">
            <w:pPr>
              <w:jc w:val="center"/>
            </w:pPr>
            <w:r>
              <w:rPr>
                <w:color w:val="000000"/>
                <w:sz w:val="24"/>
                <w:szCs w:val="24"/>
              </w:rPr>
              <w:t>5</w:t>
            </w:r>
          </w:p>
        </w:tc>
        <w:tc>
          <w:tcPr>
            <w:tcW w:w="1334" w:type="dxa"/>
            <w:vAlign w:val="center"/>
          </w:tcPr>
          <w:p w:rsidR="001E33D3" w:rsidRDefault="00BF0FAE">
            <w:pPr>
              <w:jc w:val="center"/>
            </w:pPr>
            <w:r>
              <w:rPr>
                <w:color w:val="000000"/>
                <w:sz w:val="24"/>
                <w:szCs w:val="24"/>
              </w:rPr>
              <w:t>600519</w:t>
            </w:r>
          </w:p>
        </w:tc>
        <w:tc>
          <w:tcPr>
            <w:tcW w:w="1777" w:type="dxa"/>
            <w:vAlign w:val="center"/>
          </w:tcPr>
          <w:p w:rsidR="001E33D3" w:rsidRDefault="00BF0FAE">
            <w:pPr>
              <w:jc w:val="center"/>
            </w:pPr>
            <w:r>
              <w:rPr>
                <w:color w:val="000000"/>
                <w:sz w:val="24"/>
                <w:szCs w:val="24"/>
              </w:rPr>
              <w:t>贵州茅台</w:t>
            </w:r>
          </w:p>
        </w:tc>
        <w:tc>
          <w:tcPr>
            <w:tcW w:w="1334" w:type="dxa"/>
            <w:vAlign w:val="center"/>
          </w:tcPr>
          <w:p w:rsidR="001E33D3" w:rsidRDefault="00BF0FAE">
            <w:pPr>
              <w:jc w:val="right"/>
            </w:pPr>
            <w:r>
              <w:rPr>
                <w:color w:val="000000"/>
                <w:sz w:val="24"/>
                <w:szCs w:val="24"/>
              </w:rPr>
              <w:t>15,000</w:t>
            </w:r>
          </w:p>
        </w:tc>
        <w:tc>
          <w:tcPr>
            <w:tcW w:w="1924" w:type="dxa"/>
            <w:vAlign w:val="center"/>
          </w:tcPr>
          <w:p w:rsidR="001E33D3" w:rsidRDefault="00BF0FAE">
            <w:pPr>
              <w:jc w:val="right"/>
            </w:pPr>
            <w:r>
              <w:rPr>
                <w:color w:val="000000"/>
                <w:sz w:val="24"/>
                <w:szCs w:val="24"/>
              </w:rPr>
              <w:t>21,943,200.00</w:t>
            </w:r>
          </w:p>
        </w:tc>
        <w:tc>
          <w:tcPr>
            <w:tcW w:w="1644" w:type="dxa"/>
            <w:vAlign w:val="center"/>
          </w:tcPr>
          <w:p w:rsidR="001E33D3" w:rsidRDefault="00BF0FAE">
            <w:pPr>
              <w:jc w:val="right"/>
            </w:pPr>
            <w:r>
              <w:rPr>
                <w:color w:val="000000"/>
                <w:sz w:val="24"/>
                <w:szCs w:val="24"/>
              </w:rPr>
              <w:t>4.30</w:t>
            </w:r>
          </w:p>
        </w:tc>
      </w:tr>
      <w:tr w:rsidR="001E33D3">
        <w:trPr>
          <w:jc w:val="center"/>
        </w:trPr>
        <w:tc>
          <w:tcPr>
            <w:tcW w:w="855" w:type="dxa"/>
            <w:vAlign w:val="center"/>
          </w:tcPr>
          <w:p w:rsidR="001E33D3" w:rsidRDefault="00BF0FAE">
            <w:pPr>
              <w:jc w:val="center"/>
            </w:pPr>
            <w:r>
              <w:rPr>
                <w:color w:val="000000"/>
                <w:sz w:val="24"/>
                <w:szCs w:val="24"/>
              </w:rPr>
              <w:t>6</w:t>
            </w:r>
          </w:p>
        </w:tc>
        <w:tc>
          <w:tcPr>
            <w:tcW w:w="1334" w:type="dxa"/>
            <w:vAlign w:val="center"/>
          </w:tcPr>
          <w:p w:rsidR="001E33D3" w:rsidRDefault="00BF0FAE">
            <w:pPr>
              <w:jc w:val="center"/>
            </w:pPr>
            <w:r>
              <w:rPr>
                <w:color w:val="000000"/>
                <w:sz w:val="24"/>
                <w:szCs w:val="24"/>
              </w:rPr>
              <w:t>600276</w:t>
            </w:r>
          </w:p>
        </w:tc>
        <w:tc>
          <w:tcPr>
            <w:tcW w:w="1777" w:type="dxa"/>
            <w:vAlign w:val="center"/>
          </w:tcPr>
          <w:p w:rsidR="001E33D3" w:rsidRDefault="00BF0FAE">
            <w:pPr>
              <w:jc w:val="center"/>
            </w:pPr>
            <w:r>
              <w:rPr>
                <w:color w:val="000000"/>
                <w:sz w:val="24"/>
                <w:szCs w:val="24"/>
              </w:rPr>
              <w:t>恒瑞医药</w:t>
            </w:r>
          </w:p>
        </w:tc>
        <w:tc>
          <w:tcPr>
            <w:tcW w:w="1334" w:type="dxa"/>
            <w:vAlign w:val="center"/>
          </w:tcPr>
          <w:p w:rsidR="001E33D3" w:rsidRDefault="00BF0FAE">
            <w:pPr>
              <w:jc w:val="right"/>
            </w:pPr>
            <w:r>
              <w:rPr>
                <w:color w:val="000000"/>
                <w:sz w:val="24"/>
                <w:szCs w:val="24"/>
              </w:rPr>
              <w:t>199,962</w:t>
            </w:r>
          </w:p>
        </w:tc>
        <w:tc>
          <w:tcPr>
            <w:tcW w:w="1924" w:type="dxa"/>
            <w:vAlign w:val="center"/>
          </w:tcPr>
          <w:p w:rsidR="001E33D3" w:rsidRDefault="00BF0FAE">
            <w:pPr>
              <w:jc w:val="right"/>
            </w:pPr>
            <w:r>
              <w:rPr>
                <w:color w:val="000000"/>
                <w:sz w:val="24"/>
                <w:szCs w:val="24"/>
              </w:rPr>
              <w:t>18,456,492.60</w:t>
            </w:r>
          </w:p>
        </w:tc>
        <w:tc>
          <w:tcPr>
            <w:tcW w:w="1644" w:type="dxa"/>
            <w:vAlign w:val="center"/>
          </w:tcPr>
          <w:p w:rsidR="001E33D3" w:rsidRDefault="00BF0FAE">
            <w:pPr>
              <w:jc w:val="right"/>
            </w:pPr>
            <w:r>
              <w:rPr>
                <w:color w:val="000000"/>
                <w:sz w:val="24"/>
                <w:szCs w:val="24"/>
              </w:rPr>
              <w:t>3.61</w:t>
            </w:r>
          </w:p>
        </w:tc>
      </w:tr>
      <w:tr w:rsidR="001E33D3">
        <w:trPr>
          <w:jc w:val="center"/>
        </w:trPr>
        <w:tc>
          <w:tcPr>
            <w:tcW w:w="855" w:type="dxa"/>
            <w:vAlign w:val="center"/>
          </w:tcPr>
          <w:p w:rsidR="001E33D3" w:rsidRDefault="00BF0FAE">
            <w:pPr>
              <w:jc w:val="center"/>
            </w:pPr>
            <w:r>
              <w:rPr>
                <w:color w:val="000000"/>
                <w:sz w:val="24"/>
                <w:szCs w:val="24"/>
              </w:rPr>
              <w:t>7</w:t>
            </w:r>
          </w:p>
        </w:tc>
        <w:tc>
          <w:tcPr>
            <w:tcW w:w="1334" w:type="dxa"/>
            <w:vAlign w:val="center"/>
          </w:tcPr>
          <w:p w:rsidR="001E33D3" w:rsidRDefault="00BF0FAE">
            <w:pPr>
              <w:jc w:val="center"/>
            </w:pPr>
            <w:r>
              <w:rPr>
                <w:color w:val="000000"/>
                <w:sz w:val="24"/>
                <w:szCs w:val="24"/>
              </w:rPr>
              <w:t>00881.HK</w:t>
            </w:r>
          </w:p>
        </w:tc>
        <w:tc>
          <w:tcPr>
            <w:tcW w:w="1777" w:type="dxa"/>
            <w:vAlign w:val="center"/>
          </w:tcPr>
          <w:p w:rsidR="001E33D3" w:rsidRDefault="00BF0FAE">
            <w:pPr>
              <w:jc w:val="center"/>
            </w:pPr>
            <w:r>
              <w:rPr>
                <w:color w:val="000000"/>
                <w:sz w:val="24"/>
                <w:szCs w:val="24"/>
              </w:rPr>
              <w:t>中升控股</w:t>
            </w:r>
          </w:p>
        </w:tc>
        <w:tc>
          <w:tcPr>
            <w:tcW w:w="1334" w:type="dxa"/>
            <w:vAlign w:val="center"/>
          </w:tcPr>
          <w:p w:rsidR="001E33D3" w:rsidRDefault="00BF0FAE">
            <w:pPr>
              <w:jc w:val="right"/>
            </w:pPr>
            <w:r>
              <w:rPr>
                <w:color w:val="000000"/>
                <w:sz w:val="24"/>
                <w:szCs w:val="24"/>
              </w:rPr>
              <w:t>458,500</w:t>
            </w:r>
          </w:p>
        </w:tc>
        <w:tc>
          <w:tcPr>
            <w:tcW w:w="1924" w:type="dxa"/>
            <w:vAlign w:val="center"/>
          </w:tcPr>
          <w:p w:rsidR="001E33D3" w:rsidRDefault="00BF0FAE">
            <w:pPr>
              <w:jc w:val="right"/>
            </w:pPr>
            <w:r>
              <w:rPr>
                <w:color w:val="000000"/>
                <w:sz w:val="24"/>
                <w:szCs w:val="24"/>
              </w:rPr>
              <w:t>17,967,045.10</w:t>
            </w:r>
          </w:p>
        </w:tc>
        <w:tc>
          <w:tcPr>
            <w:tcW w:w="1644" w:type="dxa"/>
            <w:vAlign w:val="center"/>
          </w:tcPr>
          <w:p w:rsidR="001E33D3" w:rsidRDefault="00BF0FAE">
            <w:pPr>
              <w:jc w:val="right"/>
            </w:pPr>
            <w:r>
              <w:rPr>
                <w:color w:val="000000"/>
                <w:sz w:val="24"/>
                <w:szCs w:val="24"/>
              </w:rPr>
              <w:t>3.52</w:t>
            </w:r>
          </w:p>
        </w:tc>
      </w:tr>
      <w:tr w:rsidR="001E33D3">
        <w:trPr>
          <w:jc w:val="center"/>
        </w:trPr>
        <w:tc>
          <w:tcPr>
            <w:tcW w:w="855" w:type="dxa"/>
            <w:vAlign w:val="center"/>
          </w:tcPr>
          <w:p w:rsidR="001E33D3" w:rsidRDefault="00BF0FAE">
            <w:pPr>
              <w:jc w:val="center"/>
            </w:pPr>
            <w:r>
              <w:rPr>
                <w:color w:val="000000"/>
                <w:sz w:val="24"/>
                <w:szCs w:val="24"/>
              </w:rPr>
              <w:t>8</w:t>
            </w:r>
          </w:p>
        </w:tc>
        <w:tc>
          <w:tcPr>
            <w:tcW w:w="1334" w:type="dxa"/>
            <w:vAlign w:val="center"/>
          </w:tcPr>
          <w:p w:rsidR="001E33D3" w:rsidRDefault="00BF0FAE">
            <w:pPr>
              <w:jc w:val="center"/>
            </w:pPr>
            <w:r>
              <w:rPr>
                <w:color w:val="000000"/>
                <w:sz w:val="24"/>
                <w:szCs w:val="24"/>
              </w:rPr>
              <w:t>600570</w:t>
            </w:r>
          </w:p>
        </w:tc>
        <w:tc>
          <w:tcPr>
            <w:tcW w:w="1777" w:type="dxa"/>
            <w:vAlign w:val="center"/>
          </w:tcPr>
          <w:p w:rsidR="001E33D3" w:rsidRDefault="00BF0FAE">
            <w:pPr>
              <w:jc w:val="center"/>
            </w:pPr>
            <w:r>
              <w:rPr>
                <w:color w:val="000000"/>
                <w:sz w:val="24"/>
                <w:szCs w:val="24"/>
              </w:rPr>
              <w:t>恒生电子</w:t>
            </w:r>
          </w:p>
        </w:tc>
        <w:tc>
          <w:tcPr>
            <w:tcW w:w="1334" w:type="dxa"/>
            <w:vAlign w:val="center"/>
          </w:tcPr>
          <w:p w:rsidR="001E33D3" w:rsidRDefault="00BF0FAE">
            <w:pPr>
              <w:jc w:val="right"/>
            </w:pPr>
            <w:r>
              <w:rPr>
                <w:color w:val="000000"/>
                <w:sz w:val="24"/>
                <w:szCs w:val="24"/>
              </w:rPr>
              <w:t>155,484</w:t>
            </w:r>
          </w:p>
        </w:tc>
        <w:tc>
          <w:tcPr>
            <w:tcW w:w="1924" w:type="dxa"/>
            <w:vAlign w:val="center"/>
          </w:tcPr>
          <w:p w:rsidR="001E33D3" w:rsidRDefault="00BF0FAE">
            <w:pPr>
              <w:jc w:val="right"/>
            </w:pPr>
            <w:r>
              <w:rPr>
                <w:color w:val="000000"/>
                <w:sz w:val="24"/>
                <w:szCs w:val="24"/>
              </w:rPr>
              <w:t>16,745,626.80</w:t>
            </w:r>
          </w:p>
        </w:tc>
        <w:tc>
          <w:tcPr>
            <w:tcW w:w="1644" w:type="dxa"/>
            <w:vAlign w:val="center"/>
          </w:tcPr>
          <w:p w:rsidR="001E33D3" w:rsidRDefault="00BF0FAE">
            <w:pPr>
              <w:jc w:val="right"/>
            </w:pPr>
            <w:r>
              <w:rPr>
                <w:color w:val="000000"/>
                <w:sz w:val="24"/>
                <w:szCs w:val="24"/>
              </w:rPr>
              <w:t>3.28</w:t>
            </w:r>
          </w:p>
        </w:tc>
      </w:tr>
      <w:tr w:rsidR="001E33D3">
        <w:trPr>
          <w:jc w:val="center"/>
        </w:trPr>
        <w:tc>
          <w:tcPr>
            <w:tcW w:w="855" w:type="dxa"/>
            <w:vAlign w:val="center"/>
          </w:tcPr>
          <w:p w:rsidR="001E33D3" w:rsidRDefault="00BF0FAE">
            <w:pPr>
              <w:jc w:val="center"/>
            </w:pPr>
            <w:r>
              <w:rPr>
                <w:color w:val="000000"/>
                <w:sz w:val="24"/>
                <w:szCs w:val="24"/>
              </w:rPr>
              <w:t>9</w:t>
            </w:r>
          </w:p>
        </w:tc>
        <w:tc>
          <w:tcPr>
            <w:tcW w:w="1334" w:type="dxa"/>
            <w:vAlign w:val="center"/>
          </w:tcPr>
          <w:p w:rsidR="001E33D3" w:rsidRDefault="00BF0FAE">
            <w:pPr>
              <w:jc w:val="center"/>
            </w:pPr>
            <w:r>
              <w:rPr>
                <w:color w:val="000000"/>
                <w:sz w:val="24"/>
                <w:szCs w:val="24"/>
              </w:rPr>
              <w:t>002352</w:t>
            </w:r>
          </w:p>
        </w:tc>
        <w:tc>
          <w:tcPr>
            <w:tcW w:w="1777" w:type="dxa"/>
            <w:vAlign w:val="center"/>
          </w:tcPr>
          <w:p w:rsidR="001E33D3" w:rsidRDefault="00BF0FAE">
            <w:pPr>
              <w:jc w:val="center"/>
            </w:pPr>
            <w:r>
              <w:rPr>
                <w:color w:val="000000"/>
                <w:sz w:val="24"/>
                <w:szCs w:val="24"/>
              </w:rPr>
              <w:t>顺丰控股</w:t>
            </w:r>
          </w:p>
        </w:tc>
        <w:tc>
          <w:tcPr>
            <w:tcW w:w="1334" w:type="dxa"/>
            <w:vAlign w:val="center"/>
          </w:tcPr>
          <w:p w:rsidR="001E33D3" w:rsidRDefault="00BF0FAE">
            <w:pPr>
              <w:jc w:val="right"/>
            </w:pPr>
            <w:r>
              <w:rPr>
                <w:color w:val="000000"/>
                <w:sz w:val="24"/>
                <w:szCs w:val="24"/>
              </w:rPr>
              <w:t>300,000</w:t>
            </w:r>
          </w:p>
        </w:tc>
        <w:tc>
          <w:tcPr>
            <w:tcW w:w="1924" w:type="dxa"/>
            <w:vAlign w:val="center"/>
          </w:tcPr>
          <w:p w:rsidR="001E33D3" w:rsidRDefault="00BF0FAE">
            <w:pPr>
              <w:jc w:val="right"/>
            </w:pPr>
            <w:r>
              <w:rPr>
                <w:color w:val="000000"/>
                <w:sz w:val="24"/>
                <w:szCs w:val="24"/>
              </w:rPr>
              <w:t>16,410,000.00</w:t>
            </w:r>
          </w:p>
        </w:tc>
        <w:tc>
          <w:tcPr>
            <w:tcW w:w="1644" w:type="dxa"/>
            <w:vAlign w:val="center"/>
          </w:tcPr>
          <w:p w:rsidR="001E33D3" w:rsidRDefault="00BF0FAE">
            <w:pPr>
              <w:jc w:val="right"/>
            </w:pPr>
            <w:r>
              <w:rPr>
                <w:color w:val="000000"/>
                <w:sz w:val="24"/>
                <w:szCs w:val="24"/>
              </w:rPr>
              <w:t>3.21</w:t>
            </w:r>
          </w:p>
        </w:tc>
      </w:tr>
      <w:tr w:rsidR="001E33D3">
        <w:trPr>
          <w:jc w:val="center"/>
        </w:trPr>
        <w:tc>
          <w:tcPr>
            <w:tcW w:w="855" w:type="dxa"/>
            <w:vAlign w:val="center"/>
          </w:tcPr>
          <w:p w:rsidR="001E33D3" w:rsidRDefault="00BF0FAE">
            <w:pPr>
              <w:jc w:val="center"/>
            </w:pPr>
            <w:r>
              <w:rPr>
                <w:color w:val="000000"/>
                <w:sz w:val="24"/>
                <w:szCs w:val="24"/>
              </w:rPr>
              <w:t>10</w:t>
            </w:r>
          </w:p>
        </w:tc>
        <w:tc>
          <w:tcPr>
            <w:tcW w:w="1334" w:type="dxa"/>
            <w:vAlign w:val="center"/>
          </w:tcPr>
          <w:p w:rsidR="001E33D3" w:rsidRDefault="00BF0FAE">
            <w:pPr>
              <w:jc w:val="center"/>
            </w:pPr>
            <w:r>
              <w:rPr>
                <w:color w:val="000000"/>
                <w:sz w:val="24"/>
                <w:szCs w:val="24"/>
              </w:rPr>
              <w:t>300760</w:t>
            </w:r>
          </w:p>
        </w:tc>
        <w:tc>
          <w:tcPr>
            <w:tcW w:w="1777" w:type="dxa"/>
            <w:vAlign w:val="center"/>
          </w:tcPr>
          <w:p w:rsidR="001E33D3" w:rsidRDefault="00BF0FAE">
            <w:pPr>
              <w:jc w:val="center"/>
            </w:pPr>
            <w:r>
              <w:rPr>
                <w:color w:val="000000"/>
                <w:sz w:val="24"/>
                <w:szCs w:val="24"/>
              </w:rPr>
              <w:t>迈瑞医疗</w:t>
            </w:r>
          </w:p>
        </w:tc>
        <w:tc>
          <w:tcPr>
            <w:tcW w:w="1334" w:type="dxa"/>
            <w:vAlign w:val="center"/>
          </w:tcPr>
          <w:p w:rsidR="001E33D3" w:rsidRDefault="00BF0FAE">
            <w:pPr>
              <w:jc w:val="right"/>
            </w:pPr>
            <w:r>
              <w:rPr>
                <w:color w:val="000000"/>
                <w:sz w:val="24"/>
                <w:szCs w:val="24"/>
              </w:rPr>
              <w:t>50,000</w:t>
            </w:r>
          </w:p>
        </w:tc>
        <w:tc>
          <w:tcPr>
            <w:tcW w:w="1924" w:type="dxa"/>
            <w:vAlign w:val="center"/>
          </w:tcPr>
          <w:p w:rsidR="001E33D3" w:rsidRDefault="00BF0FAE">
            <w:pPr>
              <w:jc w:val="right"/>
            </w:pPr>
            <w:r>
              <w:rPr>
                <w:color w:val="000000"/>
                <w:sz w:val="24"/>
                <w:szCs w:val="24"/>
              </w:rPr>
              <w:t>15,285,000.00</w:t>
            </w:r>
          </w:p>
        </w:tc>
        <w:tc>
          <w:tcPr>
            <w:tcW w:w="1644" w:type="dxa"/>
            <w:vAlign w:val="center"/>
          </w:tcPr>
          <w:p w:rsidR="001E33D3" w:rsidRDefault="00BF0FAE">
            <w:pPr>
              <w:jc w:val="right"/>
            </w:pPr>
            <w:r>
              <w:rPr>
                <w:color w:val="000000"/>
                <w:sz w:val="24"/>
                <w:szCs w:val="24"/>
              </w:rPr>
              <w:t>2.99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64,900.00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0.01</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64,900.00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0.01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1E33D3">
        <w:trPr>
          <w:jc w:val="center"/>
        </w:trPr>
        <w:tc>
          <w:tcPr>
            <w:tcW w:w="850" w:type="dxa"/>
            <w:vAlign w:val="center"/>
          </w:tcPr>
          <w:p w:rsidR="001E33D3" w:rsidRDefault="00BF0FAE">
            <w:pPr>
              <w:jc w:val="center"/>
            </w:pPr>
            <w:r>
              <w:rPr>
                <w:color w:val="000000"/>
                <w:sz w:val="24"/>
                <w:szCs w:val="24"/>
              </w:rPr>
              <w:t>1</w:t>
            </w:r>
          </w:p>
        </w:tc>
        <w:tc>
          <w:tcPr>
            <w:tcW w:w="1475" w:type="dxa"/>
            <w:vAlign w:val="center"/>
          </w:tcPr>
          <w:p w:rsidR="001E33D3" w:rsidRDefault="00BF0FAE">
            <w:pPr>
              <w:jc w:val="center"/>
            </w:pPr>
            <w:r>
              <w:rPr>
                <w:color w:val="000000"/>
                <w:sz w:val="24"/>
                <w:szCs w:val="24"/>
              </w:rPr>
              <w:t>123053</w:t>
            </w:r>
          </w:p>
        </w:tc>
        <w:tc>
          <w:tcPr>
            <w:tcW w:w="1769" w:type="dxa"/>
            <w:vAlign w:val="center"/>
          </w:tcPr>
          <w:p w:rsidR="001E33D3" w:rsidRDefault="00BF0FAE">
            <w:pPr>
              <w:jc w:val="center"/>
            </w:pPr>
            <w:r>
              <w:rPr>
                <w:color w:val="000000"/>
                <w:sz w:val="24"/>
                <w:szCs w:val="24"/>
              </w:rPr>
              <w:t>宝通转债</w:t>
            </w:r>
          </w:p>
        </w:tc>
        <w:tc>
          <w:tcPr>
            <w:tcW w:w="1387" w:type="dxa"/>
            <w:vAlign w:val="center"/>
          </w:tcPr>
          <w:p w:rsidR="001E33D3" w:rsidRDefault="00BF0FAE">
            <w:pPr>
              <w:jc w:val="right"/>
            </w:pPr>
            <w:r>
              <w:rPr>
                <w:color w:val="000000"/>
                <w:sz w:val="24"/>
                <w:szCs w:val="24"/>
              </w:rPr>
              <w:t>649</w:t>
            </w:r>
          </w:p>
        </w:tc>
        <w:tc>
          <w:tcPr>
            <w:tcW w:w="2150" w:type="dxa"/>
            <w:vAlign w:val="center"/>
          </w:tcPr>
          <w:p w:rsidR="001E33D3" w:rsidRDefault="00BF0FAE">
            <w:pPr>
              <w:jc w:val="right"/>
            </w:pPr>
            <w:r>
              <w:rPr>
                <w:color w:val="000000"/>
                <w:sz w:val="24"/>
                <w:szCs w:val="24"/>
              </w:rPr>
              <w:t>64,900.00</w:t>
            </w:r>
          </w:p>
        </w:tc>
        <w:tc>
          <w:tcPr>
            <w:tcW w:w="1237" w:type="dxa"/>
            <w:vAlign w:val="center"/>
          </w:tcPr>
          <w:p w:rsidR="001E33D3" w:rsidRDefault="00BF0FAE">
            <w:pPr>
              <w:jc w:val="right"/>
            </w:pPr>
            <w:r>
              <w:rPr>
                <w:color w:val="000000"/>
                <w:sz w:val="24"/>
                <w:szCs w:val="24"/>
              </w:rPr>
              <w:t>0.01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122,054.92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521,921.46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16,031.87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10,951,811.22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11,611,819.47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305,324,564.94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18,536,245.87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15,111,704.92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308,749,105.89</w:t>
            </w:r>
          </w:p>
        </w:tc>
      </w:tr>
    </w:tbl>
    <w:p w:rsidR="001E33D3" w:rsidRDefault="00BF0FAE">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1E33D3">
        <w:tc>
          <w:tcPr>
            <w:tcW w:w="993" w:type="dxa"/>
            <w:vMerge w:val="restart"/>
          </w:tcPr>
          <w:p w:rsidR="001E33D3" w:rsidRDefault="001E33D3"/>
          <w:p w:rsidR="001E33D3" w:rsidRDefault="00BF0FAE">
            <w:r>
              <w:rPr>
                <w:rFonts w:ascii="宋体" w:hAnsi="宋体" w:hint="eastAsia"/>
                <w:bCs/>
                <w:color w:val="000000"/>
                <w:kern w:val="0"/>
              </w:rPr>
              <w:t>机构</w:t>
            </w:r>
          </w:p>
        </w:tc>
        <w:tc>
          <w:tcPr>
            <w:tcW w:w="992" w:type="dxa"/>
            <w:vAlign w:val="center"/>
          </w:tcPr>
          <w:p w:rsidR="001E33D3" w:rsidRDefault="00BF0FAE">
            <w:pPr>
              <w:jc w:val="center"/>
            </w:pPr>
            <w:r>
              <w:rPr>
                <w:rFonts w:ascii="宋体" w:hAnsi="宋体"/>
                <w:color w:val="000000"/>
                <w:kern w:val="0"/>
              </w:rPr>
              <w:t>1</w:t>
            </w:r>
          </w:p>
        </w:tc>
        <w:tc>
          <w:tcPr>
            <w:tcW w:w="1843" w:type="dxa"/>
            <w:vAlign w:val="center"/>
          </w:tcPr>
          <w:p w:rsidR="001E33D3" w:rsidRDefault="00BF0FAE">
            <w:pPr>
              <w:jc w:val="center"/>
            </w:pPr>
            <w:r>
              <w:rPr>
                <w:rFonts w:ascii="宋体" w:hAnsi="宋体"/>
                <w:color w:val="000000"/>
                <w:kern w:val="0"/>
              </w:rPr>
              <w:t>2020/4/1-2020/6/30</w:t>
            </w:r>
          </w:p>
        </w:tc>
        <w:tc>
          <w:tcPr>
            <w:tcW w:w="851" w:type="dxa"/>
            <w:vAlign w:val="center"/>
          </w:tcPr>
          <w:p w:rsidR="001E33D3" w:rsidRDefault="00BF0FAE">
            <w:pPr>
              <w:jc w:val="center"/>
            </w:pPr>
            <w:r>
              <w:rPr>
                <w:rFonts w:ascii="宋体" w:hAnsi="宋体"/>
                <w:color w:val="000000"/>
                <w:kern w:val="0"/>
              </w:rPr>
              <w:t>66,993,386.51</w:t>
            </w:r>
          </w:p>
        </w:tc>
        <w:tc>
          <w:tcPr>
            <w:tcW w:w="850" w:type="dxa"/>
            <w:vAlign w:val="center"/>
          </w:tcPr>
          <w:p w:rsidR="001E33D3" w:rsidRDefault="00BF0FAE">
            <w:pPr>
              <w:jc w:val="center"/>
            </w:pPr>
            <w:r>
              <w:rPr>
                <w:rFonts w:ascii="宋体" w:hAnsi="宋体"/>
                <w:color w:val="000000"/>
                <w:kern w:val="0"/>
              </w:rPr>
              <w:t>-</w:t>
            </w:r>
          </w:p>
        </w:tc>
        <w:tc>
          <w:tcPr>
            <w:tcW w:w="1134" w:type="dxa"/>
            <w:vAlign w:val="center"/>
          </w:tcPr>
          <w:p w:rsidR="001E33D3" w:rsidRDefault="00BF0FAE">
            <w:pPr>
              <w:jc w:val="center"/>
            </w:pPr>
            <w:r>
              <w:rPr>
                <w:rFonts w:ascii="宋体" w:hAnsi="宋体"/>
                <w:color w:val="000000"/>
                <w:kern w:val="0"/>
              </w:rPr>
              <w:t>-</w:t>
            </w:r>
          </w:p>
        </w:tc>
        <w:tc>
          <w:tcPr>
            <w:tcW w:w="1419" w:type="dxa"/>
            <w:vAlign w:val="center"/>
          </w:tcPr>
          <w:p w:rsidR="001E33D3" w:rsidRDefault="00BF0FAE">
            <w:pPr>
              <w:jc w:val="center"/>
            </w:pPr>
            <w:r>
              <w:rPr>
                <w:rFonts w:ascii="宋体" w:hAnsi="宋体"/>
                <w:color w:val="000000"/>
                <w:kern w:val="0"/>
              </w:rPr>
              <w:t>66,993,386.51</w:t>
            </w:r>
          </w:p>
        </w:tc>
        <w:tc>
          <w:tcPr>
            <w:tcW w:w="1130" w:type="dxa"/>
            <w:vAlign w:val="center"/>
          </w:tcPr>
          <w:p w:rsidR="001E33D3" w:rsidRDefault="00BF0FAE">
            <w:pPr>
              <w:jc w:val="center"/>
            </w:pPr>
            <w:r>
              <w:rPr>
                <w:rFonts w:ascii="宋体" w:hAnsi="宋体"/>
                <w:color w:val="000000"/>
                <w:kern w:val="0"/>
              </w:rPr>
              <w:t>21.70%</w:t>
            </w:r>
          </w:p>
        </w:tc>
      </w:tr>
      <w:tr w:rsidR="001E33D3">
        <w:tc>
          <w:tcPr>
            <w:tcW w:w="993" w:type="dxa"/>
            <w:vMerge/>
          </w:tcPr>
          <w:p w:rsidR="001E33D3" w:rsidRDefault="001E33D3"/>
        </w:tc>
        <w:tc>
          <w:tcPr>
            <w:tcW w:w="992" w:type="dxa"/>
            <w:vAlign w:val="center"/>
          </w:tcPr>
          <w:p w:rsidR="001E33D3" w:rsidRDefault="00BF0FAE">
            <w:pPr>
              <w:jc w:val="center"/>
            </w:pPr>
            <w:r>
              <w:rPr>
                <w:rFonts w:ascii="宋体" w:hAnsi="宋体"/>
                <w:color w:val="000000"/>
                <w:kern w:val="0"/>
              </w:rPr>
              <w:t>2</w:t>
            </w:r>
          </w:p>
        </w:tc>
        <w:tc>
          <w:tcPr>
            <w:tcW w:w="1843" w:type="dxa"/>
            <w:vAlign w:val="center"/>
          </w:tcPr>
          <w:p w:rsidR="001E33D3" w:rsidRDefault="00BF0FAE">
            <w:pPr>
              <w:jc w:val="center"/>
            </w:pPr>
            <w:r>
              <w:rPr>
                <w:rFonts w:ascii="宋体" w:hAnsi="宋体"/>
                <w:color w:val="000000"/>
                <w:kern w:val="0"/>
              </w:rPr>
              <w:t>2020/4/1-2020/6/30</w:t>
            </w:r>
          </w:p>
        </w:tc>
        <w:tc>
          <w:tcPr>
            <w:tcW w:w="851" w:type="dxa"/>
            <w:vAlign w:val="center"/>
          </w:tcPr>
          <w:p w:rsidR="001E33D3" w:rsidRDefault="00BF0FAE">
            <w:pPr>
              <w:jc w:val="center"/>
            </w:pPr>
            <w:r>
              <w:rPr>
                <w:rFonts w:ascii="宋体" w:hAnsi="宋体"/>
                <w:color w:val="000000"/>
                <w:kern w:val="0"/>
              </w:rPr>
              <w:t>130,498,545.17</w:t>
            </w:r>
          </w:p>
        </w:tc>
        <w:tc>
          <w:tcPr>
            <w:tcW w:w="850" w:type="dxa"/>
            <w:vAlign w:val="center"/>
          </w:tcPr>
          <w:p w:rsidR="001E33D3" w:rsidRDefault="00BF0FAE">
            <w:pPr>
              <w:jc w:val="center"/>
            </w:pPr>
            <w:r>
              <w:rPr>
                <w:rFonts w:ascii="宋体" w:hAnsi="宋体"/>
                <w:color w:val="000000"/>
                <w:kern w:val="0"/>
              </w:rPr>
              <w:t>-</w:t>
            </w:r>
          </w:p>
        </w:tc>
        <w:tc>
          <w:tcPr>
            <w:tcW w:w="1134" w:type="dxa"/>
            <w:vAlign w:val="center"/>
          </w:tcPr>
          <w:p w:rsidR="001E33D3" w:rsidRDefault="00BF0FAE">
            <w:pPr>
              <w:jc w:val="center"/>
            </w:pPr>
            <w:r>
              <w:rPr>
                <w:rFonts w:ascii="宋体" w:hAnsi="宋体"/>
                <w:color w:val="000000"/>
                <w:kern w:val="0"/>
              </w:rPr>
              <w:t>-</w:t>
            </w:r>
          </w:p>
        </w:tc>
        <w:tc>
          <w:tcPr>
            <w:tcW w:w="1419" w:type="dxa"/>
            <w:vAlign w:val="center"/>
          </w:tcPr>
          <w:p w:rsidR="001E33D3" w:rsidRDefault="00BF0FAE">
            <w:pPr>
              <w:jc w:val="center"/>
            </w:pPr>
            <w:r>
              <w:rPr>
                <w:rFonts w:ascii="宋体" w:hAnsi="宋体"/>
                <w:color w:val="000000"/>
                <w:kern w:val="0"/>
              </w:rPr>
              <w:t>130,498,545.17</w:t>
            </w:r>
          </w:p>
        </w:tc>
        <w:tc>
          <w:tcPr>
            <w:tcW w:w="1130" w:type="dxa"/>
            <w:vAlign w:val="center"/>
          </w:tcPr>
          <w:p w:rsidR="001E33D3" w:rsidRDefault="00BF0FAE">
            <w:pPr>
              <w:jc w:val="center"/>
            </w:pPr>
            <w:r>
              <w:rPr>
                <w:rFonts w:ascii="宋体" w:hAnsi="宋体"/>
                <w:color w:val="000000"/>
                <w:kern w:val="0"/>
              </w:rPr>
              <w:t>42.27%</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1E33D3" w:rsidRDefault="00BF0FAE">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、中国证监会准予交银施罗德沪港深价值精选灵活配置混合型证券投资基金募集注册的文件；</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2</w:t>
      </w:r>
      <w:r>
        <w:rPr>
          <w:color w:val="000000"/>
          <w:sz w:val="24"/>
          <w:szCs w:val="24"/>
        </w:rPr>
        <w:t>、《交银施罗德沪港深价值精选灵活配置混合型证券投资基金基金合同》；</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3</w:t>
      </w:r>
      <w:r>
        <w:rPr>
          <w:color w:val="000000"/>
          <w:sz w:val="24"/>
          <w:szCs w:val="24"/>
        </w:rPr>
        <w:t>、《交银施罗德沪港深价值精选灵活配置混合型证券投资基金招募说明书》；</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4</w:t>
      </w:r>
      <w:r>
        <w:rPr>
          <w:color w:val="000000"/>
          <w:sz w:val="24"/>
          <w:szCs w:val="24"/>
        </w:rPr>
        <w:t>、《交银施罗德沪港深价值精选灵活配置混合型证券投资基金托管协议》；</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、关于申请募集注册交银施罗德沪港深价值精选灵活配置混合型证券投资基金的法律意见书；</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1E33D3" w:rsidRDefault="00BF0FAE">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、报告期内交银施罗德沪港深价值精选灵活配置混合型证券投资基金在指定报刊上各项公告的原稿。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1E33D3" w:rsidRDefault="00BF0FAE">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BC0FB7">
      <w:rPr>
        <w:noProof/>
        <w:kern w:val="0"/>
        <w:szCs w:val="21"/>
      </w:rPr>
      <w:t>8</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BC0FB7">
      <w:rPr>
        <w:noProof/>
        <w:kern w:val="0"/>
        <w:szCs w:val="21"/>
      </w:rPr>
      <w:t>13</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A1" w:rsidRDefault="00C11AA1" w:rsidP="00876D65">
      <w:r>
        <w:separator/>
      </w:r>
    </w:p>
  </w:footnote>
  <w:footnote w:type="continuationSeparator" w:id="0">
    <w:p w:rsidR="00C11AA1" w:rsidRDefault="00C11AA1"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交银施罗德沪港深价值精选灵活配置混合型证券投资基金</w:t>
    </w:r>
    <w:r w:rsidRPr="003E676C">
      <w:rPr>
        <w:sz w:val="24"/>
        <w:szCs w:val="24"/>
      </w:rPr>
      <w:t>2020</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33D3"/>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0FB7"/>
    <w:rsid w:val="00BC14B3"/>
    <w:rsid w:val="00BC216C"/>
    <w:rsid w:val="00BC4585"/>
    <w:rsid w:val="00BC50F1"/>
    <w:rsid w:val="00BC73E5"/>
    <w:rsid w:val="00BD0031"/>
    <w:rsid w:val="00BD05E0"/>
    <w:rsid w:val="00BD70E0"/>
    <w:rsid w:val="00BD7473"/>
    <w:rsid w:val="00BD7703"/>
    <w:rsid w:val="00BE14ED"/>
    <w:rsid w:val="00BE420D"/>
    <w:rsid w:val="00BE5388"/>
    <w:rsid w:val="00BF0019"/>
    <w:rsid w:val="00BF0FAE"/>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029C-60AE-46B7-9283-BAE1D8DB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13</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沈向文</cp:lastModifiedBy>
  <cp:revision>602</cp:revision>
  <dcterms:created xsi:type="dcterms:W3CDTF">2012-10-16T06:07:00Z</dcterms:created>
  <dcterms:modified xsi:type="dcterms:W3CDTF">2020-07-10T10:11:00Z</dcterms:modified>
</cp:coreProperties>
</file>