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723CD" w:rsidRDefault="00FC20B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723CD" w:rsidRDefault="00FC20B4">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723CD" w:rsidRDefault="00FC20B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723CD" w:rsidRDefault="00FC20B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723CD" w:rsidRDefault="00FC20B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781,293,867.75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中证医药卫生指数收益率</w:t>
            </w:r>
            <w:r w:rsidRPr="00414345">
              <w:rPr>
                <w:color w:val="000000"/>
                <w:kern w:val="0"/>
                <w:sz w:val="24"/>
                <w:szCs w:val="24"/>
              </w:rPr>
              <w:t>+15%×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C20B4" w:rsidRPr="00414345" w:rsidTr="00FC20B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C20B4" w:rsidRPr="00414345" w:rsidTr="00FC20B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95,580,720.17</w:t>
            </w:r>
          </w:p>
        </w:tc>
      </w:tr>
      <w:tr w:rsidR="00FC20B4" w:rsidRPr="00414345" w:rsidTr="00FC20B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558,520,178.86</w:t>
            </w:r>
          </w:p>
        </w:tc>
      </w:tr>
      <w:tr w:rsidR="00FC20B4" w:rsidRPr="00414345" w:rsidTr="00FC20B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0.9745</w:t>
            </w:r>
          </w:p>
        </w:tc>
      </w:tr>
      <w:tr w:rsidR="00FC20B4" w:rsidRPr="00414345" w:rsidTr="00FC20B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2,259,520,762.02</w:t>
            </w:r>
          </w:p>
        </w:tc>
      </w:tr>
      <w:tr w:rsidR="00FC20B4" w:rsidRPr="00414345" w:rsidTr="00FC20B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2.8920</w:t>
            </w:r>
          </w:p>
        </w:tc>
      </w:tr>
    </w:tbl>
    <w:p w:rsidR="00F723CD" w:rsidRDefault="00FC20B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339"/>
        <w:gridCol w:w="1050"/>
        <w:gridCol w:w="1194"/>
        <w:gridCol w:w="1492"/>
        <w:gridCol w:w="1194"/>
        <w:gridCol w:w="898"/>
      </w:tblGrid>
      <w:tr w:rsidR="00226DEA" w:rsidRPr="00414345" w:rsidTr="00702568">
        <w:trPr>
          <w:jc w:val="center"/>
        </w:trPr>
        <w:tc>
          <w:tcPr>
            <w:tcW w:w="1701" w:type="dxa"/>
            <w:vAlign w:val="center"/>
          </w:tcPr>
          <w:p w:rsidR="00226DEA" w:rsidRPr="00414345" w:rsidRDefault="00226DEA" w:rsidP="00702568">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339" w:type="dxa"/>
            <w:vAlign w:val="center"/>
          </w:tcPr>
          <w:p w:rsidR="00226DEA" w:rsidRPr="00414345" w:rsidRDefault="00226DEA" w:rsidP="00702568">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050" w:type="dxa"/>
            <w:vAlign w:val="center"/>
          </w:tcPr>
          <w:p w:rsidR="00226DEA" w:rsidRPr="00414345" w:rsidRDefault="00226DEA" w:rsidP="00702568">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226DEA" w:rsidRPr="00414345" w:rsidRDefault="00226DEA" w:rsidP="00702568">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226DEA" w:rsidRPr="00414345" w:rsidRDefault="00226DEA" w:rsidP="00702568">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226DEA" w:rsidRPr="00414345" w:rsidRDefault="00226DEA" w:rsidP="00702568">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226DEA" w:rsidRPr="00414345" w:rsidRDefault="00226DEA" w:rsidP="00702568">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26DEA" w:rsidTr="00702568">
        <w:trPr>
          <w:jc w:val="center"/>
        </w:trPr>
        <w:tc>
          <w:tcPr>
            <w:tcW w:w="1701" w:type="dxa"/>
            <w:vAlign w:val="center"/>
          </w:tcPr>
          <w:p w:rsidR="00226DEA" w:rsidRDefault="00226DEA" w:rsidP="00702568">
            <w:pPr>
              <w:jc w:val="left"/>
            </w:pPr>
            <w:r>
              <w:rPr>
                <w:color w:val="000000"/>
                <w:sz w:val="24"/>
                <w:szCs w:val="24"/>
              </w:rPr>
              <w:t>过去三个月</w:t>
            </w:r>
          </w:p>
        </w:tc>
        <w:tc>
          <w:tcPr>
            <w:tcW w:w="1339" w:type="dxa"/>
            <w:vAlign w:val="center"/>
          </w:tcPr>
          <w:p w:rsidR="00226DEA" w:rsidRDefault="00226DEA" w:rsidP="00702568">
            <w:pPr>
              <w:jc w:val="center"/>
            </w:pPr>
            <w:r>
              <w:rPr>
                <w:color w:val="000000"/>
                <w:sz w:val="24"/>
                <w:szCs w:val="24"/>
              </w:rPr>
              <w:t>47.21%</w:t>
            </w:r>
          </w:p>
        </w:tc>
        <w:tc>
          <w:tcPr>
            <w:tcW w:w="1050" w:type="dxa"/>
            <w:vAlign w:val="center"/>
          </w:tcPr>
          <w:p w:rsidR="00226DEA" w:rsidRDefault="00226DEA" w:rsidP="00702568">
            <w:pPr>
              <w:jc w:val="center"/>
            </w:pPr>
            <w:r>
              <w:rPr>
                <w:color w:val="000000"/>
                <w:sz w:val="24"/>
                <w:szCs w:val="24"/>
              </w:rPr>
              <w:t>1.63%</w:t>
            </w:r>
          </w:p>
        </w:tc>
        <w:tc>
          <w:tcPr>
            <w:tcW w:w="1194" w:type="dxa"/>
            <w:vAlign w:val="center"/>
          </w:tcPr>
          <w:p w:rsidR="00226DEA" w:rsidRDefault="00226DEA" w:rsidP="00702568">
            <w:pPr>
              <w:jc w:val="center"/>
            </w:pPr>
            <w:r>
              <w:rPr>
                <w:color w:val="000000"/>
                <w:sz w:val="24"/>
                <w:szCs w:val="24"/>
              </w:rPr>
              <w:t>25.23%</w:t>
            </w:r>
          </w:p>
        </w:tc>
        <w:tc>
          <w:tcPr>
            <w:tcW w:w="1492" w:type="dxa"/>
            <w:vAlign w:val="center"/>
          </w:tcPr>
          <w:p w:rsidR="00226DEA" w:rsidRDefault="00226DEA" w:rsidP="00702568">
            <w:pPr>
              <w:jc w:val="center"/>
            </w:pPr>
            <w:r>
              <w:rPr>
                <w:color w:val="000000"/>
                <w:sz w:val="24"/>
                <w:szCs w:val="24"/>
              </w:rPr>
              <w:t>1.18%</w:t>
            </w:r>
          </w:p>
        </w:tc>
        <w:tc>
          <w:tcPr>
            <w:tcW w:w="1194" w:type="dxa"/>
            <w:vAlign w:val="center"/>
          </w:tcPr>
          <w:p w:rsidR="00226DEA" w:rsidRDefault="00226DEA" w:rsidP="00702568">
            <w:pPr>
              <w:jc w:val="center"/>
            </w:pPr>
            <w:r>
              <w:rPr>
                <w:color w:val="000000"/>
                <w:sz w:val="24"/>
                <w:szCs w:val="24"/>
              </w:rPr>
              <w:t>21.98%</w:t>
            </w:r>
          </w:p>
        </w:tc>
        <w:tc>
          <w:tcPr>
            <w:tcW w:w="898" w:type="dxa"/>
            <w:vAlign w:val="center"/>
          </w:tcPr>
          <w:p w:rsidR="00226DEA" w:rsidRDefault="00226DEA" w:rsidP="00702568">
            <w:pPr>
              <w:jc w:val="center"/>
            </w:pPr>
            <w:r>
              <w:rPr>
                <w:color w:val="000000"/>
                <w:sz w:val="24"/>
                <w:szCs w:val="24"/>
              </w:rPr>
              <w:t>0.45%</w:t>
            </w:r>
          </w:p>
        </w:tc>
      </w:tr>
      <w:tr w:rsidR="00226DEA" w:rsidTr="00702568">
        <w:trPr>
          <w:jc w:val="center"/>
        </w:trPr>
        <w:tc>
          <w:tcPr>
            <w:tcW w:w="1701" w:type="dxa"/>
            <w:vAlign w:val="center"/>
          </w:tcPr>
          <w:p w:rsidR="00226DEA" w:rsidRDefault="00226DEA" w:rsidP="00702568">
            <w:pPr>
              <w:jc w:val="left"/>
            </w:pPr>
            <w:r>
              <w:rPr>
                <w:color w:val="000000"/>
                <w:sz w:val="24"/>
                <w:szCs w:val="24"/>
              </w:rPr>
              <w:t>过去六个月</w:t>
            </w:r>
          </w:p>
        </w:tc>
        <w:tc>
          <w:tcPr>
            <w:tcW w:w="1339" w:type="dxa"/>
            <w:vAlign w:val="center"/>
          </w:tcPr>
          <w:p w:rsidR="00226DEA" w:rsidRDefault="00226DEA" w:rsidP="00702568">
            <w:pPr>
              <w:jc w:val="center"/>
            </w:pPr>
            <w:r>
              <w:rPr>
                <w:color w:val="000000"/>
                <w:sz w:val="24"/>
                <w:szCs w:val="24"/>
              </w:rPr>
              <w:t>64.19%</w:t>
            </w:r>
          </w:p>
        </w:tc>
        <w:tc>
          <w:tcPr>
            <w:tcW w:w="1050" w:type="dxa"/>
            <w:vAlign w:val="center"/>
          </w:tcPr>
          <w:p w:rsidR="00226DEA" w:rsidRDefault="00226DEA" w:rsidP="00702568">
            <w:pPr>
              <w:jc w:val="center"/>
            </w:pPr>
            <w:r>
              <w:rPr>
                <w:color w:val="000000"/>
                <w:sz w:val="24"/>
                <w:szCs w:val="24"/>
              </w:rPr>
              <w:t>1.81%</w:t>
            </w:r>
          </w:p>
        </w:tc>
        <w:tc>
          <w:tcPr>
            <w:tcW w:w="1194" w:type="dxa"/>
            <w:vAlign w:val="center"/>
          </w:tcPr>
          <w:p w:rsidR="00226DEA" w:rsidRDefault="00226DEA" w:rsidP="00702568">
            <w:pPr>
              <w:jc w:val="center"/>
            </w:pPr>
            <w:r>
              <w:rPr>
                <w:color w:val="000000"/>
                <w:sz w:val="24"/>
                <w:szCs w:val="24"/>
              </w:rPr>
              <w:t>32.84%</w:t>
            </w:r>
          </w:p>
        </w:tc>
        <w:tc>
          <w:tcPr>
            <w:tcW w:w="1492" w:type="dxa"/>
            <w:vAlign w:val="center"/>
          </w:tcPr>
          <w:p w:rsidR="00226DEA" w:rsidRDefault="00226DEA" w:rsidP="00702568">
            <w:pPr>
              <w:jc w:val="center"/>
            </w:pPr>
            <w:r>
              <w:rPr>
                <w:color w:val="000000"/>
                <w:sz w:val="24"/>
                <w:szCs w:val="24"/>
              </w:rPr>
              <w:t>1.41%</w:t>
            </w:r>
          </w:p>
        </w:tc>
        <w:tc>
          <w:tcPr>
            <w:tcW w:w="1194" w:type="dxa"/>
            <w:vAlign w:val="center"/>
          </w:tcPr>
          <w:p w:rsidR="00226DEA" w:rsidRDefault="00226DEA" w:rsidP="00702568">
            <w:pPr>
              <w:jc w:val="center"/>
            </w:pPr>
            <w:r>
              <w:rPr>
                <w:color w:val="000000"/>
                <w:sz w:val="24"/>
                <w:szCs w:val="24"/>
              </w:rPr>
              <w:t>31.35%</w:t>
            </w:r>
          </w:p>
        </w:tc>
        <w:tc>
          <w:tcPr>
            <w:tcW w:w="898" w:type="dxa"/>
            <w:vAlign w:val="center"/>
          </w:tcPr>
          <w:p w:rsidR="00226DEA" w:rsidRDefault="00226DEA" w:rsidP="00702568">
            <w:pPr>
              <w:jc w:val="center"/>
            </w:pPr>
            <w:r>
              <w:rPr>
                <w:color w:val="000000"/>
                <w:sz w:val="24"/>
                <w:szCs w:val="24"/>
              </w:rPr>
              <w:t>0.40%</w:t>
            </w:r>
          </w:p>
        </w:tc>
      </w:tr>
      <w:tr w:rsidR="00226DEA" w:rsidTr="00702568">
        <w:trPr>
          <w:jc w:val="center"/>
        </w:trPr>
        <w:tc>
          <w:tcPr>
            <w:tcW w:w="1701" w:type="dxa"/>
            <w:vAlign w:val="center"/>
          </w:tcPr>
          <w:p w:rsidR="00226DEA" w:rsidRDefault="00226DEA" w:rsidP="00702568">
            <w:pPr>
              <w:jc w:val="left"/>
            </w:pPr>
            <w:r>
              <w:rPr>
                <w:color w:val="000000"/>
                <w:sz w:val="24"/>
                <w:szCs w:val="24"/>
              </w:rPr>
              <w:t>过去一年</w:t>
            </w:r>
          </w:p>
        </w:tc>
        <w:tc>
          <w:tcPr>
            <w:tcW w:w="1339" w:type="dxa"/>
            <w:vAlign w:val="center"/>
          </w:tcPr>
          <w:p w:rsidR="00226DEA" w:rsidRDefault="00226DEA" w:rsidP="00702568">
            <w:pPr>
              <w:jc w:val="center"/>
            </w:pPr>
            <w:r>
              <w:rPr>
                <w:color w:val="000000"/>
                <w:sz w:val="24"/>
                <w:szCs w:val="24"/>
              </w:rPr>
              <w:t>106.51%</w:t>
            </w:r>
          </w:p>
        </w:tc>
        <w:tc>
          <w:tcPr>
            <w:tcW w:w="1050" w:type="dxa"/>
            <w:vAlign w:val="center"/>
          </w:tcPr>
          <w:p w:rsidR="00226DEA" w:rsidRDefault="00226DEA" w:rsidP="00702568">
            <w:pPr>
              <w:jc w:val="center"/>
            </w:pPr>
            <w:r>
              <w:rPr>
                <w:color w:val="000000"/>
                <w:sz w:val="24"/>
                <w:szCs w:val="24"/>
              </w:rPr>
              <w:t>1.53%</w:t>
            </w:r>
          </w:p>
        </w:tc>
        <w:tc>
          <w:tcPr>
            <w:tcW w:w="1194" w:type="dxa"/>
            <w:vAlign w:val="center"/>
          </w:tcPr>
          <w:p w:rsidR="00226DEA" w:rsidRDefault="00226DEA" w:rsidP="00702568">
            <w:pPr>
              <w:jc w:val="center"/>
            </w:pPr>
            <w:r>
              <w:rPr>
                <w:color w:val="000000"/>
                <w:sz w:val="24"/>
                <w:szCs w:val="24"/>
              </w:rPr>
              <w:t>45.50%</w:t>
            </w:r>
          </w:p>
        </w:tc>
        <w:tc>
          <w:tcPr>
            <w:tcW w:w="1492" w:type="dxa"/>
            <w:vAlign w:val="center"/>
          </w:tcPr>
          <w:p w:rsidR="00226DEA" w:rsidRDefault="00226DEA" w:rsidP="00702568">
            <w:pPr>
              <w:jc w:val="center"/>
            </w:pPr>
            <w:r>
              <w:rPr>
                <w:color w:val="000000"/>
                <w:sz w:val="24"/>
                <w:szCs w:val="24"/>
              </w:rPr>
              <w:t>1.17%</w:t>
            </w:r>
          </w:p>
        </w:tc>
        <w:tc>
          <w:tcPr>
            <w:tcW w:w="1194" w:type="dxa"/>
            <w:vAlign w:val="center"/>
          </w:tcPr>
          <w:p w:rsidR="00226DEA" w:rsidRDefault="00226DEA" w:rsidP="00702568">
            <w:pPr>
              <w:jc w:val="center"/>
            </w:pPr>
            <w:r>
              <w:rPr>
                <w:color w:val="000000"/>
                <w:sz w:val="24"/>
                <w:szCs w:val="24"/>
              </w:rPr>
              <w:t>61.01%</w:t>
            </w:r>
          </w:p>
        </w:tc>
        <w:tc>
          <w:tcPr>
            <w:tcW w:w="898" w:type="dxa"/>
            <w:vAlign w:val="center"/>
          </w:tcPr>
          <w:p w:rsidR="00226DEA" w:rsidRDefault="00226DEA" w:rsidP="00702568">
            <w:pPr>
              <w:jc w:val="center"/>
            </w:pPr>
            <w:r>
              <w:rPr>
                <w:color w:val="000000"/>
                <w:sz w:val="24"/>
                <w:szCs w:val="24"/>
              </w:rPr>
              <w:t>0.36%</w:t>
            </w:r>
          </w:p>
        </w:tc>
      </w:tr>
      <w:tr w:rsidR="00226DEA" w:rsidTr="00702568">
        <w:trPr>
          <w:jc w:val="center"/>
        </w:trPr>
        <w:tc>
          <w:tcPr>
            <w:tcW w:w="1701" w:type="dxa"/>
            <w:vAlign w:val="center"/>
          </w:tcPr>
          <w:p w:rsidR="00226DEA" w:rsidRDefault="00226DEA" w:rsidP="00702568">
            <w:pPr>
              <w:jc w:val="left"/>
            </w:pPr>
            <w:r>
              <w:rPr>
                <w:color w:val="000000"/>
                <w:sz w:val="24"/>
                <w:szCs w:val="24"/>
              </w:rPr>
              <w:t>过去三年</w:t>
            </w:r>
          </w:p>
        </w:tc>
        <w:tc>
          <w:tcPr>
            <w:tcW w:w="1339" w:type="dxa"/>
            <w:vAlign w:val="center"/>
          </w:tcPr>
          <w:p w:rsidR="00226DEA" w:rsidRDefault="00226DEA" w:rsidP="00702568">
            <w:pPr>
              <w:jc w:val="center"/>
            </w:pPr>
            <w:r>
              <w:rPr>
                <w:color w:val="000000"/>
                <w:sz w:val="24"/>
                <w:szCs w:val="24"/>
              </w:rPr>
              <w:t>178.83%</w:t>
            </w:r>
          </w:p>
        </w:tc>
        <w:tc>
          <w:tcPr>
            <w:tcW w:w="1050" w:type="dxa"/>
            <w:vAlign w:val="center"/>
          </w:tcPr>
          <w:p w:rsidR="00226DEA" w:rsidRDefault="00226DEA" w:rsidP="00702568">
            <w:pPr>
              <w:jc w:val="center"/>
            </w:pPr>
            <w:r>
              <w:rPr>
                <w:color w:val="000000"/>
                <w:sz w:val="24"/>
                <w:szCs w:val="24"/>
              </w:rPr>
              <w:t>1.42%</w:t>
            </w:r>
          </w:p>
        </w:tc>
        <w:tc>
          <w:tcPr>
            <w:tcW w:w="1194" w:type="dxa"/>
            <w:vAlign w:val="center"/>
          </w:tcPr>
          <w:p w:rsidR="00226DEA" w:rsidRDefault="00226DEA" w:rsidP="00702568">
            <w:pPr>
              <w:jc w:val="center"/>
            </w:pPr>
            <w:r>
              <w:rPr>
                <w:color w:val="000000"/>
                <w:sz w:val="24"/>
                <w:szCs w:val="24"/>
              </w:rPr>
              <w:t>38.36%</w:t>
            </w:r>
          </w:p>
        </w:tc>
        <w:tc>
          <w:tcPr>
            <w:tcW w:w="1492" w:type="dxa"/>
            <w:vAlign w:val="center"/>
          </w:tcPr>
          <w:p w:rsidR="00226DEA" w:rsidRDefault="00226DEA" w:rsidP="00702568">
            <w:pPr>
              <w:jc w:val="center"/>
            </w:pPr>
            <w:r>
              <w:rPr>
                <w:color w:val="000000"/>
                <w:sz w:val="24"/>
                <w:szCs w:val="24"/>
              </w:rPr>
              <w:t>1.26%</w:t>
            </w:r>
          </w:p>
        </w:tc>
        <w:tc>
          <w:tcPr>
            <w:tcW w:w="1194" w:type="dxa"/>
            <w:vAlign w:val="center"/>
          </w:tcPr>
          <w:p w:rsidR="00226DEA" w:rsidRDefault="00226DEA" w:rsidP="00702568">
            <w:pPr>
              <w:jc w:val="center"/>
            </w:pPr>
            <w:r>
              <w:rPr>
                <w:color w:val="000000"/>
                <w:sz w:val="24"/>
                <w:szCs w:val="24"/>
              </w:rPr>
              <w:t>140.47%</w:t>
            </w:r>
          </w:p>
        </w:tc>
        <w:tc>
          <w:tcPr>
            <w:tcW w:w="898" w:type="dxa"/>
            <w:vAlign w:val="center"/>
          </w:tcPr>
          <w:p w:rsidR="00226DEA" w:rsidRDefault="00226DEA" w:rsidP="00702568">
            <w:pPr>
              <w:jc w:val="center"/>
            </w:pPr>
            <w:r>
              <w:rPr>
                <w:color w:val="000000"/>
                <w:sz w:val="24"/>
                <w:szCs w:val="24"/>
              </w:rPr>
              <w:t>0.16%</w:t>
            </w:r>
          </w:p>
        </w:tc>
      </w:tr>
      <w:tr w:rsidR="00226DEA" w:rsidTr="00702568">
        <w:trPr>
          <w:jc w:val="center"/>
        </w:trPr>
        <w:tc>
          <w:tcPr>
            <w:tcW w:w="1701" w:type="dxa"/>
            <w:vAlign w:val="center"/>
          </w:tcPr>
          <w:p w:rsidR="00226DEA" w:rsidRDefault="00226DEA" w:rsidP="00702568">
            <w:pPr>
              <w:jc w:val="left"/>
            </w:pPr>
            <w:r>
              <w:rPr>
                <w:color w:val="000000"/>
                <w:sz w:val="24"/>
                <w:szCs w:val="24"/>
              </w:rPr>
              <w:t>自基金合同生效起至今</w:t>
            </w:r>
          </w:p>
        </w:tc>
        <w:tc>
          <w:tcPr>
            <w:tcW w:w="1339" w:type="dxa"/>
            <w:vAlign w:val="center"/>
          </w:tcPr>
          <w:p w:rsidR="00226DEA" w:rsidRDefault="00226DEA" w:rsidP="00702568">
            <w:pPr>
              <w:jc w:val="center"/>
            </w:pPr>
            <w:r>
              <w:rPr>
                <w:color w:val="000000"/>
                <w:sz w:val="24"/>
                <w:szCs w:val="24"/>
              </w:rPr>
              <w:t>189.20%</w:t>
            </w:r>
          </w:p>
        </w:tc>
        <w:tc>
          <w:tcPr>
            <w:tcW w:w="1050" w:type="dxa"/>
            <w:vAlign w:val="center"/>
          </w:tcPr>
          <w:p w:rsidR="00226DEA" w:rsidRDefault="00226DEA" w:rsidP="00702568">
            <w:pPr>
              <w:jc w:val="center"/>
            </w:pPr>
            <w:r>
              <w:rPr>
                <w:color w:val="000000"/>
                <w:sz w:val="24"/>
                <w:szCs w:val="24"/>
              </w:rPr>
              <w:t>1.36%</w:t>
            </w:r>
          </w:p>
        </w:tc>
        <w:tc>
          <w:tcPr>
            <w:tcW w:w="1194" w:type="dxa"/>
            <w:vAlign w:val="center"/>
          </w:tcPr>
          <w:p w:rsidR="00226DEA" w:rsidRDefault="00226DEA" w:rsidP="00702568">
            <w:pPr>
              <w:jc w:val="center"/>
            </w:pPr>
            <w:r>
              <w:rPr>
                <w:color w:val="000000"/>
                <w:sz w:val="24"/>
                <w:szCs w:val="24"/>
              </w:rPr>
              <w:t>40.48%</w:t>
            </w:r>
          </w:p>
        </w:tc>
        <w:tc>
          <w:tcPr>
            <w:tcW w:w="1492" w:type="dxa"/>
            <w:vAlign w:val="center"/>
          </w:tcPr>
          <w:p w:rsidR="00226DEA" w:rsidRDefault="00226DEA" w:rsidP="00702568">
            <w:pPr>
              <w:jc w:val="center"/>
            </w:pPr>
            <w:r>
              <w:rPr>
                <w:color w:val="000000"/>
                <w:sz w:val="24"/>
                <w:szCs w:val="24"/>
              </w:rPr>
              <w:t>1.22%</w:t>
            </w:r>
          </w:p>
        </w:tc>
        <w:tc>
          <w:tcPr>
            <w:tcW w:w="1194" w:type="dxa"/>
            <w:vAlign w:val="center"/>
          </w:tcPr>
          <w:p w:rsidR="00226DEA" w:rsidRDefault="00226DEA" w:rsidP="00702568">
            <w:pPr>
              <w:jc w:val="center"/>
            </w:pPr>
            <w:r>
              <w:rPr>
                <w:color w:val="000000"/>
                <w:sz w:val="24"/>
                <w:szCs w:val="24"/>
              </w:rPr>
              <w:t>148.72%</w:t>
            </w:r>
          </w:p>
        </w:tc>
        <w:tc>
          <w:tcPr>
            <w:tcW w:w="898" w:type="dxa"/>
            <w:vAlign w:val="center"/>
          </w:tcPr>
          <w:p w:rsidR="00226DEA" w:rsidRDefault="00226DEA" w:rsidP="00702568">
            <w:pPr>
              <w:jc w:val="center"/>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723CD">
        <w:trPr>
          <w:jc w:val="center"/>
        </w:trPr>
        <w:tc>
          <w:tcPr>
            <w:tcW w:w="846" w:type="dxa"/>
            <w:vAlign w:val="center"/>
          </w:tcPr>
          <w:p w:rsidR="00F723CD" w:rsidRDefault="00FC20B4">
            <w:pPr>
              <w:jc w:val="center"/>
            </w:pPr>
            <w:r>
              <w:rPr>
                <w:color w:val="000000"/>
                <w:sz w:val="24"/>
                <w:szCs w:val="24"/>
              </w:rPr>
              <w:t>楼慧源</w:t>
            </w:r>
          </w:p>
        </w:tc>
        <w:tc>
          <w:tcPr>
            <w:tcW w:w="845" w:type="dxa"/>
            <w:vAlign w:val="center"/>
          </w:tcPr>
          <w:p w:rsidR="00F723CD" w:rsidRDefault="00FC20B4">
            <w:pPr>
              <w:jc w:val="center"/>
            </w:pPr>
            <w:r>
              <w:rPr>
                <w:color w:val="000000"/>
                <w:sz w:val="24"/>
                <w:szCs w:val="24"/>
              </w:rPr>
              <w:t>交银医药创新股票的基金经理</w:t>
            </w:r>
          </w:p>
        </w:tc>
        <w:tc>
          <w:tcPr>
            <w:tcW w:w="1549" w:type="dxa"/>
            <w:vAlign w:val="center"/>
          </w:tcPr>
          <w:p w:rsidR="00F723CD" w:rsidRDefault="00FC20B4">
            <w:pPr>
              <w:jc w:val="center"/>
            </w:pPr>
            <w:r>
              <w:rPr>
                <w:color w:val="000000"/>
                <w:sz w:val="24"/>
                <w:szCs w:val="24"/>
              </w:rPr>
              <w:t>2018-09-12</w:t>
            </w:r>
          </w:p>
        </w:tc>
        <w:tc>
          <w:tcPr>
            <w:tcW w:w="1548" w:type="dxa"/>
            <w:vAlign w:val="center"/>
          </w:tcPr>
          <w:p w:rsidR="00F723CD" w:rsidRDefault="00FC20B4">
            <w:pPr>
              <w:jc w:val="center"/>
            </w:pPr>
            <w:r>
              <w:rPr>
                <w:color w:val="000000"/>
                <w:sz w:val="24"/>
                <w:szCs w:val="24"/>
              </w:rPr>
              <w:t>-</w:t>
            </w:r>
          </w:p>
        </w:tc>
        <w:tc>
          <w:tcPr>
            <w:tcW w:w="1407" w:type="dxa"/>
            <w:vAlign w:val="center"/>
          </w:tcPr>
          <w:p w:rsidR="00F723CD" w:rsidRDefault="00FC20B4">
            <w:pPr>
              <w:jc w:val="center"/>
            </w:pPr>
            <w:r>
              <w:rPr>
                <w:color w:val="000000"/>
                <w:sz w:val="24"/>
                <w:szCs w:val="24"/>
              </w:rPr>
              <w:t>6</w:t>
            </w:r>
            <w:r>
              <w:rPr>
                <w:color w:val="000000"/>
                <w:sz w:val="24"/>
                <w:szCs w:val="24"/>
              </w:rPr>
              <w:t>年</w:t>
            </w:r>
          </w:p>
        </w:tc>
        <w:tc>
          <w:tcPr>
            <w:tcW w:w="2673" w:type="dxa"/>
            <w:vAlign w:val="center"/>
          </w:tcPr>
          <w:p w:rsidR="00F723CD" w:rsidRDefault="00FC20B4">
            <w:r>
              <w:rPr>
                <w:color w:val="000000"/>
                <w:sz w:val="24"/>
                <w:szCs w:val="24"/>
              </w:rPr>
              <w:t>楼慧源女士，复旦大学金融学硕士、浙江大学应用生物科学学士。</w:t>
            </w:r>
            <w:r>
              <w:rPr>
                <w:color w:val="000000"/>
                <w:sz w:val="24"/>
                <w:szCs w:val="24"/>
              </w:rPr>
              <w:t>2014</w:t>
            </w:r>
            <w:r>
              <w:rPr>
                <w:color w:val="000000"/>
                <w:sz w:val="24"/>
                <w:szCs w:val="24"/>
              </w:rPr>
              <w:t>年至</w:t>
            </w:r>
            <w:r>
              <w:rPr>
                <w:color w:val="000000"/>
                <w:sz w:val="24"/>
                <w:szCs w:val="24"/>
              </w:rPr>
              <w:t>2015</w:t>
            </w:r>
            <w:r>
              <w:rPr>
                <w:color w:val="000000"/>
                <w:sz w:val="24"/>
                <w:szCs w:val="24"/>
              </w:rPr>
              <w:t>年任中国国际金融有限公司研究员。</w:t>
            </w:r>
            <w:r>
              <w:rPr>
                <w:color w:val="000000"/>
                <w:sz w:val="24"/>
                <w:szCs w:val="24"/>
              </w:rPr>
              <w:t>2015</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w:t>
      </w:r>
      <w:r w:rsidRPr="00414345">
        <w:rPr>
          <w:color w:val="000000"/>
          <w:sz w:val="24"/>
          <w:szCs w:val="24"/>
        </w:rPr>
        <w:lastRenderedPageBreak/>
        <w:t>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723CD" w:rsidRDefault="00FC20B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723CD" w:rsidRDefault="00FC20B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723CD" w:rsidRDefault="00FC20B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723CD" w:rsidRDefault="00FC20B4">
      <w:pPr>
        <w:spacing w:before="29" w:line="288" w:lineRule="auto"/>
        <w:ind w:firstLineChars="200" w:firstLine="480"/>
        <w:rPr>
          <w:color w:val="000000"/>
          <w:sz w:val="24"/>
          <w:szCs w:val="24"/>
        </w:rPr>
      </w:pPr>
      <w:r>
        <w:rPr>
          <w:color w:val="000000"/>
          <w:sz w:val="24"/>
          <w:szCs w:val="24"/>
        </w:rPr>
        <w:t>回顾</w:t>
      </w:r>
      <w:r>
        <w:rPr>
          <w:color w:val="000000"/>
          <w:sz w:val="24"/>
          <w:szCs w:val="24"/>
        </w:rPr>
        <w:t>2020</w:t>
      </w:r>
      <w:r>
        <w:rPr>
          <w:color w:val="000000"/>
          <w:sz w:val="24"/>
          <w:szCs w:val="24"/>
        </w:rPr>
        <w:t>年二季度，疫情给医药板块带来收益，叠加资金流动性推动，医药具备刚需和长逻辑的机会，因此板块表现突出，预计下半年收益率会有所缩窄。</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长期继续看好四类赛道，受益于消费升级的品质医疗服务和医药消费品，受益于技术驱动、治疗范式升级的创新药和创新器械，受益于国产替代的高性价比药械和诊断产品，以及受益于人才红利的承接全球需求的医药制造</w:t>
      </w:r>
      <w:r w:rsidRPr="00414345">
        <w:rPr>
          <w:color w:val="000000"/>
          <w:sz w:val="24"/>
          <w:szCs w:val="24"/>
        </w:rPr>
        <w:t>/</w:t>
      </w:r>
      <w:r w:rsidRPr="00414345">
        <w:rPr>
          <w:color w:val="000000"/>
          <w:sz w:val="24"/>
          <w:szCs w:val="24"/>
        </w:rPr>
        <w:t>研发服务。落实到三季度的投资，我们认为，重点配置具备成长空间的中长线逻辑个股，密切关注科创板涌现的新标的，从中寻找创新驱动的机会。疫情方面，对于短期疫情受益个股，股价层面已经反映较为充分，未来会减少配置，而对疫情给公司基本面带来中长期正向变化的个股仍然保持关注。</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2,071,660,975.85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88.55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2,071,660,975.85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88.55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200,813,564.16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66,854,267.97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2.86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2,339,434,807.98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1,512,784,487.29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12,766.32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4,494.40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23,701,789.00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5,624,187.17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176,460,578.20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353,072,673.47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2,071,660,975.85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91.69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723CD">
        <w:trPr>
          <w:jc w:val="center"/>
        </w:trPr>
        <w:tc>
          <w:tcPr>
            <w:tcW w:w="855" w:type="dxa"/>
            <w:vAlign w:val="center"/>
          </w:tcPr>
          <w:p w:rsidR="00F723CD" w:rsidRDefault="00FC20B4">
            <w:pPr>
              <w:jc w:val="center"/>
            </w:pPr>
            <w:r>
              <w:rPr>
                <w:color w:val="000000"/>
                <w:sz w:val="24"/>
                <w:szCs w:val="24"/>
              </w:rPr>
              <w:t>1</w:t>
            </w:r>
          </w:p>
        </w:tc>
        <w:tc>
          <w:tcPr>
            <w:tcW w:w="1334" w:type="dxa"/>
            <w:vAlign w:val="center"/>
          </w:tcPr>
          <w:p w:rsidR="00F723CD" w:rsidRDefault="00FC20B4">
            <w:pPr>
              <w:jc w:val="center"/>
            </w:pPr>
            <w:r>
              <w:rPr>
                <w:color w:val="000000"/>
                <w:sz w:val="24"/>
                <w:szCs w:val="24"/>
              </w:rPr>
              <w:t>600276</w:t>
            </w:r>
          </w:p>
        </w:tc>
        <w:tc>
          <w:tcPr>
            <w:tcW w:w="1777" w:type="dxa"/>
            <w:vAlign w:val="center"/>
          </w:tcPr>
          <w:p w:rsidR="00F723CD" w:rsidRDefault="00FC20B4">
            <w:pPr>
              <w:jc w:val="center"/>
            </w:pPr>
            <w:r>
              <w:rPr>
                <w:color w:val="000000"/>
                <w:sz w:val="24"/>
                <w:szCs w:val="24"/>
              </w:rPr>
              <w:t>恒瑞医药</w:t>
            </w:r>
          </w:p>
        </w:tc>
        <w:tc>
          <w:tcPr>
            <w:tcW w:w="1334" w:type="dxa"/>
            <w:vAlign w:val="center"/>
          </w:tcPr>
          <w:p w:rsidR="00F723CD" w:rsidRDefault="00FC20B4">
            <w:pPr>
              <w:jc w:val="right"/>
            </w:pPr>
            <w:r>
              <w:rPr>
                <w:color w:val="000000"/>
                <w:sz w:val="24"/>
                <w:szCs w:val="24"/>
              </w:rPr>
              <w:t>1,762,330</w:t>
            </w:r>
          </w:p>
        </w:tc>
        <w:tc>
          <w:tcPr>
            <w:tcW w:w="1924" w:type="dxa"/>
            <w:vAlign w:val="center"/>
          </w:tcPr>
          <w:p w:rsidR="00F723CD" w:rsidRDefault="00FC20B4">
            <w:pPr>
              <w:jc w:val="right"/>
            </w:pPr>
            <w:r>
              <w:rPr>
                <w:color w:val="000000"/>
                <w:sz w:val="24"/>
                <w:szCs w:val="24"/>
              </w:rPr>
              <w:t>162,663,059.00</w:t>
            </w:r>
          </w:p>
        </w:tc>
        <w:tc>
          <w:tcPr>
            <w:tcW w:w="1644" w:type="dxa"/>
            <w:vAlign w:val="center"/>
          </w:tcPr>
          <w:p w:rsidR="00F723CD" w:rsidRDefault="00FC20B4">
            <w:pPr>
              <w:jc w:val="right"/>
            </w:pPr>
            <w:r>
              <w:rPr>
                <w:color w:val="000000"/>
                <w:sz w:val="24"/>
                <w:szCs w:val="24"/>
              </w:rPr>
              <w:t>7.20</w:t>
            </w:r>
          </w:p>
        </w:tc>
      </w:tr>
      <w:tr w:rsidR="00F723CD">
        <w:trPr>
          <w:jc w:val="center"/>
        </w:trPr>
        <w:tc>
          <w:tcPr>
            <w:tcW w:w="855" w:type="dxa"/>
            <w:vAlign w:val="center"/>
          </w:tcPr>
          <w:p w:rsidR="00F723CD" w:rsidRDefault="00FC20B4">
            <w:pPr>
              <w:jc w:val="center"/>
            </w:pPr>
            <w:r>
              <w:rPr>
                <w:color w:val="000000"/>
                <w:sz w:val="24"/>
                <w:szCs w:val="24"/>
              </w:rPr>
              <w:t>2</w:t>
            </w:r>
          </w:p>
        </w:tc>
        <w:tc>
          <w:tcPr>
            <w:tcW w:w="1334" w:type="dxa"/>
            <w:vAlign w:val="center"/>
          </w:tcPr>
          <w:p w:rsidR="00F723CD" w:rsidRDefault="00FC20B4">
            <w:pPr>
              <w:jc w:val="center"/>
            </w:pPr>
            <w:r>
              <w:rPr>
                <w:color w:val="000000"/>
                <w:sz w:val="24"/>
                <w:szCs w:val="24"/>
              </w:rPr>
              <w:t>603259</w:t>
            </w:r>
          </w:p>
        </w:tc>
        <w:tc>
          <w:tcPr>
            <w:tcW w:w="1777" w:type="dxa"/>
            <w:vAlign w:val="center"/>
          </w:tcPr>
          <w:p w:rsidR="00F723CD" w:rsidRDefault="00FC20B4">
            <w:pPr>
              <w:jc w:val="center"/>
            </w:pPr>
            <w:r>
              <w:rPr>
                <w:color w:val="000000"/>
                <w:sz w:val="24"/>
                <w:szCs w:val="24"/>
              </w:rPr>
              <w:t>药明康德</w:t>
            </w:r>
          </w:p>
        </w:tc>
        <w:tc>
          <w:tcPr>
            <w:tcW w:w="1334" w:type="dxa"/>
            <w:vAlign w:val="center"/>
          </w:tcPr>
          <w:p w:rsidR="00F723CD" w:rsidRDefault="00FC20B4">
            <w:pPr>
              <w:jc w:val="right"/>
            </w:pPr>
            <w:r>
              <w:rPr>
                <w:color w:val="000000"/>
                <w:sz w:val="24"/>
                <w:szCs w:val="24"/>
              </w:rPr>
              <w:t>1,639,332</w:t>
            </w:r>
          </w:p>
        </w:tc>
        <w:tc>
          <w:tcPr>
            <w:tcW w:w="1924" w:type="dxa"/>
            <w:vAlign w:val="center"/>
          </w:tcPr>
          <w:p w:rsidR="00F723CD" w:rsidRDefault="00FC20B4">
            <w:pPr>
              <w:jc w:val="right"/>
            </w:pPr>
            <w:r>
              <w:rPr>
                <w:color w:val="000000"/>
                <w:sz w:val="24"/>
                <w:szCs w:val="24"/>
              </w:rPr>
              <w:t>158,359,471.20</w:t>
            </w:r>
          </w:p>
        </w:tc>
        <w:tc>
          <w:tcPr>
            <w:tcW w:w="1644" w:type="dxa"/>
            <w:vAlign w:val="center"/>
          </w:tcPr>
          <w:p w:rsidR="00F723CD" w:rsidRDefault="00FC20B4">
            <w:pPr>
              <w:jc w:val="right"/>
            </w:pPr>
            <w:r>
              <w:rPr>
                <w:color w:val="000000"/>
                <w:sz w:val="24"/>
                <w:szCs w:val="24"/>
              </w:rPr>
              <w:t>7.01</w:t>
            </w:r>
          </w:p>
        </w:tc>
      </w:tr>
      <w:tr w:rsidR="00F723CD">
        <w:trPr>
          <w:jc w:val="center"/>
        </w:trPr>
        <w:tc>
          <w:tcPr>
            <w:tcW w:w="855" w:type="dxa"/>
            <w:vAlign w:val="center"/>
          </w:tcPr>
          <w:p w:rsidR="00F723CD" w:rsidRDefault="00FC20B4">
            <w:pPr>
              <w:jc w:val="center"/>
            </w:pPr>
            <w:r>
              <w:rPr>
                <w:color w:val="000000"/>
                <w:sz w:val="24"/>
                <w:szCs w:val="24"/>
              </w:rPr>
              <w:t>3</w:t>
            </w:r>
          </w:p>
        </w:tc>
        <w:tc>
          <w:tcPr>
            <w:tcW w:w="1334" w:type="dxa"/>
            <w:vAlign w:val="center"/>
          </w:tcPr>
          <w:p w:rsidR="00F723CD" w:rsidRDefault="00FC20B4">
            <w:pPr>
              <w:jc w:val="center"/>
            </w:pPr>
            <w:r>
              <w:rPr>
                <w:color w:val="000000"/>
                <w:sz w:val="24"/>
                <w:szCs w:val="24"/>
              </w:rPr>
              <w:t>600529</w:t>
            </w:r>
          </w:p>
        </w:tc>
        <w:tc>
          <w:tcPr>
            <w:tcW w:w="1777" w:type="dxa"/>
            <w:vAlign w:val="center"/>
          </w:tcPr>
          <w:p w:rsidR="00F723CD" w:rsidRDefault="00FC20B4">
            <w:pPr>
              <w:jc w:val="center"/>
            </w:pPr>
            <w:r>
              <w:rPr>
                <w:color w:val="000000"/>
                <w:sz w:val="24"/>
                <w:szCs w:val="24"/>
              </w:rPr>
              <w:t>山东药玻</w:t>
            </w:r>
          </w:p>
        </w:tc>
        <w:tc>
          <w:tcPr>
            <w:tcW w:w="1334" w:type="dxa"/>
            <w:vAlign w:val="center"/>
          </w:tcPr>
          <w:p w:rsidR="00F723CD" w:rsidRDefault="00FC20B4">
            <w:pPr>
              <w:jc w:val="right"/>
            </w:pPr>
            <w:r>
              <w:rPr>
                <w:color w:val="000000"/>
                <w:sz w:val="24"/>
                <w:szCs w:val="24"/>
              </w:rPr>
              <w:t>2,291,248</w:t>
            </w:r>
          </w:p>
        </w:tc>
        <w:tc>
          <w:tcPr>
            <w:tcW w:w="1924" w:type="dxa"/>
            <w:vAlign w:val="center"/>
          </w:tcPr>
          <w:p w:rsidR="00F723CD" w:rsidRDefault="00FC20B4">
            <w:pPr>
              <w:jc w:val="right"/>
            </w:pPr>
            <w:r>
              <w:rPr>
                <w:color w:val="000000"/>
                <w:sz w:val="24"/>
                <w:szCs w:val="24"/>
              </w:rPr>
              <w:t>130,568,884.00</w:t>
            </w:r>
          </w:p>
        </w:tc>
        <w:tc>
          <w:tcPr>
            <w:tcW w:w="1644" w:type="dxa"/>
            <w:vAlign w:val="center"/>
          </w:tcPr>
          <w:p w:rsidR="00F723CD" w:rsidRDefault="00FC20B4">
            <w:pPr>
              <w:jc w:val="right"/>
            </w:pPr>
            <w:r>
              <w:rPr>
                <w:color w:val="000000"/>
                <w:sz w:val="24"/>
                <w:szCs w:val="24"/>
              </w:rPr>
              <w:t>5.78</w:t>
            </w:r>
          </w:p>
        </w:tc>
      </w:tr>
      <w:tr w:rsidR="00F723CD">
        <w:trPr>
          <w:jc w:val="center"/>
        </w:trPr>
        <w:tc>
          <w:tcPr>
            <w:tcW w:w="855" w:type="dxa"/>
            <w:vAlign w:val="center"/>
          </w:tcPr>
          <w:p w:rsidR="00F723CD" w:rsidRDefault="00FC20B4">
            <w:pPr>
              <w:jc w:val="center"/>
            </w:pPr>
            <w:r>
              <w:rPr>
                <w:color w:val="000000"/>
                <w:sz w:val="24"/>
                <w:szCs w:val="24"/>
              </w:rPr>
              <w:t>4</w:t>
            </w:r>
          </w:p>
        </w:tc>
        <w:tc>
          <w:tcPr>
            <w:tcW w:w="1334" w:type="dxa"/>
            <w:vAlign w:val="center"/>
          </w:tcPr>
          <w:p w:rsidR="00F723CD" w:rsidRDefault="00FC20B4">
            <w:pPr>
              <w:jc w:val="center"/>
            </w:pPr>
            <w:r>
              <w:rPr>
                <w:color w:val="000000"/>
                <w:sz w:val="24"/>
                <w:szCs w:val="24"/>
              </w:rPr>
              <w:t>300015</w:t>
            </w:r>
          </w:p>
        </w:tc>
        <w:tc>
          <w:tcPr>
            <w:tcW w:w="1777" w:type="dxa"/>
            <w:vAlign w:val="center"/>
          </w:tcPr>
          <w:p w:rsidR="00F723CD" w:rsidRDefault="00FC20B4">
            <w:pPr>
              <w:jc w:val="center"/>
            </w:pPr>
            <w:r>
              <w:rPr>
                <w:color w:val="000000"/>
                <w:sz w:val="24"/>
                <w:szCs w:val="24"/>
              </w:rPr>
              <w:t>爱尔眼科</w:t>
            </w:r>
          </w:p>
        </w:tc>
        <w:tc>
          <w:tcPr>
            <w:tcW w:w="1334" w:type="dxa"/>
            <w:vAlign w:val="center"/>
          </w:tcPr>
          <w:p w:rsidR="00F723CD" w:rsidRDefault="00FC20B4">
            <w:pPr>
              <w:jc w:val="right"/>
            </w:pPr>
            <w:r>
              <w:rPr>
                <w:color w:val="000000"/>
                <w:sz w:val="24"/>
                <w:szCs w:val="24"/>
              </w:rPr>
              <w:t>2,354,662</w:t>
            </w:r>
          </w:p>
        </w:tc>
        <w:tc>
          <w:tcPr>
            <w:tcW w:w="1924" w:type="dxa"/>
            <w:vAlign w:val="center"/>
          </w:tcPr>
          <w:p w:rsidR="00F723CD" w:rsidRDefault="00FC20B4">
            <w:pPr>
              <w:jc w:val="right"/>
            </w:pPr>
            <w:r>
              <w:rPr>
                <w:color w:val="000000"/>
                <w:sz w:val="24"/>
                <w:szCs w:val="24"/>
              </w:rPr>
              <w:t>102,310,063.90</w:t>
            </w:r>
          </w:p>
        </w:tc>
        <w:tc>
          <w:tcPr>
            <w:tcW w:w="1644" w:type="dxa"/>
            <w:vAlign w:val="center"/>
          </w:tcPr>
          <w:p w:rsidR="00F723CD" w:rsidRDefault="00FC20B4">
            <w:pPr>
              <w:jc w:val="right"/>
            </w:pPr>
            <w:r>
              <w:rPr>
                <w:color w:val="000000"/>
                <w:sz w:val="24"/>
                <w:szCs w:val="24"/>
              </w:rPr>
              <w:t>4.53</w:t>
            </w:r>
          </w:p>
        </w:tc>
      </w:tr>
      <w:tr w:rsidR="00F723CD">
        <w:trPr>
          <w:jc w:val="center"/>
        </w:trPr>
        <w:tc>
          <w:tcPr>
            <w:tcW w:w="855" w:type="dxa"/>
            <w:vAlign w:val="center"/>
          </w:tcPr>
          <w:p w:rsidR="00F723CD" w:rsidRDefault="00FC20B4">
            <w:pPr>
              <w:jc w:val="center"/>
            </w:pPr>
            <w:r>
              <w:rPr>
                <w:color w:val="000000"/>
                <w:sz w:val="24"/>
                <w:szCs w:val="24"/>
              </w:rPr>
              <w:t>5</w:t>
            </w:r>
          </w:p>
        </w:tc>
        <w:tc>
          <w:tcPr>
            <w:tcW w:w="1334" w:type="dxa"/>
            <w:vAlign w:val="center"/>
          </w:tcPr>
          <w:p w:rsidR="00F723CD" w:rsidRDefault="00FC20B4">
            <w:pPr>
              <w:jc w:val="center"/>
            </w:pPr>
            <w:r>
              <w:rPr>
                <w:color w:val="000000"/>
                <w:sz w:val="24"/>
                <w:szCs w:val="24"/>
              </w:rPr>
              <w:t>300347</w:t>
            </w:r>
          </w:p>
        </w:tc>
        <w:tc>
          <w:tcPr>
            <w:tcW w:w="1777" w:type="dxa"/>
            <w:vAlign w:val="center"/>
          </w:tcPr>
          <w:p w:rsidR="00F723CD" w:rsidRDefault="00FC20B4">
            <w:pPr>
              <w:jc w:val="center"/>
            </w:pPr>
            <w:r>
              <w:rPr>
                <w:color w:val="000000"/>
                <w:sz w:val="24"/>
                <w:szCs w:val="24"/>
              </w:rPr>
              <w:t>泰格医药</w:t>
            </w:r>
          </w:p>
        </w:tc>
        <w:tc>
          <w:tcPr>
            <w:tcW w:w="1334" w:type="dxa"/>
            <w:vAlign w:val="center"/>
          </w:tcPr>
          <w:p w:rsidR="00F723CD" w:rsidRDefault="00FC20B4">
            <w:pPr>
              <w:jc w:val="right"/>
            </w:pPr>
            <w:r>
              <w:rPr>
                <w:color w:val="000000"/>
                <w:sz w:val="24"/>
                <w:szCs w:val="24"/>
              </w:rPr>
              <w:t>912,202</w:t>
            </w:r>
          </w:p>
        </w:tc>
        <w:tc>
          <w:tcPr>
            <w:tcW w:w="1924" w:type="dxa"/>
            <w:vAlign w:val="center"/>
          </w:tcPr>
          <w:p w:rsidR="00F723CD" w:rsidRDefault="00FC20B4">
            <w:pPr>
              <w:jc w:val="right"/>
            </w:pPr>
            <w:r>
              <w:rPr>
                <w:color w:val="000000"/>
                <w:sz w:val="24"/>
                <w:szCs w:val="24"/>
              </w:rPr>
              <w:t>92,935,139.76</w:t>
            </w:r>
          </w:p>
        </w:tc>
        <w:tc>
          <w:tcPr>
            <w:tcW w:w="1644" w:type="dxa"/>
            <w:vAlign w:val="center"/>
          </w:tcPr>
          <w:p w:rsidR="00F723CD" w:rsidRDefault="00FC20B4">
            <w:pPr>
              <w:jc w:val="right"/>
            </w:pPr>
            <w:r>
              <w:rPr>
                <w:color w:val="000000"/>
                <w:sz w:val="24"/>
                <w:szCs w:val="24"/>
              </w:rPr>
              <w:t>4.11</w:t>
            </w:r>
          </w:p>
        </w:tc>
      </w:tr>
      <w:tr w:rsidR="00F723CD">
        <w:trPr>
          <w:jc w:val="center"/>
        </w:trPr>
        <w:tc>
          <w:tcPr>
            <w:tcW w:w="855" w:type="dxa"/>
            <w:vAlign w:val="center"/>
          </w:tcPr>
          <w:p w:rsidR="00F723CD" w:rsidRDefault="00FC20B4">
            <w:pPr>
              <w:jc w:val="center"/>
            </w:pPr>
            <w:r>
              <w:rPr>
                <w:color w:val="000000"/>
                <w:sz w:val="24"/>
                <w:szCs w:val="24"/>
              </w:rPr>
              <w:t>6</w:t>
            </w:r>
          </w:p>
        </w:tc>
        <w:tc>
          <w:tcPr>
            <w:tcW w:w="1334" w:type="dxa"/>
            <w:vAlign w:val="center"/>
          </w:tcPr>
          <w:p w:rsidR="00F723CD" w:rsidRDefault="00FC20B4">
            <w:pPr>
              <w:jc w:val="center"/>
            </w:pPr>
            <w:r>
              <w:rPr>
                <w:color w:val="000000"/>
                <w:sz w:val="24"/>
                <w:szCs w:val="24"/>
              </w:rPr>
              <w:t>000661</w:t>
            </w:r>
          </w:p>
        </w:tc>
        <w:tc>
          <w:tcPr>
            <w:tcW w:w="1777" w:type="dxa"/>
            <w:vAlign w:val="center"/>
          </w:tcPr>
          <w:p w:rsidR="00F723CD" w:rsidRDefault="00FC20B4">
            <w:pPr>
              <w:jc w:val="center"/>
            </w:pPr>
            <w:r>
              <w:rPr>
                <w:color w:val="000000"/>
                <w:sz w:val="24"/>
                <w:szCs w:val="24"/>
              </w:rPr>
              <w:t>长春高新</w:t>
            </w:r>
          </w:p>
        </w:tc>
        <w:tc>
          <w:tcPr>
            <w:tcW w:w="1334" w:type="dxa"/>
            <w:vAlign w:val="center"/>
          </w:tcPr>
          <w:p w:rsidR="00F723CD" w:rsidRDefault="00FC20B4">
            <w:pPr>
              <w:jc w:val="right"/>
            </w:pPr>
            <w:r>
              <w:rPr>
                <w:color w:val="000000"/>
                <w:sz w:val="24"/>
                <w:szCs w:val="24"/>
              </w:rPr>
              <w:t>212,692</w:t>
            </w:r>
          </w:p>
        </w:tc>
        <w:tc>
          <w:tcPr>
            <w:tcW w:w="1924" w:type="dxa"/>
            <w:vAlign w:val="center"/>
          </w:tcPr>
          <w:p w:rsidR="00F723CD" w:rsidRDefault="00FC20B4">
            <w:pPr>
              <w:jc w:val="right"/>
            </w:pPr>
            <w:r>
              <w:rPr>
                <w:color w:val="000000"/>
                <w:sz w:val="24"/>
                <w:szCs w:val="24"/>
              </w:rPr>
              <w:t>92,584,827.60</w:t>
            </w:r>
          </w:p>
        </w:tc>
        <w:tc>
          <w:tcPr>
            <w:tcW w:w="1644" w:type="dxa"/>
            <w:vAlign w:val="center"/>
          </w:tcPr>
          <w:p w:rsidR="00F723CD" w:rsidRDefault="00FC20B4">
            <w:pPr>
              <w:jc w:val="right"/>
            </w:pPr>
            <w:r>
              <w:rPr>
                <w:color w:val="000000"/>
                <w:sz w:val="24"/>
                <w:szCs w:val="24"/>
              </w:rPr>
              <w:t>4.10</w:t>
            </w:r>
          </w:p>
        </w:tc>
      </w:tr>
      <w:tr w:rsidR="00F723CD">
        <w:trPr>
          <w:jc w:val="center"/>
        </w:trPr>
        <w:tc>
          <w:tcPr>
            <w:tcW w:w="855" w:type="dxa"/>
            <w:vAlign w:val="center"/>
          </w:tcPr>
          <w:p w:rsidR="00F723CD" w:rsidRDefault="00FC20B4">
            <w:pPr>
              <w:jc w:val="center"/>
            </w:pPr>
            <w:r>
              <w:rPr>
                <w:color w:val="000000"/>
                <w:sz w:val="24"/>
                <w:szCs w:val="24"/>
              </w:rPr>
              <w:t>7</w:t>
            </w:r>
          </w:p>
        </w:tc>
        <w:tc>
          <w:tcPr>
            <w:tcW w:w="1334" w:type="dxa"/>
            <w:vAlign w:val="center"/>
          </w:tcPr>
          <w:p w:rsidR="00F723CD" w:rsidRDefault="00FC20B4">
            <w:pPr>
              <w:jc w:val="center"/>
            </w:pPr>
            <w:r>
              <w:rPr>
                <w:color w:val="000000"/>
                <w:sz w:val="24"/>
                <w:szCs w:val="24"/>
              </w:rPr>
              <w:t>300760</w:t>
            </w:r>
          </w:p>
        </w:tc>
        <w:tc>
          <w:tcPr>
            <w:tcW w:w="1777" w:type="dxa"/>
            <w:vAlign w:val="center"/>
          </w:tcPr>
          <w:p w:rsidR="00F723CD" w:rsidRDefault="00FC20B4">
            <w:pPr>
              <w:jc w:val="center"/>
            </w:pPr>
            <w:r>
              <w:rPr>
                <w:color w:val="000000"/>
                <w:sz w:val="24"/>
                <w:szCs w:val="24"/>
              </w:rPr>
              <w:t>迈瑞医疗</w:t>
            </w:r>
          </w:p>
        </w:tc>
        <w:tc>
          <w:tcPr>
            <w:tcW w:w="1334" w:type="dxa"/>
            <w:vAlign w:val="center"/>
          </w:tcPr>
          <w:p w:rsidR="00F723CD" w:rsidRDefault="00FC20B4">
            <w:pPr>
              <w:jc w:val="right"/>
            </w:pPr>
            <w:r>
              <w:rPr>
                <w:color w:val="000000"/>
                <w:sz w:val="24"/>
                <w:szCs w:val="24"/>
              </w:rPr>
              <w:t>298,670</w:t>
            </w:r>
          </w:p>
        </w:tc>
        <w:tc>
          <w:tcPr>
            <w:tcW w:w="1924" w:type="dxa"/>
            <w:vAlign w:val="center"/>
          </w:tcPr>
          <w:p w:rsidR="00F723CD" w:rsidRDefault="00FC20B4">
            <w:pPr>
              <w:jc w:val="right"/>
            </w:pPr>
            <w:r>
              <w:rPr>
                <w:color w:val="000000"/>
                <w:sz w:val="24"/>
                <w:szCs w:val="24"/>
              </w:rPr>
              <w:t>91,303,419.00</w:t>
            </w:r>
          </w:p>
        </w:tc>
        <w:tc>
          <w:tcPr>
            <w:tcW w:w="1644" w:type="dxa"/>
            <w:vAlign w:val="center"/>
          </w:tcPr>
          <w:p w:rsidR="00F723CD" w:rsidRDefault="00FC20B4">
            <w:pPr>
              <w:jc w:val="right"/>
            </w:pPr>
            <w:r>
              <w:rPr>
                <w:color w:val="000000"/>
                <w:sz w:val="24"/>
                <w:szCs w:val="24"/>
              </w:rPr>
              <w:t>4.04</w:t>
            </w:r>
          </w:p>
        </w:tc>
      </w:tr>
      <w:tr w:rsidR="00F723CD">
        <w:trPr>
          <w:jc w:val="center"/>
        </w:trPr>
        <w:tc>
          <w:tcPr>
            <w:tcW w:w="855" w:type="dxa"/>
            <w:vAlign w:val="center"/>
          </w:tcPr>
          <w:p w:rsidR="00F723CD" w:rsidRDefault="00FC20B4">
            <w:pPr>
              <w:jc w:val="center"/>
            </w:pPr>
            <w:r>
              <w:rPr>
                <w:color w:val="000000"/>
                <w:sz w:val="24"/>
                <w:szCs w:val="24"/>
              </w:rPr>
              <w:t>8</w:t>
            </w:r>
          </w:p>
        </w:tc>
        <w:tc>
          <w:tcPr>
            <w:tcW w:w="1334" w:type="dxa"/>
            <w:vAlign w:val="center"/>
          </w:tcPr>
          <w:p w:rsidR="00F723CD" w:rsidRDefault="00FC20B4">
            <w:pPr>
              <w:jc w:val="center"/>
            </w:pPr>
            <w:r>
              <w:rPr>
                <w:color w:val="000000"/>
                <w:sz w:val="24"/>
                <w:szCs w:val="24"/>
              </w:rPr>
              <w:t>300463</w:t>
            </w:r>
          </w:p>
        </w:tc>
        <w:tc>
          <w:tcPr>
            <w:tcW w:w="1777" w:type="dxa"/>
            <w:vAlign w:val="center"/>
          </w:tcPr>
          <w:p w:rsidR="00F723CD" w:rsidRDefault="00FC20B4">
            <w:pPr>
              <w:jc w:val="center"/>
            </w:pPr>
            <w:r>
              <w:rPr>
                <w:color w:val="000000"/>
                <w:sz w:val="24"/>
                <w:szCs w:val="24"/>
              </w:rPr>
              <w:t>迈克生物</w:t>
            </w:r>
          </w:p>
        </w:tc>
        <w:tc>
          <w:tcPr>
            <w:tcW w:w="1334" w:type="dxa"/>
            <w:vAlign w:val="center"/>
          </w:tcPr>
          <w:p w:rsidR="00F723CD" w:rsidRDefault="00FC20B4">
            <w:pPr>
              <w:jc w:val="right"/>
            </w:pPr>
            <w:r>
              <w:rPr>
                <w:color w:val="000000"/>
                <w:sz w:val="24"/>
                <w:szCs w:val="24"/>
              </w:rPr>
              <w:t>1,517,800</w:t>
            </w:r>
          </w:p>
        </w:tc>
        <w:tc>
          <w:tcPr>
            <w:tcW w:w="1924" w:type="dxa"/>
            <w:vAlign w:val="center"/>
          </w:tcPr>
          <w:p w:rsidR="00F723CD" w:rsidRDefault="00FC20B4">
            <w:pPr>
              <w:jc w:val="right"/>
            </w:pPr>
            <w:r>
              <w:rPr>
                <w:color w:val="000000"/>
                <w:sz w:val="24"/>
                <w:szCs w:val="24"/>
              </w:rPr>
              <w:t>88,381,494.00</w:t>
            </w:r>
          </w:p>
        </w:tc>
        <w:tc>
          <w:tcPr>
            <w:tcW w:w="1644" w:type="dxa"/>
            <w:vAlign w:val="center"/>
          </w:tcPr>
          <w:p w:rsidR="00F723CD" w:rsidRDefault="00FC20B4">
            <w:pPr>
              <w:jc w:val="right"/>
            </w:pPr>
            <w:r>
              <w:rPr>
                <w:color w:val="000000"/>
                <w:sz w:val="24"/>
                <w:szCs w:val="24"/>
              </w:rPr>
              <w:t>3.91</w:t>
            </w:r>
          </w:p>
        </w:tc>
      </w:tr>
      <w:tr w:rsidR="00F723CD">
        <w:trPr>
          <w:jc w:val="center"/>
        </w:trPr>
        <w:tc>
          <w:tcPr>
            <w:tcW w:w="855" w:type="dxa"/>
            <w:vAlign w:val="center"/>
          </w:tcPr>
          <w:p w:rsidR="00F723CD" w:rsidRDefault="00FC20B4">
            <w:pPr>
              <w:jc w:val="center"/>
            </w:pPr>
            <w:r>
              <w:rPr>
                <w:color w:val="000000"/>
                <w:sz w:val="24"/>
                <w:szCs w:val="24"/>
              </w:rPr>
              <w:t>9</w:t>
            </w:r>
          </w:p>
        </w:tc>
        <w:tc>
          <w:tcPr>
            <w:tcW w:w="1334" w:type="dxa"/>
            <w:vAlign w:val="center"/>
          </w:tcPr>
          <w:p w:rsidR="00F723CD" w:rsidRDefault="00FC20B4">
            <w:pPr>
              <w:jc w:val="center"/>
            </w:pPr>
            <w:r>
              <w:rPr>
                <w:color w:val="000000"/>
                <w:sz w:val="24"/>
                <w:szCs w:val="24"/>
              </w:rPr>
              <w:t>600763</w:t>
            </w:r>
          </w:p>
        </w:tc>
        <w:tc>
          <w:tcPr>
            <w:tcW w:w="1777" w:type="dxa"/>
            <w:vAlign w:val="center"/>
          </w:tcPr>
          <w:p w:rsidR="00F723CD" w:rsidRDefault="00FC20B4">
            <w:pPr>
              <w:jc w:val="center"/>
            </w:pPr>
            <w:r>
              <w:rPr>
                <w:color w:val="000000"/>
                <w:sz w:val="24"/>
                <w:szCs w:val="24"/>
              </w:rPr>
              <w:t>通策医疗</w:t>
            </w:r>
          </w:p>
        </w:tc>
        <w:tc>
          <w:tcPr>
            <w:tcW w:w="1334" w:type="dxa"/>
            <w:vAlign w:val="center"/>
          </w:tcPr>
          <w:p w:rsidR="00F723CD" w:rsidRDefault="00FC20B4">
            <w:pPr>
              <w:jc w:val="right"/>
            </w:pPr>
            <w:r>
              <w:rPr>
                <w:color w:val="000000"/>
                <w:sz w:val="24"/>
                <w:szCs w:val="24"/>
              </w:rPr>
              <w:t>509,803</w:t>
            </w:r>
          </w:p>
        </w:tc>
        <w:tc>
          <w:tcPr>
            <w:tcW w:w="1924" w:type="dxa"/>
            <w:vAlign w:val="center"/>
          </w:tcPr>
          <w:p w:rsidR="00F723CD" w:rsidRDefault="00FC20B4">
            <w:pPr>
              <w:jc w:val="right"/>
            </w:pPr>
            <w:r>
              <w:rPr>
                <w:color w:val="000000"/>
                <w:sz w:val="24"/>
                <w:szCs w:val="24"/>
              </w:rPr>
              <w:t>85,019,846.31</w:t>
            </w:r>
          </w:p>
        </w:tc>
        <w:tc>
          <w:tcPr>
            <w:tcW w:w="1644" w:type="dxa"/>
            <w:vAlign w:val="center"/>
          </w:tcPr>
          <w:p w:rsidR="00F723CD" w:rsidRDefault="00FC20B4">
            <w:pPr>
              <w:jc w:val="right"/>
            </w:pPr>
            <w:r>
              <w:rPr>
                <w:color w:val="000000"/>
                <w:sz w:val="24"/>
                <w:szCs w:val="24"/>
              </w:rPr>
              <w:t>3.76</w:t>
            </w:r>
          </w:p>
        </w:tc>
      </w:tr>
      <w:tr w:rsidR="00F723CD">
        <w:trPr>
          <w:jc w:val="center"/>
        </w:trPr>
        <w:tc>
          <w:tcPr>
            <w:tcW w:w="855" w:type="dxa"/>
            <w:vAlign w:val="center"/>
          </w:tcPr>
          <w:p w:rsidR="00F723CD" w:rsidRDefault="00FC20B4">
            <w:pPr>
              <w:jc w:val="center"/>
            </w:pPr>
            <w:r>
              <w:rPr>
                <w:color w:val="000000"/>
                <w:sz w:val="24"/>
                <w:szCs w:val="24"/>
              </w:rPr>
              <w:t>10</w:t>
            </w:r>
          </w:p>
        </w:tc>
        <w:tc>
          <w:tcPr>
            <w:tcW w:w="1334" w:type="dxa"/>
            <w:vAlign w:val="center"/>
          </w:tcPr>
          <w:p w:rsidR="00F723CD" w:rsidRDefault="00FC20B4">
            <w:pPr>
              <w:jc w:val="center"/>
            </w:pPr>
            <w:r>
              <w:rPr>
                <w:color w:val="000000"/>
                <w:sz w:val="24"/>
                <w:szCs w:val="24"/>
              </w:rPr>
              <w:t>603882</w:t>
            </w:r>
          </w:p>
        </w:tc>
        <w:tc>
          <w:tcPr>
            <w:tcW w:w="1777" w:type="dxa"/>
            <w:vAlign w:val="center"/>
          </w:tcPr>
          <w:p w:rsidR="00F723CD" w:rsidRDefault="00FC20B4">
            <w:pPr>
              <w:jc w:val="center"/>
            </w:pPr>
            <w:r>
              <w:rPr>
                <w:color w:val="000000"/>
                <w:sz w:val="24"/>
                <w:szCs w:val="24"/>
              </w:rPr>
              <w:t>金域医学</w:t>
            </w:r>
          </w:p>
        </w:tc>
        <w:tc>
          <w:tcPr>
            <w:tcW w:w="1334" w:type="dxa"/>
            <w:vAlign w:val="center"/>
          </w:tcPr>
          <w:p w:rsidR="00F723CD" w:rsidRDefault="00FC20B4">
            <w:pPr>
              <w:jc w:val="right"/>
            </w:pPr>
            <w:r>
              <w:rPr>
                <w:color w:val="000000"/>
                <w:sz w:val="24"/>
                <w:szCs w:val="24"/>
              </w:rPr>
              <w:t>813,493</w:t>
            </w:r>
          </w:p>
        </w:tc>
        <w:tc>
          <w:tcPr>
            <w:tcW w:w="1924" w:type="dxa"/>
            <w:vAlign w:val="center"/>
          </w:tcPr>
          <w:p w:rsidR="00F723CD" w:rsidRDefault="00FC20B4">
            <w:pPr>
              <w:jc w:val="right"/>
            </w:pPr>
            <w:r>
              <w:rPr>
                <w:color w:val="000000"/>
                <w:sz w:val="24"/>
                <w:szCs w:val="24"/>
              </w:rPr>
              <w:t>72,807,623.50</w:t>
            </w:r>
          </w:p>
        </w:tc>
        <w:tc>
          <w:tcPr>
            <w:tcW w:w="1644" w:type="dxa"/>
            <w:vAlign w:val="center"/>
          </w:tcPr>
          <w:p w:rsidR="00F723CD" w:rsidRDefault="00FC20B4">
            <w:pPr>
              <w:jc w:val="right"/>
            </w:pPr>
            <w:r>
              <w:rPr>
                <w:color w:val="000000"/>
                <w:sz w:val="24"/>
                <w:szCs w:val="24"/>
              </w:rPr>
              <w:t>3.22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723CD">
        <w:trPr>
          <w:jc w:val="center"/>
        </w:trPr>
        <w:tc>
          <w:tcPr>
            <w:tcW w:w="850" w:type="dxa"/>
            <w:vAlign w:val="center"/>
          </w:tcPr>
          <w:p w:rsidR="00F723CD" w:rsidRDefault="00FC20B4">
            <w:pPr>
              <w:jc w:val="center"/>
            </w:pPr>
            <w:r>
              <w:rPr>
                <w:color w:val="000000"/>
                <w:sz w:val="24"/>
                <w:szCs w:val="24"/>
              </w:rPr>
              <w:t>1</w:t>
            </w:r>
          </w:p>
        </w:tc>
        <w:tc>
          <w:tcPr>
            <w:tcW w:w="1475" w:type="dxa"/>
            <w:vAlign w:val="center"/>
          </w:tcPr>
          <w:p w:rsidR="00F723CD" w:rsidRDefault="00FC20B4">
            <w:pPr>
              <w:jc w:val="center"/>
            </w:pPr>
            <w:r>
              <w:rPr>
                <w:color w:val="000000"/>
                <w:sz w:val="24"/>
                <w:szCs w:val="24"/>
              </w:rPr>
              <w:t>113587</w:t>
            </w:r>
          </w:p>
        </w:tc>
        <w:tc>
          <w:tcPr>
            <w:tcW w:w="1769" w:type="dxa"/>
            <w:vAlign w:val="center"/>
          </w:tcPr>
          <w:p w:rsidR="00F723CD" w:rsidRDefault="00FC20B4">
            <w:pPr>
              <w:jc w:val="center"/>
            </w:pPr>
            <w:r>
              <w:rPr>
                <w:color w:val="000000"/>
                <w:sz w:val="24"/>
                <w:szCs w:val="24"/>
              </w:rPr>
              <w:t>泛微转债</w:t>
            </w:r>
          </w:p>
        </w:tc>
        <w:tc>
          <w:tcPr>
            <w:tcW w:w="1387" w:type="dxa"/>
            <w:vAlign w:val="center"/>
          </w:tcPr>
          <w:p w:rsidR="00F723CD" w:rsidRDefault="00FC20B4">
            <w:pPr>
              <w:jc w:val="right"/>
            </w:pPr>
            <w:r>
              <w:rPr>
                <w:color w:val="000000"/>
                <w:sz w:val="24"/>
                <w:szCs w:val="24"/>
              </w:rPr>
              <w:t>1,060</w:t>
            </w:r>
          </w:p>
        </w:tc>
        <w:tc>
          <w:tcPr>
            <w:tcW w:w="2150" w:type="dxa"/>
            <w:vAlign w:val="center"/>
          </w:tcPr>
          <w:p w:rsidR="00F723CD" w:rsidRDefault="00FC20B4">
            <w:pPr>
              <w:jc w:val="right"/>
            </w:pPr>
            <w:r>
              <w:rPr>
                <w:color w:val="000000"/>
                <w:sz w:val="24"/>
                <w:szCs w:val="24"/>
              </w:rPr>
              <w:t>106,000.00</w:t>
            </w:r>
          </w:p>
        </w:tc>
        <w:tc>
          <w:tcPr>
            <w:tcW w:w="1237" w:type="dxa"/>
            <w:vAlign w:val="center"/>
          </w:tcPr>
          <w:p w:rsidR="00F723CD" w:rsidRDefault="00FC20B4">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263,101.11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19,264.31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66,571,902.55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66,854,267.97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723CD">
        <w:trPr>
          <w:jc w:val="center"/>
        </w:trPr>
        <w:tc>
          <w:tcPr>
            <w:tcW w:w="1129" w:type="dxa"/>
            <w:vAlign w:val="center"/>
          </w:tcPr>
          <w:p w:rsidR="00F723CD" w:rsidRDefault="00FC20B4">
            <w:pPr>
              <w:jc w:val="center"/>
            </w:pPr>
            <w:r>
              <w:rPr>
                <w:color w:val="000000"/>
                <w:sz w:val="24"/>
                <w:szCs w:val="24"/>
              </w:rPr>
              <w:t>1</w:t>
            </w:r>
          </w:p>
        </w:tc>
        <w:tc>
          <w:tcPr>
            <w:tcW w:w="1356" w:type="dxa"/>
            <w:vAlign w:val="center"/>
          </w:tcPr>
          <w:p w:rsidR="00F723CD" w:rsidRDefault="00FC20B4">
            <w:pPr>
              <w:jc w:val="center"/>
            </w:pPr>
            <w:r>
              <w:rPr>
                <w:color w:val="000000"/>
                <w:sz w:val="24"/>
                <w:szCs w:val="24"/>
              </w:rPr>
              <w:t>600529</w:t>
            </w:r>
          </w:p>
        </w:tc>
        <w:tc>
          <w:tcPr>
            <w:tcW w:w="1355" w:type="dxa"/>
            <w:vAlign w:val="center"/>
          </w:tcPr>
          <w:p w:rsidR="00F723CD" w:rsidRDefault="00FC20B4">
            <w:pPr>
              <w:jc w:val="center"/>
            </w:pPr>
            <w:r>
              <w:rPr>
                <w:color w:val="000000"/>
                <w:sz w:val="24"/>
                <w:szCs w:val="24"/>
              </w:rPr>
              <w:t>山东药玻</w:t>
            </w:r>
          </w:p>
        </w:tc>
        <w:tc>
          <w:tcPr>
            <w:tcW w:w="1880" w:type="dxa"/>
            <w:vAlign w:val="center"/>
          </w:tcPr>
          <w:p w:rsidR="00F723CD" w:rsidRDefault="00FC20B4">
            <w:pPr>
              <w:jc w:val="right"/>
            </w:pPr>
            <w:r>
              <w:rPr>
                <w:color w:val="000000"/>
                <w:sz w:val="24"/>
                <w:szCs w:val="24"/>
              </w:rPr>
              <w:t>35,376,500.00</w:t>
            </w:r>
          </w:p>
        </w:tc>
        <w:tc>
          <w:tcPr>
            <w:tcW w:w="1724" w:type="dxa"/>
            <w:vAlign w:val="center"/>
          </w:tcPr>
          <w:p w:rsidR="00F723CD" w:rsidRDefault="00FC20B4">
            <w:pPr>
              <w:jc w:val="right"/>
            </w:pPr>
            <w:r>
              <w:rPr>
                <w:color w:val="000000"/>
                <w:sz w:val="24"/>
                <w:szCs w:val="24"/>
              </w:rPr>
              <w:t>1.57</w:t>
            </w:r>
          </w:p>
        </w:tc>
        <w:tc>
          <w:tcPr>
            <w:tcW w:w="1424" w:type="dxa"/>
            <w:vAlign w:val="center"/>
          </w:tcPr>
          <w:p w:rsidR="00F723CD" w:rsidRPr="00FC20B4" w:rsidRDefault="00FC20B4" w:rsidP="00FC20B4">
            <w:pPr>
              <w:jc w:val="center"/>
              <w:rPr>
                <w:color w:val="000000"/>
                <w:sz w:val="24"/>
                <w:szCs w:val="24"/>
              </w:rPr>
            </w:pPr>
            <w:r w:rsidRPr="00FC20B4">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542,630,029.56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455,615,977.13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216,952,138.94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781,293,867.75</w:t>
            </w:r>
          </w:p>
        </w:tc>
      </w:tr>
    </w:tbl>
    <w:p w:rsidR="00F723CD" w:rsidRDefault="00FC20B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723CD" w:rsidRDefault="00FC20B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、中国证监会准予交银施罗德医药创新股票型证券投资基金募集注册的文件；</w:t>
      </w:r>
      <w:r>
        <w:rPr>
          <w:color w:val="000000"/>
          <w:sz w:val="24"/>
          <w:szCs w:val="24"/>
        </w:rPr>
        <w:t xml:space="preserve"> </w:t>
      </w:r>
    </w:p>
    <w:p w:rsidR="00F723CD" w:rsidRDefault="00FC20B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、《交银施罗德医药创新股票型证券投资基金基金合同》；</w:t>
      </w:r>
      <w:r>
        <w:rPr>
          <w:color w:val="000000"/>
          <w:sz w:val="24"/>
          <w:szCs w:val="24"/>
        </w:rPr>
        <w:t xml:space="preserve"> </w:t>
      </w:r>
    </w:p>
    <w:p w:rsidR="00F723CD" w:rsidRDefault="00FC20B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、《交银施罗德医药创新股票型证券投资基金招募说明书》；</w:t>
      </w:r>
      <w:r>
        <w:rPr>
          <w:color w:val="000000"/>
          <w:sz w:val="24"/>
          <w:szCs w:val="24"/>
        </w:rPr>
        <w:t xml:space="preserve"> </w:t>
      </w:r>
    </w:p>
    <w:p w:rsidR="00F723CD" w:rsidRDefault="00FC20B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、《交银施罗德医药创新股票型证券投资基金托管协议》；</w:t>
      </w:r>
      <w:r>
        <w:rPr>
          <w:color w:val="000000"/>
          <w:sz w:val="24"/>
          <w:szCs w:val="24"/>
        </w:rPr>
        <w:t xml:space="preserve"> </w:t>
      </w:r>
    </w:p>
    <w:p w:rsidR="00F723CD" w:rsidRDefault="00FC20B4">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、关于申请募集注册交银施罗德医药创新股票型证券投资基金的法律意见书；</w:t>
      </w:r>
      <w:r>
        <w:rPr>
          <w:color w:val="000000"/>
          <w:sz w:val="24"/>
          <w:szCs w:val="24"/>
        </w:rPr>
        <w:t xml:space="preserve"> </w:t>
      </w:r>
    </w:p>
    <w:p w:rsidR="00F723CD" w:rsidRDefault="00FC20B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723CD" w:rsidRDefault="00FC20B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、报告期内交银施罗德医药创新股票型证券投资基金在指定报刊上各项公告的原稿。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723CD" w:rsidRDefault="00FC20B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226DEA">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226DEA">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交银施罗德医药创新股票型证券投资基金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6DEA"/>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3CD"/>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0B4"/>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6F06F3"/>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72727-C1D6-436B-B40C-7152859F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11</Pages>
  <Words>999</Words>
  <Characters>5700</Characters>
  <Application>Microsoft Office Word</Application>
  <DocSecurity>0</DocSecurity>
  <Lines>47</Lines>
  <Paragraphs>13</Paragraphs>
  <ScaleCrop>false</ScaleCrop>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汪亚中</cp:lastModifiedBy>
  <cp:revision>602</cp:revision>
  <dcterms:created xsi:type="dcterms:W3CDTF">2012-10-16T06:07:00Z</dcterms:created>
  <dcterms:modified xsi:type="dcterms:W3CDTF">2020-07-15T05:47:00Z</dcterms:modified>
</cp:coreProperties>
</file>