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交银施罗德精选混合型证券投资基金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2020年第2季度报告</w:t>
      </w:r>
    </w:p>
    <w:p w:rsidP="00C15CAC" w:rsidR="004061AC" w:rsidRDefault="00655CD8" w:rsidRPr="0081286B">
      <w:pPr>
        <w:spacing w:before="29" w:line="288" w:lineRule="auto"/>
        <w:jc w:val="center"/>
        <w:rPr>
          <w:b/>
          <w:sz w:val="36"/>
          <w:szCs w:val="36"/>
        </w:rPr>
      </w:pPr>
      <w:r w:rsidRPr="0081286B">
        <w:rPr>
          <w:b/>
          <w:sz w:val="36"/>
          <w:szCs w:val="36"/>
        </w:rPr>
        <w:t>2020年6月30日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二〇二〇年七月二十一日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交银精选混合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2005年9月29日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7,536,924,419.84</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75%×沪深300指数+25%×中证综合债券指数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(2020年4月1日-2020年6月30日)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239,443,940.86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1,118,873,889.49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0.1606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7,428,520,921.88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0.9856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19.26%</w:t>
            </w:r>
          </w:p>
        </w:tc>
        <w:tc>
          <w:tcPr>
            <w:vAlign w:val="center"/>
          </w:tcPr>
          <w:p>
            <w:pPr>
              <w:jc w:val="center"/>
            </w:pPr>
            <w:r>
              <w:rPr>
                <w:color w:val="000000"/>
                <w:sz w:val="24"/>
                <w:szCs w:val="24"/>
              </w:rPr>
              <w:t>0.90%</w:t>
            </w:r>
          </w:p>
        </w:tc>
        <w:tc>
          <w:tcPr>
            <w:vAlign w:val="center"/>
          </w:tcPr>
          <w:p>
            <w:pPr>
              <w:jc w:val="center"/>
            </w:pPr>
            <w:r>
              <w:rPr>
                <w:color w:val="000000"/>
                <w:sz w:val="24"/>
                <w:szCs w:val="24"/>
              </w:rPr>
              <w:t>9.55%</w:t>
            </w:r>
          </w:p>
        </w:tc>
        <w:tc>
          <w:tcPr>
            <w:vAlign w:val="center"/>
          </w:tcPr>
          <w:p>
            <w:pPr>
              <w:jc w:val="center"/>
            </w:pPr>
            <w:r>
              <w:rPr>
                <w:color w:val="000000"/>
                <w:sz w:val="24"/>
                <w:szCs w:val="24"/>
              </w:rPr>
              <w:t>0.67%</w:t>
            </w:r>
          </w:p>
        </w:tc>
        <w:tc>
          <w:tcPr>
            <w:vAlign w:val="center"/>
          </w:tcPr>
          <w:p>
            <w:pPr>
              <w:jc w:val="center"/>
            </w:pPr>
            <w:r>
              <w:rPr>
                <w:color w:val="000000"/>
                <w:sz w:val="24"/>
                <w:szCs w:val="24"/>
              </w:rPr>
              <w:t>9.71%</w:t>
            </w:r>
          </w:p>
        </w:tc>
        <w:tc>
          <w:tcPr>
            <w:vAlign w:val="center"/>
          </w:tcPr>
          <w:p>
            <w:pPr>
              <w:jc w:val="center"/>
            </w:pPr>
            <w:r>
              <w:rPr>
                <w:color w:val="000000"/>
                <w:sz w:val="24"/>
                <w:szCs w:val="24"/>
              </w:rPr>
              <w:t>0.23%</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19.12%</w:t>
            </w:r>
          </w:p>
        </w:tc>
        <w:tc>
          <w:tcPr>
            <w:vAlign w:val="center"/>
          </w:tcPr>
          <w:p>
            <w:pPr>
              <w:jc w:val="center"/>
            </w:pPr>
            <w:r>
              <w:rPr>
                <w:color w:val="000000"/>
                <w:sz w:val="24"/>
                <w:szCs w:val="24"/>
              </w:rPr>
              <w:t>1.40%</w:t>
            </w:r>
          </w:p>
        </w:tc>
        <w:tc>
          <w:tcPr>
            <w:vAlign w:val="center"/>
          </w:tcPr>
          <w:p>
            <w:pPr>
              <w:jc w:val="center"/>
            </w:pPr>
            <w:r>
              <w:rPr>
                <w:color w:val="000000"/>
                <w:sz w:val="24"/>
                <w:szCs w:val="24"/>
              </w:rPr>
              <w:t>2.09%</w:t>
            </w:r>
          </w:p>
        </w:tc>
        <w:tc>
          <w:tcPr>
            <w:vAlign w:val="center"/>
          </w:tcPr>
          <w:p>
            <w:pPr>
              <w:jc w:val="center"/>
            </w:pPr>
            <w:r>
              <w:rPr>
                <w:color w:val="000000"/>
                <w:sz w:val="24"/>
                <w:szCs w:val="24"/>
              </w:rPr>
              <w:t>1.13%</w:t>
            </w:r>
          </w:p>
        </w:tc>
        <w:tc>
          <w:tcPr>
            <w:vAlign w:val="center"/>
          </w:tcPr>
          <w:p>
            <w:pPr>
              <w:jc w:val="center"/>
            </w:pPr>
            <w:r>
              <w:rPr>
                <w:color w:val="000000"/>
                <w:sz w:val="24"/>
                <w:szCs w:val="24"/>
              </w:rPr>
              <w:t>17.03%</w:t>
            </w:r>
          </w:p>
        </w:tc>
        <w:tc>
          <w:tcPr>
            <w:vAlign w:val="center"/>
          </w:tcPr>
          <w:p>
            <w:pPr>
              <w:jc w:val="center"/>
            </w:pPr>
            <w:r>
              <w:rPr>
                <w:color w:val="000000"/>
                <w:sz w:val="24"/>
                <w:szCs w:val="24"/>
              </w:rPr>
              <w:t>0.27%</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43.05%</w:t>
            </w:r>
          </w:p>
        </w:tc>
        <w:tc>
          <w:tcPr>
            <w:vAlign w:val="center"/>
          </w:tcPr>
          <w:p>
            <w:pPr>
              <w:jc w:val="center"/>
            </w:pPr>
            <w:r>
              <w:rPr>
                <w:color w:val="000000"/>
                <w:sz w:val="24"/>
                <w:szCs w:val="24"/>
              </w:rPr>
              <w:t>1.14%</w:t>
            </w:r>
          </w:p>
        </w:tc>
        <w:tc>
          <w:tcPr>
            <w:vAlign w:val="center"/>
          </w:tcPr>
          <w:p>
            <w:pPr>
              <w:jc w:val="center"/>
            </w:pPr>
            <w:r>
              <w:rPr>
                <w:color w:val="000000"/>
                <w:sz w:val="24"/>
                <w:szCs w:val="24"/>
              </w:rPr>
              <w:t>8.26%</w:t>
            </w:r>
          </w:p>
        </w:tc>
        <w:tc>
          <w:tcPr>
            <w:vAlign w:val="center"/>
          </w:tcPr>
          <w:p>
            <w:pPr>
              <w:jc w:val="center"/>
            </w:pPr>
            <w:r>
              <w:rPr>
                <w:color w:val="000000"/>
                <w:sz w:val="24"/>
                <w:szCs w:val="24"/>
              </w:rPr>
              <w:t>0.91%</w:t>
            </w:r>
          </w:p>
        </w:tc>
        <w:tc>
          <w:tcPr>
            <w:vAlign w:val="center"/>
          </w:tcPr>
          <w:p>
            <w:pPr>
              <w:jc w:val="center"/>
            </w:pPr>
            <w:r>
              <w:rPr>
                <w:color w:val="000000"/>
                <w:sz w:val="24"/>
                <w:szCs w:val="24"/>
              </w:rPr>
              <w:t>34.79%</w:t>
            </w:r>
          </w:p>
        </w:tc>
        <w:tc>
          <w:tcPr>
            <w:vAlign w:val="center"/>
          </w:tcPr>
          <w:p>
            <w:pPr>
              <w:jc w:val="center"/>
            </w:pPr>
            <w:r>
              <w:rPr>
                <w:color w:val="000000"/>
                <w:sz w:val="24"/>
                <w:szCs w:val="24"/>
              </w:rPr>
              <w:t>0.23%</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86.39%</w:t>
            </w:r>
          </w:p>
        </w:tc>
        <w:tc>
          <w:tcPr>
            <w:vAlign w:val="center"/>
          </w:tcPr>
          <w:p>
            <w:pPr>
              <w:jc w:val="center"/>
            </w:pPr>
            <w:r>
              <w:rPr>
                <w:color w:val="000000"/>
                <w:sz w:val="24"/>
                <w:szCs w:val="24"/>
              </w:rPr>
              <w:t>1.25%</w:t>
            </w:r>
          </w:p>
        </w:tc>
        <w:tc>
          <w:tcPr>
            <w:vAlign w:val="center"/>
          </w:tcPr>
          <w:p>
            <w:pPr>
              <w:jc w:val="center"/>
            </w:pPr>
            <w:r>
              <w:rPr>
                <w:color w:val="000000"/>
                <w:sz w:val="24"/>
                <w:szCs w:val="24"/>
              </w:rPr>
              <w:t>15.45%</w:t>
            </w:r>
          </w:p>
        </w:tc>
        <w:tc>
          <w:tcPr>
            <w:vAlign w:val="center"/>
          </w:tcPr>
          <w:p>
            <w:pPr>
              <w:jc w:val="center"/>
            </w:pPr>
            <w:r>
              <w:rPr>
                <w:color w:val="000000"/>
                <w:sz w:val="24"/>
                <w:szCs w:val="24"/>
              </w:rPr>
              <w:t>0.94%</w:t>
            </w:r>
          </w:p>
        </w:tc>
        <w:tc>
          <w:tcPr>
            <w:vAlign w:val="center"/>
          </w:tcPr>
          <w:p>
            <w:pPr>
              <w:jc w:val="center"/>
            </w:pPr>
            <w:r>
              <w:rPr>
                <w:color w:val="000000"/>
                <w:sz w:val="24"/>
                <w:szCs w:val="24"/>
              </w:rPr>
              <w:t>70.94%</w:t>
            </w:r>
          </w:p>
        </w:tc>
        <w:tc>
          <w:tcPr>
            <w:vAlign w:val="center"/>
          </w:tcPr>
          <w:p>
            <w:pPr>
              <w:jc w:val="center"/>
            </w:pPr>
            <w:r>
              <w:rPr>
                <w:color w:val="000000"/>
                <w:sz w:val="24"/>
                <w:szCs w:val="24"/>
              </w:rPr>
              <w:t>0.31%</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101.52%</w:t>
            </w:r>
          </w:p>
        </w:tc>
        <w:tc>
          <w:tcPr>
            <w:vAlign w:val="center"/>
          </w:tcPr>
          <w:p>
            <w:pPr>
              <w:jc w:val="center"/>
            </w:pPr>
            <w:r>
              <w:rPr>
                <w:color w:val="000000"/>
                <w:sz w:val="24"/>
                <w:szCs w:val="24"/>
              </w:rPr>
              <w:t>1.54%</w:t>
            </w:r>
          </w:p>
        </w:tc>
        <w:tc>
          <w:tcPr>
            <w:vAlign w:val="center"/>
          </w:tcPr>
          <w:p>
            <w:pPr>
              <w:jc w:val="center"/>
            </w:pPr>
            <w:r>
              <w:rPr>
                <w:color w:val="000000"/>
                <w:sz w:val="24"/>
                <w:szCs w:val="24"/>
              </w:rPr>
              <w:t>2.44%</w:t>
            </w:r>
          </w:p>
        </w:tc>
        <w:tc>
          <w:tcPr>
            <w:vAlign w:val="center"/>
          </w:tcPr>
          <w:p>
            <w:pPr>
              <w:jc w:val="center"/>
            </w:pPr>
            <w:r>
              <w:rPr>
                <w:color w:val="000000"/>
                <w:sz w:val="24"/>
                <w:szCs w:val="24"/>
              </w:rPr>
              <w:t>1.08%</w:t>
            </w:r>
          </w:p>
        </w:tc>
        <w:tc>
          <w:tcPr>
            <w:vAlign w:val="center"/>
          </w:tcPr>
          <w:p>
            <w:pPr>
              <w:jc w:val="center"/>
            </w:pPr>
            <w:r>
              <w:rPr>
                <w:color w:val="000000"/>
                <w:sz w:val="24"/>
                <w:szCs w:val="24"/>
              </w:rPr>
              <w:t>99.08%</w:t>
            </w:r>
          </w:p>
        </w:tc>
        <w:tc>
          <w:tcPr>
            <w:vAlign w:val="center"/>
          </w:tcPr>
          <w:p>
            <w:pPr>
              <w:jc w:val="center"/>
            </w:pPr>
            <w:r>
              <w:rPr>
                <w:color w:val="000000"/>
                <w:sz w:val="24"/>
                <w:szCs w:val="24"/>
              </w:rPr>
              <w:t>0.46%</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991.53%</w:t>
            </w:r>
          </w:p>
        </w:tc>
        <w:tc>
          <w:tcPr>
            <w:vAlign w:val="center"/>
          </w:tcPr>
          <w:p>
            <w:pPr>
              <w:jc w:val="center"/>
            </w:pPr>
            <w:r>
              <w:rPr>
                <w:color w:val="000000"/>
                <w:sz w:val="24"/>
                <w:szCs w:val="24"/>
              </w:rPr>
              <w:t>1.53%</w:t>
            </w:r>
          </w:p>
        </w:tc>
        <w:tc>
          <w:tcPr>
            <w:vAlign w:val="center"/>
          </w:tcPr>
          <w:p>
            <w:pPr>
              <w:jc w:val="center"/>
            </w:pPr>
            <w:r>
              <w:rPr>
                <w:color w:val="000000"/>
                <w:sz w:val="24"/>
                <w:szCs w:val="24"/>
              </w:rPr>
              <w:t>298.07%</w:t>
            </w:r>
          </w:p>
        </w:tc>
        <w:tc>
          <w:tcPr>
            <w:vAlign w:val="center"/>
          </w:tcPr>
          <w:p>
            <w:pPr>
              <w:jc w:val="center"/>
            </w:pPr>
            <w:r>
              <w:rPr>
                <w:color w:val="000000"/>
                <w:sz w:val="24"/>
                <w:szCs w:val="24"/>
              </w:rPr>
              <w:t>1.29%</w:t>
            </w:r>
          </w:p>
        </w:tc>
        <w:tc>
          <w:tcPr>
            <w:vAlign w:val="center"/>
          </w:tcPr>
          <w:p>
            <w:pPr>
              <w:jc w:val="center"/>
            </w:pPr>
            <w:r>
              <w:rPr>
                <w:color w:val="000000"/>
                <w:sz w:val="24"/>
                <w:szCs w:val="24"/>
              </w:rPr>
              <w:t>693.46%</w:t>
            </w:r>
          </w:p>
        </w:tc>
        <w:tc>
          <w:tcPr>
            <w:vAlign w:val="center"/>
          </w:tcPr>
          <w:p>
            <w:pPr>
              <w:jc w:val="center"/>
            </w:pPr>
            <w:r>
              <w:rPr>
                <w:color w:val="000000"/>
                <w:sz w:val="24"/>
                <w:szCs w:val="24"/>
              </w:rPr>
              <w:t>0.24%</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沪深300指数+25%×中信全债指数”变更为“75%×沪深300指数+25%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交银施罗德精选混合型证券投资基金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2005年9月29日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王崇</w:t>
            </w:r>
          </w:p>
        </w:tc>
        <w:tc>
          <w:tcPr>
            <w:vAlign w:val="center"/>
          </w:tcPr>
          <w:p>
            <w:pPr>
              <w:jc w:val="center"/>
            </w:pPr>
            <w:r>
              <w:rPr>
                <w:color w:val="000000"/>
                <w:sz w:val="24"/>
                <w:szCs w:val="24"/>
              </w:rPr>
              <w:t>交银精选混合、交银新成长混合、交银瑞丰混合的基金经理，公司权益投资副总监</w:t>
            </w:r>
          </w:p>
        </w:tc>
        <w:tc>
          <w:tcPr>
            <w:vAlign w:val="center"/>
          </w:tcPr>
          <w:p>
            <w:pPr>
              <w:jc w:val="center"/>
            </w:pPr>
            <w:r>
              <w:rPr>
                <w:color w:val="000000"/>
                <w:sz w:val="24"/>
                <w:szCs w:val="24"/>
              </w:rPr>
              <w:t>2017-06-03</w:t>
            </w:r>
          </w:p>
        </w:tc>
        <w:tc>
          <w:tcPr>
            <w:vAlign w:val="center"/>
          </w:tcPr>
          <w:p>
            <w:pPr>
              <w:jc w:val="center"/>
            </w:pPr>
            <w:r>
              <w:rPr>
                <w:color w:val="000000"/>
                <w:sz w:val="24"/>
                <w:szCs w:val="24"/>
              </w:rPr>
              <w:t>-</w:t>
            </w:r>
          </w:p>
        </w:tc>
        <w:tc>
          <w:tcPr>
            <w:vAlign w:val="center"/>
          </w:tcPr>
          <w:p>
            <w:pPr>
              <w:jc w:val="center"/>
            </w:pPr>
            <w:r>
              <w:rPr>
                <w:color w:val="000000"/>
                <w:sz w:val="24"/>
                <w:szCs w:val="24"/>
              </w:rPr>
              <w:t>12年</w:t>
            </w:r>
          </w:p>
        </w:tc>
        <w:tc>
          <w:tcPr>
            <w:vAlign w:val="center"/>
          </w:tcPr>
          <w:p>
            <w:pPr>
              <w:jc w:val="both"/>
            </w:pPr>
            <w:r>
              <w:rPr>
                <w:color w:val="000000"/>
                <w:sz w:val="24"/>
                <w:szCs w:val="24"/>
              </w:rPr>
              <w:t>王崇先生，北京大学金融学博士。2008年加入交银施罗德基金管理有限公司，历任行业分析师、高级研究员。</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二季度国内经济逐渐从疫情中走出，呈现弱复苏趋势，流动性维持总体合理宽裕。二季度A股市场持续反弹，其中创业板涨幅遥遥领先，主板表现相对较弱；行业层面，医药、食品饮料、社会服务、消费以及电子等泛大消费板块涨幅居前，金融地产等传统顺周期低估值行业维持低位震荡，涨幅落后。</w:t>
      </w:r>
    </w:p>
    <w:p>
      <w:pPr>
        <w:spacing w:before="29" w:line="288" w:lineRule="auto"/>
        <w:ind w:firstLine="480" w:firstLineChars="200"/>
        <w:rPr>
          <w:color w:val="000000"/>
          <w:sz w:val="24"/>
          <w:szCs w:val="24"/>
        </w:rPr>
      </w:pPr>
      <w:r>
        <w:rPr>
          <w:color w:val="000000"/>
          <w:sz w:val="24"/>
          <w:szCs w:val="24"/>
        </w:rPr>
        <w:t>本基金二季度保持中性略高仓位，考虑到部分持仓公司投资逻辑发生比较大的变化，我们大幅减持部分医疗服务公司，小幅加仓食品饮料、交通运输和电子，从整个季度来表现看，本基金跑赢业绩比较基准。</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三季度，我们对A股市场维持谨慎乐观的态度。考虑到目前的经济状况、利率水平以及逆周期政策，我们仍旧认为大类资产配置中权益最优；而且从估值盈利匹配度来看，有不少传统行业龙头公司股票仍旧值得投资和持有。另一方面，外需出口仍旧存在较大不确定性，后续国内经济复苏的力度不宜乐观；此外在部分热门板块以及抱团龙头个股经历大幅上涨后，估值处于历史范围上沿，甚至透支未来一两年业绩，中短期风险收益比变差，后续选股尤其是投资成长股的难度在增加。本基金后续保持中性略高仓位，按照内需为先，结构优于总量的思路，拟继续关注一二线房地产龙头、软件及互联网、餐饮供应链、内需服务以及新能源汽车产业链上优质标的，坚守能力圈和安全边际，逆向投资，做中长期布局，努力为基金持有人带来稳健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5,991,641,024.33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78.75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5,991,641,024.33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78.75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308,471,000.00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308,471,000.00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894,016,967.01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11.75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247,785,127.21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3.26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166,652,257.85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2.19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7,608,566,376.40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3,464,842,970.39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46.64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12,766.32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417,672,878.02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5.62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459,937,683.86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6.19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201,869,505.60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1,095,427,127.84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14.75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149,831,157.52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3,809,270.25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198,237,664.53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5,991,641,024.33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80.66</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15,025,638</w:t>
            </w:r>
          </w:p>
        </w:tc>
        <w:tc>
          <w:tcPr>
            <w:vAlign w:val="center"/>
          </w:tcPr>
          <w:p>
            <w:pPr>
              <w:jc w:val="right"/>
            </w:pPr>
            <w:r>
              <w:rPr>
                <w:color w:val="000000"/>
                <w:sz w:val="24"/>
                <w:szCs w:val="24"/>
              </w:rPr>
              <w:t>610,491,671.94</w:t>
            </w:r>
          </w:p>
        </w:tc>
        <w:tc>
          <w:tcPr>
            <w:vAlign w:val="center"/>
          </w:tcPr>
          <w:p>
            <w:pPr>
              <w:jc w:val="right"/>
            </w:pPr>
            <w:r>
              <w:rPr>
                <w:color w:val="000000"/>
                <w:sz w:val="24"/>
                <w:szCs w:val="24"/>
              </w:rPr>
              <w:t>8.22</w:t>
            </w:r>
          </w:p>
        </w:tc>
      </w:tr>
      <w:tr>
        <w:tc>
          <w:tcPr>
            <w:vAlign w:val="center"/>
          </w:tcPr>
          <w:p>
            <w:pPr>
              <w:jc w:val="center"/>
            </w:pPr>
            <w:r>
              <w:rPr>
                <w:color w:val="000000"/>
                <w:sz w:val="24"/>
                <w:szCs w:val="24"/>
              </w:rPr>
              <w:t>2</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21,882,328</w:t>
            </w:r>
          </w:p>
        </w:tc>
        <w:tc>
          <w:tcPr>
            <w:vAlign w:val="center"/>
          </w:tcPr>
          <w:p>
            <w:pPr>
              <w:jc w:val="right"/>
            </w:pPr>
            <w:r>
              <w:rPr>
                <w:color w:val="000000"/>
                <w:sz w:val="24"/>
                <w:szCs w:val="24"/>
              </w:rPr>
              <w:t>572,004,053.92</w:t>
            </w:r>
          </w:p>
        </w:tc>
        <w:tc>
          <w:tcPr>
            <w:vAlign w:val="center"/>
          </w:tcPr>
          <w:p>
            <w:pPr>
              <w:jc w:val="right"/>
            </w:pPr>
            <w:r>
              <w:rPr>
                <w:color w:val="000000"/>
                <w:sz w:val="24"/>
                <w:szCs w:val="24"/>
              </w:rPr>
              <w:t>7.70</w:t>
            </w:r>
          </w:p>
        </w:tc>
      </w:tr>
      <w:tr>
        <w:tc>
          <w:tcPr>
            <w:vAlign w:val="center"/>
          </w:tcPr>
          <w:p>
            <w:pPr>
              <w:jc w:val="center"/>
            </w:pPr>
            <w:r>
              <w:rPr>
                <w:color w:val="000000"/>
                <w:sz w:val="24"/>
                <w:szCs w:val="24"/>
              </w:rPr>
              <w:t>3</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7,095,956</w:t>
            </w:r>
          </w:p>
        </w:tc>
        <w:tc>
          <w:tcPr>
            <w:vAlign w:val="center"/>
          </w:tcPr>
          <w:p>
            <w:pPr>
              <w:jc w:val="right"/>
            </w:pPr>
            <w:r>
              <w:rPr>
                <w:color w:val="000000"/>
                <w:sz w:val="24"/>
                <w:szCs w:val="24"/>
              </w:rPr>
              <w:t>501,967,927.44</w:t>
            </w:r>
          </w:p>
        </w:tc>
        <w:tc>
          <w:tcPr>
            <w:vAlign w:val="center"/>
          </w:tcPr>
          <w:p>
            <w:pPr>
              <w:jc w:val="right"/>
            </w:pPr>
            <w:r>
              <w:rPr>
                <w:color w:val="000000"/>
                <w:sz w:val="24"/>
                <w:szCs w:val="24"/>
              </w:rPr>
              <w:t>6.76</w:t>
            </w:r>
          </w:p>
        </w:tc>
      </w:tr>
      <w:tr>
        <w:tc>
          <w:tcPr>
            <w:vAlign w:val="center"/>
          </w:tcPr>
          <w:p>
            <w:pPr>
              <w:jc w:val="center"/>
            </w:pPr>
            <w:r>
              <w:rPr>
                <w:color w:val="000000"/>
                <w:sz w:val="24"/>
                <w:szCs w:val="24"/>
              </w:rPr>
              <w:t>4</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7,533,447</w:t>
            </w:r>
          </w:p>
        </w:tc>
        <w:tc>
          <w:tcPr>
            <w:vAlign w:val="center"/>
          </w:tcPr>
          <w:p>
            <w:pPr>
              <w:jc w:val="right"/>
            </w:pPr>
            <w:r>
              <w:rPr>
                <w:color w:val="000000"/>
                <w:sz w:val="24"/>
                <w:szCs w:val="24"/>
              </w:rPr>
              <w:t>412,079,550.90</w:t>
            </w:r>
          </w:p>
        </w:tc>
        <w:tc>
          <w:tcPr>
            <w:vAlign w:val="center"/>
          </w:tcPr>
          <w:p>
            <w:pPr>
              <w:jc w:val="right"/>
            </w:pPr>
            <w:r>
              <w:rPr>
                <w:color w:val="000000"/>
                <w:sz w:val="24"/>
                <w:szCs w:val="24"/>
              </w:rPr>
              <w:t>5.55</w:t>
            </w:r>
          </w:p>
        </w:tc>
      </w:tr>
      <w:tr>
        <w:tc>
          <w:tcPr>
            <w:vAlign w:val="center"/>
          </w:tcPr>
          <w:p>
            <w:pPr>
              <w:jc w:val="center"/>
            </w:pPr>
            <w:r>
              <w:rPr>
                <w:color w:val="000000"/>
                <w:sz w:val="24"/>
                <w:szCs w:val="24"/>
              </w:rPr>
              <w:t>5</w:t>
            </w:r>
          </w:p>
        </w:tc>
        <w:tc>
          <w:tcPr>
            <w:vAlign w:val="center"/>
          </w:tcPr>
          <w:p>
            <w:pPr>
              <w:jc w:val="center"/>
            </w:pPr>
            <w:r>
              <w:rPr>
                <w:color w:val="000000"/>
                <w:sz w:val="24"/>
                <w:szCs w:val="24"/>
              </w:rPr>
              <w:t>002050</w:t>
            </w:r>
          </w:p>
        </w:tc>
        <w:tc>
          <w:tcPr>
            <w:vAlign w:val="center"/>
          </w:tcPr>
          <w:p>
            <w:pPr>
              <w:jc w:val="center"/>
            </w:pPr>
            <w:r>
              <w:rPr>
                <w:color w:val="000000"/>
                <w:sz w:val="24"/>
                <w:szCs w:val="24"/>
              </w:rPr>
              <w:t>三花智控</w:t>
            </w:r>
          </w:p>
        </w:tc>
        <w:tc>
          <w:tcPr>
            <w:vAlign w:val="center"/>
          </w:tcPr>
          <w:p>
            <w:pPr>
              <w:jc w:val="right"/>
            </w:pPr>
            <w:r>
              <w:rPr>
                <w:color w:val="000000"/>
                <w:sz w:val="24"/>
                <w:szCs w:val="24"/>
              </w:rPr>
              <w:t>16,680,317</w:t>
            </w:r>
          </w:p>
        </w:tc>
        <w:tc>
          <w:tcPr>
            <w:vAlign w:val="center"/>
          </w:tcPr>
          <w:p>
            <w:pPr>
              <w:jc w:val="right"/>
            </w:pPr>
            <w:r>
              <w:rPr>
                <w:color w:val="000000"/>
                <w:sz w:val="24"/>
                <w:szCs w:val="24"/>
              </w:rPr>
              <w:t>365,298,942.30</w:t>
            </w:r>
          </w:p>
        </w:tc>
        <w:tc>
          <w:tcPr>
            <w:vAlign w:val="center"/>
          </w:tcPr>
          <w:p>
            <w:pPr>
              <w:jc w:val="right"/>
            </w:pPr>
            <w:r>
              <w:rPr>
                <w:color w:val="000000"/>
                <w:sz w:val="24"/>
                <w:szCs w:val="24"/>
              </w:rPr>
              <w:t>4.92</w:t>
            </w:r>
          </w:p>
        </w:tc>
      </w:tr>
      <w:tr>
        <w:tc>
          <w:tcPr>
            <w:vAlign w:val="center"/>
          </w:tcPr>
          <w:p>
            <w:pPr>
              <w:jc w:val="center"/>
            </w:pPr>
            <w:r>
              <w:rPr>
                <w:color w:val="000000"/>
                <w:sz w:val="24"/>
                <w:szCs w:val="24"/>
              </w:rPr>
              <w:t>6</w:t>
            </w:r>
          </w:p>
        </w:tc>
        <w:tc>
          <w:tcPr>
            <w:vAlign w:val="center"/>
          </w:tcPr>
          <w:p>
            <w:pPr>
              <w:jc w:val="center"/>
            </w:pPr>
            <w:r>
              <w:rPr>
                <w:color w:val="000000"/>
                <w:sz w:val="24"/>
                <w:szCs w:val="24"/>
              </w:rPr>
              <w:t>002311</w:t>
            </w:r>
          </w:p>
        </w:tc>
        <w:tc>
          <w:tcPr>
            <w:vAlign w:val="center"/>
          </w:tcPr>
          <w:p>
            <w:pPr>
              <w:jc w:val="center"/>
            </w:pPr>
            <w:r>
              <w:rPr>
                <w:color w:val="000000"/>
                <w:sz w:val="24"/>
                <w:szCs w:val="24"/>
              </w:rPr>
              <w:t>海大集团</w:t>
            </w:r>
          </w:p>
        </w:tc>
        <w:tc>
          <w:tcPr>
            <w:vAlign w:val="center"/>
          </w:tcPr>
          <w:p>
            <w:pPr>
              <w:jc w:val="right"/>
            </w:pPr>
            <w:r>
              <w:rPr>
                <w:color w:val="000000"/>
                <w:sz w:val="24"/>
                <w:szCs w:val="24"/>
              </w:rPr>
              <w:t>6,395,721</w:t>
            </w:r>
          </w:p>
        </w:tc>
        <w:tc>
          <w:tcPr>
            <w:vAlign w:val="center"/>
          </w:tcPr>
          <w:p>
            <w:pPr>
              <w:jc w:val="right"/>
            </w:pPr>
            <w:r>
              <w:rPr>
                <w:color w:val="000000"/>
                <w:sz w:val="24"/>
                <w:szCs w:val="24"/>
              </w:rPr>
              <w:t>304,372,362.39</w:t>
            </w:r>
          </w:p>
        </w:tc>
        <w:tc>
          <w:tcPr>
            <w:vAlign w:val="center"/>
          </w:tcPr>
          <w:p>
            <w:pPr>
              <w:jc w:val="right"/>
            </w:pPr>
            <w:r>
              <w:rPr>
                <w:color w:val="000000"/>
                <w:sz w:val="24"/>
                <w:szCs w:val="24"/>
              </w:rPr>
              <w:t>4.10</w:t>
            </w:r>
          </w:p>
        </w:tc>
      </w:tr>
      <w:tr>
        <w:tc>
          <w:tcPr>
            <w:vAlign w:val="center"/>
          </w:tcPr>
          <w:p>
            <w:pPr>
              <w:jc w:val="center"/>
            </w:pPr>
            <w:r>
              <w:rPr>
                <w:color w:val="000000"/>
                <w:sz w:val="24"/>
                <w:szCs w:val="24"/>
              </w:rPr>
              <w:t>7</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20,211,018</w:t>
            </w:r>
          </w:p>
        </w:tc>
        <w:tc>
          <w:tcPr>
            <w:vAlign w:val="center"/>
          </w:tcPr>
          <w:p>
            <w:pPr>
              <w:jc w:val="right"/>
            </w:pPr>
            <w:r>
              <w:rPr>
                <w:color w:val="000000"/>
                <w:sz w:val="24"/>
                <w:szCs w:val="24"/>
              </w:rPr>
              <w:t>298,718,846.04</w:t>
            </w:r>
          </w:p>
        </w:tc>
        <w:tc>
          <w:tcPr>
            <w:vAlign w:val="center"/>
          </w:tcPr>
          <w:p>
            <w:pPr>
              <w:jc w:val="right"/>
            </w:pPr>
            <w:r>
              <w:rPr>
                <w:color w:val="000000"/>
                <w:sz w:val="24"/>
                <w:szCs w:val="24"/>
              </w:rPr>
              <w:t>4.02</w:t>
            </w:r>
          </w:p>
        </w:tc>
      </w:tr>
      <w:tr>
        <w:tc>
          <w:tcPr>
            <w:vAlign w:val="center"/>
          </w:tcPr>
          <w:p>
            <w:pPr>
              <w:jc w:val="center"/>
            </w:pPr>
            <w:r>
              <w:rPr>
                <w:color w:val="000000"/>
                <w:sz w:val="24"/>
                <w:szCs w:val="24"/>
              </w:rPr>
              <w:t>8</w:t>
            </w:r>
          </w:p>
        </w:tc>
        <w:tc>
          <w:tcPr>
            <w:vAlign w:val="center"/>
          </w:tcPr>
          <w:p>
            <w:pPr>
              <w:jc w:val="center"/>
            </w:pPr>
            <w:r>
              <w:rPr>
                <w:color w:val="000000"/>
                <w:sz w:val="24"/>
                <w:szCs w:val="24"/>
              </w:rPr>
              <w:t>002841</w:t>
            </w:r>
          </w:p>
        </w:tc>
        <w:tc>
          <w:tcPr>
            <w:vAlign w:val="center"/>
          </w:tcPr>
          <w:p>
            <w:pPr>
              <w:jc w:val="center"/>
            </w:pPr>
            <w:r>
              <w:rPr>
                <w:color w:val="000000"/>
                <w:sz w:val="24"/>
                <w:szCs w:val="24"/>
              </w:rPr>
              <w:t>视源股份</w:t>
            </w:r>
          </w:p>
        </w:tc>
        <w:tc>
          <w:tcPr>
            <w:vAlign w:val="center"/>
          </w:tcPr>
          <w:p>
            <w:pPr>
              <w:jc w:val="right"/>
            </w:pPr>
            <w:r>
              <w:rPr>
                <w:color w:val="000000"/>
                <w:sz w:val="24"/>
                <w:szCs w:val="24"/>
              </w:rPr>
              <w:t>3,066,363</w:t>
            </w:r>
          </w:p>
        </w:tc>
        <w:tc>
          <w:tcPr>
            <w:vAlign w:val="center"/>
          </w:tcPr>
          <w:p>
            <w:pPr>
              <w:jc w:val="right"/>
            </w:pPr>
            <w:r>
              <w:rPr>
                <w:color w:val="000000"/>
                <w:sz w:val="24"/>
                <w:szCs w:val="24"/>
              </w:rPr>
              <w:t>296,780,645.76</w:t>
            </w:r>
          </w:p>
        </w:tc>
        <w:tc>
          <w:tcPr>
            <w:vAlign w:val="center"/>
          </w:tcPr>
          <w:p>
            <w:pPr>
              <w:jc w:val="right"/>
            </w:pPr>
            <w:r>
              <w:rPr>
                <w:color w:val="000000"/>
                <w:sz w:val="24"/>
                <w:szCs w:val="24"/>
              </w:rPr>
              <w:t>4.00</w:t>
            </w:r>
          </w:p>
        </w:tc>
      </w:tr>
      <w:tr>
        <w:tc>
          <w:tcPr>
            <w:vAlign w:val="center"/>
          </w:tcPr>
          <w:p>
            <w:pPr>
              <w:jc w:val="center"/>
            </w:pPr>
            <w:r>
              <w:rPr>
                <w:color w:val="000000"/>
                <w:sz w:val="24"/>
                <w:szCs w:val="24"/>
              </w:rPr>
              <w:t>9</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5,701,999</w:t>
            </w:r>
          </w:p>
        </w:tc>
        <w:tc>
          <w:tcPr>
            <w:vAlign w:val="center"/>
          </w:tcPr>
          <w:p>
            <w:pPr>
              <w:jc w:val="right"/>
            </w:pPr>
            <w:r>
              <w:rPr>
                <w:color w:val="000000"/>
                <w:sz w:val="24"/>
                <w:szCs w:val="24"/>
              </w:rPr>
              <w:t>292,797,648.65</w:t>
            </w:r>
          </w:p>
        </w:tc>
        <w:tc>
          <w:tcPr>
            <w:vAlign w:val="center"/>
          </w:tcPr>
          <w:p>
            <w:pPr>
              <w:jc w:val="right"/>
            </w:pPr>
            <w:r>
              <w:rPr>
                <w:color w:val="000000"/>
                <w:sz w:val="24"/>
                <w:szCs w:val="24"/>
              </w:rPr>
              <w:t>3.94</w:t>
            </w:r>
          </w:p>
        </w:tc>
      </w:tr>
      <w:tr>
        <w:tc>
          <w:tcPr>
            <w:vAlign w:val="center"/>
          </w:tcPr>
          <w:p>
            <w:pPr>
              <w:jc w:val="center"/>
            </w:pPr>
            <w:r>
              <w:rPr>
                <w:color w:val="000000"/>
                <w:sz w:val="24"/>
                <w:szCs w:val="24"/>
              </w:rPr>
              <w:t>10</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4,398,181</w:t>
            </w:r>
          </w:p>
        </w:tc>
        <w:tc>
          <w:tcPr>
            <w:vAlign w:val="center"/>
          </w:tcPr>
          <w:p>
            <w:pPr>
              <w:jc w:val="right"/>
            </w:pPr>
            <w:r>
              <w:rPr>
                <w:color w:val="000000"/>
                <w:sz w:val="24"/>
                <w:szCs w:val="24"/>
              </w:rPr>
              <w:t>246,507,498.00</w:t>
            </w:r>
          </w:p>
        </w:tc>
        <w:tc>
          <w:tcPr>
            <w:vAlign w:val="center"/>
          </w:tcPr>
          <w:p>
            <w:pPr>
              <w:jc w:val="right"/>
            </w:pPr>
            <w:r>
              <w:rPr>
                <w:color w:val="000000"/>
                <w:sz w:val="24"/>
                <w:szCs w:val="24"/>
              </w:rPr>
              <w:t>3.32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308,471,000.00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4.15</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308,471,000.00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4.15</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308,471,000.00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4.15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207703</w:t>
            </w:r>
          </w:p>
        </w:tc>
        <w:tc>
          <w:tcPr>
            <w:vAlign w:val="center"/>
          </w:tcPr>
          <w:p>
            <w:pPr>
              <w:jc w:val="center"/>
            </w:pPr>
            <w:r>
              <w:rPr>
                <w:color w:val="000000"/>
                <w:sz w:val="24"/>
                <w:szCs w:val="24"/>
              </w:rPr>
              <w:t>20贴现国开03</w:t>
            </w:r>
          </w:p>
        </w:tc>
        <w:tc>
          <w:tcPr>
            <w:vAlign w:val="center"/>
          </w:tcPr>
          <w:p>
            <w:pPr>
              <w:jc w:val="right"/>
            </w:pPr>
            <w:r>
              <w:rPr>
                <w:color w:val="000000"/>
                <w:sz w:val="24"/>
                <w:szCs w:val="24"/>
              </w:rPr>
              <w:t>2,100,000</w:t>
            </w:r>
          </w:p>
        </w:tc>
        <w:tc>
          <w:tcPr>
            <w:vAlign w:val="center"/>
          </w:tcPr>
          <w:p>
            <w:pPr>
              <w:jc w:val="right"/>
            </w:pPr>
            <w:r>
              <w:rPr>
                <w:color w:val="000000"/>
                <w:sz w:val="24"/>
                <w:szCs w:val="24"/>
              </w:rPr>
              <w:t>208,383,000.00</w:t>
            </w:r>
          </w:p>
        </w:tc>
        <w:tc>
          <w:tcPr>
            <w:vAlign w:val="center"/>
          </w:tcPr>
          <w:p>
            <w:pPr>
              <w:jc w:val="right"/>
            </w:pPr>
            <w:r>
              <w:rPr>
                <w:color w:val="000000"/>
                <w:sz w:val="24"/>
                <w:szCs w:val="24"/>
              </w:rPr>
              <w:t>2.81</w:t>
            </w:r>
          </w:p>
        </w:tc>
      </w:tr>
      <w:tr>
        <w:tc>
          <w:tcPr>
            <w:vAlign w:val="center"/>
          </w:tcPr>
          <w:p>
            <w:pPr>
              <w:jc w:val="center"/>
            </w:pPr>
            <w:r>
              <w:rPr>
                <w:color w:val="000000"/>
                <w:sz w:val="24"/>
                <w:szCs w:val="24"/>
              </w:rPr>
              <w:t>2</w:t>
            </w:r>
          </w:p>
        </w:tc>
        <w:tc>
          <w:tcPr>
            <w:vAlign w:val="center"/>
          </w:tcPr>
          <w:p>
            <w:pPr>
              <w:jc w:val="center"/>
            </w:pPr>
            <w:r>
              <w:rPr>
                <w:color w:val="000000"/>
                <w:sz w:val="24"/>
                <w:szCs w:val="24"/>
              </w:rPr>
              <w:t>190211</w:t>
            </w:r>
          </w:p>
        </w:tc>
        <w:tc>
          <w:tcPr>
            <w:vAlign w:val="center"/>
          </w:tcPr>
          <w:p>
            <w:pPr>
              <w:jc w:val="center"/>
            </w:pPr>
            <w:r>
              <w:rPr>
                <w:color w:val="000000"/>
                <w:sz w:val="24"/>
                <w:szCs w:val="24"/>
              </w:rPr>
              <w:t>19国开11</w:t>
            </w:r>
          </w:p>
        </w:tc>
        <w:tc>
          <w:tcPr>
            <w:vAlign w:val="center"/>
          </w:tcPr>
          <w:p>
            <w:pPr>
              <w:jc w:val="right"/>
            </w:pPr>
            <w:r>
              <w:rPr>
                <w:color w:val="000000"/>
                <w:sz w:val="24"/>
                <w:szCs w:val="24"/>
              </w:rPr>
              <w:t>500,000</w:t>
            </w:r>
          </w:p>
        </w:tc>
        <w:tc>
          <w:tcPr>
            <w:vAlign w:val="center"/>
          </w:tcPr>
          <w:p>
            <w:pPr>
              <w:jc w:val="right"/>
            </w:pPr>
            <w:r>
              <w:rPr>
                <w:color w:val="000000"/>
                <w:sz w:val="24"/>
                <w:szCs w:val="24"/>
              </w:rPr>
              <w:t>50,095,000.00</w:t>
            </w:r>
          </w:p>
        </w:tc>
        <w:tc>
          <w:tcPr>
            <w:vAlign w:val="center"/>
          </w:tcPr>
          <w:p>
            <w:pPr>
              <w:jc w:val="right"/>
            </w:pPr>
            <w:r>
              <w:rPr>
                <w:color w:val="000000"/>
                <w:sz w:val="24"/>
                <w:szCs w:val="24"/>
              </w:rPr>
              <w:t>0.67</w:t>
            </w:r>
          </w:p>
        </w:tc>
      </w:tr>
      <w:tr>
        <w:tc>
          <w:tcPr>
            <w:vAlign w:val="center"/>
          </w:tcPr>
          <w:p>
            <w:pPr>
              <w:jc w:val="center"/>
            </w:pPr>
            <w:r>
              <w:rPr>
                <w:color w:val="000000"/>
                <w:sz w:val="24"/>
                <w:szCs w:val="24"/>
              </w:rPr>
              <w:t>3</w:t>
            </w:r>
          </w:p>
        </w:tc>
        <w:tc>
          <w:tcPr>
            <w:vAlign w:val="center"/>
          </w:tcPr>
          <w:p>
            <w:pPr>
              <w:jc w:val="center"/>
            </w:pPr>
            <w:r>
              <w:rPr>
                <w:color w:val="000000"/>
                <w:sz w:val="24"/>
                <w:szCs w:val="24"/>
              </w:rPr>
              <w:t>190307</w:t>
            </w:r>
          </w:p>
        </w:tc>
        <w:tc>
          <w:tcPr>
            <w:vAlign w:val="center"/>
          </w:tcPr>
          <w:p>
            <w:pPr>
              <w:jc w:val="center"/>
            </w:pPr>
            <w:r>
              <w:rPr>
                <w:color w:val="000000"/>
                <w:sz w:val="24"/>
                <w:szCs w:val="24"/>
              </w:rPr>
              <w:t>19进出07</w:t>
            </w:r>
          </w:p>
        </w:tc>
        <w:tc>
          <w:tcPr>
            <w:vAlign w:val="center"/>
          </w:tcPr>
          <w:p>
            <w:pPr>
              <w:jc w:val="right"/>
            </w:pPr>
            <w:r>
              <w:rPr>
                <w:color w:val="000000"/>
                <w:sz w:val="24"/>
                <w:szCs w:val="24"/>
              </w:rPr>
              <w:t>200,000</w:t>
            </w:r>
          </w:p>
        </w:tc>
        <w:tc>
          <w:tcPr>
            <w:vAlign w:val="center"/>
          </w:tcPr>
          <w:p>
            <w:pPr>
              <w:jc w:val="right"/>
            </w:pPr>
            <w:r>
              <w:rPr>
                <w:color w:val="000000"/>
                <w:sz w:val="24"/>
                <w:szCs w:val="24"/>
              </w:rPr>
              <w:t>20,042,000.00</w:t>
            </w:r>
          </w:p>
        </w:tc>
        <w:tc>
          <w:tcPr>
            <w:vAlign w:val="center"/>
          </w:tcPr>
          <w:p>
            <w:pPr>
              <w:jc w:val="right"/>
            </w:pPr>
            <w:r>
              <w:rPr>
                <w:color w:val="000000"/>
                <w:sz w:val="24"/>
                <w:szCs w:val="24"/>
              </w:rPr>
              <w:t>0.27</w:t>
            </w:r>
          </w:p>
        </w:tc>
      </w:tr>
      <w:tr>
        <w:tc>
          <w:tcPr>
            <w:vAlign w:val="center"/>
          </w:tcPr>
          <w:p>
            <w:pPr>
              <w:jc w:val="center"/>
            </w:pPr>
            <w:r>
              <w:rPr>
                <w:color w:val="000000"/>
                <w:sz w:val="24"/>
                <w:szCs w:val="24"/>
              </w:rPr>
              <w:t>4</w:t>
            </w:r>
          </w:p>
        </w:tc>
        <w:tc>
          <w:tcPr>
            <w:vAlign w:val="center"/>
          </w:tcPr>
          <w:p>
            <w:pPr>
              <w:jc w:val="center"/>
            </w:pPr>
            <w:r>
              <w:rPr>
                <w:color w:val="000000"/>
                <w:sz w:val="24"/>
                <w:szCs w:val="24"/>
              </w:rPr>
              <w:t>200201</w:t>
            </w:r>
          </w:p>
        </w:tc>
        <w:tc>
          <w:tcPr>
            <w:vAlign w:val="center"/>
          </w:tcPr>
          <w:p>
            <w:pPr>
              <w:jc w:val="center"/>
            </w:pPr>
            <w:r>
              <w:rPr>
                <w:color w:val="000000"/>
                <w:sz w:val="24"/>
                <w:szCs w:val="24"/>
              </w:rPr>
              <w:t>20国开01</w:t>
            </w:r>
          </w:p>
        </w:tc>
        <w:tc>
          <w:tcPr>
            <w:vAlign w:val="center"/>
          </w:tcPr>
          <w:p>
            <w:pPr>
              <w:jc w:val="right"/>
            </w:pPr>
            <w:r>
              <w:rPr>
                <w:color w:val="000000"/>
                <w:sz w:val="24"/>
                <w:szCs w:val="24"/>
              </w:rPr>
              <w:t>200,000</w:t>
            </w:r>
          </w:p>
        </w:tc>
        <w:tc>
          <w:tcPr>
            <w:vAlign w:val="center"/>
          </w:tcPr>
          <w:p>
            <w:pPr>
              <w:jc w:val="right"/>
            </w:pPr>
            <w:r>
              <w:rPr>
                <w:color w:val="000000"/>
                <w:sz w:val="24"/>
                <w:szCs w:val="24"/>
              </w:rPr>
              <w:t>20,028,000.00</w:t>
            </w:r>
          </w:p>
        </w:tc>
        <w:tc>
          <w:tcPr>
            <w:vAlign w:val="center"/>
          </w:tcPr>
          <w:p>
            <w:pPr>
              <w:jc w:val="right"/>
            </w:pPr>
            <w:r>
              <w:rPr>
                <w:color w:val="000000"/>
                <w:sz w:val="24"/>
                <w:szCs w:val="24"/>
              </w:rPr>
              <w:t>0.27</w:t>
            </w:r>
          </w:p>
        </w:tc>
      </w:tr>
      <w:tr>
        <w:tc>
          <w:tcPr>
            <w:vAlign w:val="center"/>
          </w:tcPr>
          <w:p>
            <w:pPr>
              <w:jc w:val="center"/>
            </w:pPr>
            <w:r>
              <w:rPr>
                <w:color w:val="000000"/>
                <w:sz w:val="24"/>
                <w:szCs w:val="24"/>
              </w:rPr>
              <w:t>5</w:t>
            </w:r>
          </w:p>
        </w:tc>
        <w:tc>
          <w:tcPr>
            <w:vAlign w:val="center"/>
          </w:tcPr>
          <w:p>
            <w:pPr>
              <w:jc w:val="center"/>
            </w:pPr>
            <w:r>
              <w:rPr>
                <w:color w:val="000000"/>
                <w:sz w:val="24"/>
                <w:szCs w:val="24"/>
              </w:rPr>
              <w:t>200211</w:t>
            </w:r>
          </w:p>
        </w:tc>
        <w:tc>
          <w:tcPr>
            <w:vAlign w:val="center"/>
          </w:tcPr>
          <w:p>
            <w:pPr>
              <w:jc w:val="center"/>
            </w:pPr>
            <w:r>
              <w:rPr>
                <w:color w:val="000000"/>
                <w:sz w:val="24"/>
                <w:szCs w:val="24"/>
              </w:rPr>
              <w:t>20国开11</w:t>
            </w:r>
          </w:p>
        </w:tc>
        <w:tc>
          <w:tcPr>
            <w:vAlign w:val="center"/>
          </w:tcPr>
          <w:p>
            <w:pPr>
              <w:jc w:val="right"/>
            </w:pPr>
            <w:r>
              <w:rPr>
                <w:color w:val="000000"/>
                <w:sz w:val="24"/>
                <w:szCs w:val="24"/>
              </w:rPr>
              <w:t>100,000</w:t>
            </w:r>
          </w:p>
        </w:tc>
        <w:tc>
          <w:tcPr>
            <w:vAlign w:val="center"/>
          </w:tcPr>
          <w:p>
            <w:pPr>
              <w:jc w:val="right"/>
            </w:pPr>
            <w:r>
              <w:rPr>
                <w:color w:val="000000"/>
                <w:sz w:val="24"/>
                <w:szCs w:val="24"/>
              </w:rPr>
              <w:t>9,923,000.00</w:t>
            </w:r>
          </w:p>
        </w:tc>
        <w:tc>
          <w:tcPr>
            <w:vAlign w:val="center"/>
          </w:tcPr>
          <w:p>
            <w:pPr>
              <w:jc w:val="right"/>
            </w:pPr>
            <w:r>
              <w:rPr>
                <w:color w:val="000000"/>
                <w:sz w:val="24"/>
                <w:szCs w:val="24"/>
              </w:rPr>
              <w:t>0.13</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 xml:space="preserve">本基金本报告期末未持有股指期货。 </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2,321,562.06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2,131,522.51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162,199,173.28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166,652,257.85</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136,413,000.00</w:t>
            </w:r>
          </w:p>
        </w:tc>
        <w:tc>
          <w:tcPr>
            <w:vAlign w:val="center"/>
          </w:tcPr>
          <w:p>
            <w:pPr>
              <w:jc w:val="right"/>
            </w:pPr>
            <w:r>
              <w:rPr>
                <w:color w:val="000000"/>
                <w:sz w:val="24"/>
                <w:szCs w:val="24"/>
              </w:rPr>
              <w:t>1.84</w:t>
            </w:r>
          </w:p>
        </w:tc>
        <w:tc>
          <w:tcPr>
            <w:vAlign w:val="center"/>
          </w:tcPr>
          <w:p>
            <w:pPr>
              <w:jc w:val="right"/>
            </w:pPr>
            <w:r>
              <w:rPr>
                <w:color w:val="000000"/>
                <w:sz w:val="24"/>
                <w:szCs w:val="24"/>
              </w:rPr>
              <w:t>限售股</w:t>
            </w:r>
          </w:p>
        </w:tc>
      </w:tr>
      <w:tr>
        <w:tc>
          <w:tcPr>
            <w:vAlign w:val="center"/>
          </w:tcPr>
          <w:p>
            <w:pPr>
              <w:jc w:val="center"/>
            </w:pPr>
            <w:r>
              <w:rPr>
                <w:color w:val="000000"/>
                <w:sz w:val="24"/>
                <w:szCs w:val="24"/>
              </w:rPr>
              <w:t>2</w:t>
            </w:r>
          </w:p>
        </w:tc>
        <w:tc>
          <w:tcPr>
            <w:vAlign w:val="center"/>
          </w:tcPr>
          <w:p>
            <w:pPr>
              <w:jc w:val="center"/>
            </w:pPr>
            <w:r>
              <w:rPr>
                <w:color w:val="000000"/>
                <w:sz w:val="24"/>
                <w:szCs w:val="24"/>
              </w:rPr>
              <w:t>002841</w:t>
            </w:r>
          </w:p>
        </w:tc>
        <w:tc>
          <w:tcPr>
            <w:vAlign w:val="center"/>
          </w:tcPr>
          <w:p>
            <w:pPr>
              <w:jc w:val="center"/>
            </w:pPr>
            <w:r>
              <w:rPr>
                <w:color w:val="000000"/>
                <w:sz w:val="24"/>
                <w:szCs w:val="24"/>
              </w:rPr>
              <w:t>视源股份</w:t>
            </w:r>
          </w:p>
        </w:tc>
        <w:tc>
          <w:tcPr>
            <w:vAlign w:val="center"/>
          </w:tcPr>
          <w:p>
            <w:pPr>
              <w:jc w:val="right"/>
            </w:pPr>
            <w:r>
              <w:rPr>
                <w:color w:val="000000"/>
                <w:sz w:val="24"/>
                <w:szCs w:val="24"/>
              </w:rPr>
              <w:t>133,929,800.00</w:t>
            </w:r>
          </w:p>
        </w:tc>
        <w:tc>
          <w:tcPr>
            <w:vAlign w:val="center"/>
          </w:tcPr>
          <w:p>
            <w:pPr>
              <w:jc w:val="right"/>
            </w:pPr>
            <w:r>
              <w:rPr>
                <w:color w:val="000000"/>
                <w:sz w:val="24"/>
                <w:szCs w:val="24"/>
              </w:rPr>
              <w:t>1.80</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6,966,821,474.23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1,323,211,421.99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753,108,476.38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7,536,924,419.84</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 </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1、中国证监会批准交银施罗德精选股票证券投资基金募集的文件； </w:t>
      </w:r>
    </w:p>
    <w:p>
      <w:pPr>
        <w:spacing w:before="29" w:line="288" w:lineRule="auto"/>
        <w:ind w:firstLine="480" w:firstLineChars="200"/>
        <w:rPr>
          <w:color w:val="000000"/>
          <w:sz w:val="24"/>
          <w:szCs w:val="24"/>
        </w:rPr>
      </w:pPr>
      <w:r>
        <w:rPr>
          <w:color w:val="000000"/>
          <w:sz w:val="24"/>
          <w:szCs w:val="24"/>
        </w:rPr>
        <w:t xml:space="preserve">2、《交银施罗德精选混合型证券投资基金基金合同》；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3、《交银施罗德精选混合型证券投资基金招募说明书》；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4、《交银施罗德精选混合型证券投资基金托管协议》；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5、关于募集交银施罗德精选股票证券投资基金之法律意见书；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8、报告期内交银施罗德精选混合型证券投资基金在指定报刊上各项公告的原稿。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交银施罗德精选混合型证券投资基金2020年第2季度报告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