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交银施罗德裕泰两年定期开放债券型证券投资基金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基金托管人：上海浦东发展银行股份有限公司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二〇二〇年七月二十一日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7D4186" w:rsidRDefault="00E75E21">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基金托管人上海浦东发展银行股份有限公司根据本基金合同规定，于</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交银裕泰两年定期开放债券</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008223</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008223</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2019</w:t>
            </w:r>
            <w:r w:rsidRPr="00414345">
              <w:rPr>
                <w:color w:val="000000"/>
                <w:kern w:val="0"/>
                <w:sz w:val="24"/>
                <w:szCs w:val="24"/>
              </w:rPr>
              <w:t>年</w:t>
            </w:r>
            <w:r w:rsidRPr="00414345">
              <w:rPr>
                <w:color w:val="000000"/>
                <w:kern w:val="0"/>
                <w:sz w:val="24"/>
                <w:szCs w:val="24"/>
              </w:rPr>
              <w:t>12</w:t>
            </w:r>
            <w:r w:rsidRPr="00414345">
              <w:rPr>
                <w:color w:val="000000"/>
                <w:kern w:val="0"/>
                <w:sz w:val="24"/>
                <w:szCs w:val="24"/>
              </w:rPr>
              <w:t>月</w:t>
            </w:r>
            <w:r w:rsidRPr="00414345">
              <w:rPr>
                <w:color w:val="000000"/>
                <w:kern w:val="0"/>
                <w:sz w:val="24"/>
                <w:szCs w:val="24"/>
              </w:rPr>
              <w:t>10</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11,650,253,428.57</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本基金封闭期内采取严格的买入持有到期投资策略，投资于剩余期限（或回售期限）不超过基金剩余封闭期的固定收益类工具，力争基金资产的稳健增值。</w:t>
            </w:r>
            <w:r w:rsidRPr="00414345">
              <w:rPr>
                <w:color w:val="000000"/>
                <w:kern w:val="0"/>
                <w:sz w:val="24"/>
                <w:szCs w:val="24"/>
              </w:rPr>
              <w:t xml:space="preserve"> </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以封闭期为周期进行投资运作。在封闭期内，本基金将在坚持组合久期与封闭期基本匹配的原则下，采用持有到期策略构建投资组合，基本保持大类品种配置的比例恒定，所投资金融资产以收取合同现金流量为目的，并持有到期，所投资资产到期日（或回售日）不晚于封闭期的到期日。本基金投资含回售权的债券时，应在投资该债券前，确定行使回售权或持有至到期的时间；债券到期日晚于封闭期到期日的，基金管理人应当行使回售权而不得持有至到期日。开</w:t>
            </w:r>
            <w:r w:rsidRPr="00414345">
              <w:rPr>
                <w:color w:val="000000"/>
                <w:kern w:val="0"/>
                <w:sz w:val="24"/>
                <w:szCs w:val="24"/>
              </w:rPr>
              <w:lastRenderedPageBreak/>
              <w:t>放期内，本基金为保持较高的流动性，在遵守本基金有关投资限制与投资比例的前提下，主要配置高流动性的投资品种，防范流动性风险，满足开放期流动性的需求。</w:t>
            </w:r>
            <w:r w:rsidRPr="00414345">
              <w:rPr>
                <w:color w:val="000000"/>
                <w:kern w:val="0"/>
                <w:sz w:val="24"/>
                <w:szCs w:val="24"/>
              </w:rPr>
              <w:t xml:space="preserve"> </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在每个封闭期，本基金的业绩比较基准为该封闭期起始日的中国人民银行公布并执行的金融机构两年期定期存款利率（税后）</w:t>
            </w:r>
            <w:r w:rsidRPr="00414345">
              <w:rPr>
                <w:color w:val="000000"/>
                <w:kern w:val="0"/>
                <w:sz w:val="24"/>
                <w:szCs w:val="24"/>
              </w:rPr>
              <w:t>+1%</w:t>
            </w:r>
            <w:r w:rsidRPr="00414345">
              <w:rPr>
                <w:color w:val="000000"/>
                <w:kern w:val="0"/>
                <w:sz w:val="24"/>
                <w:szCs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本基金是一只债券型基金，其预期风险与预期收益高于货币市场基金，低于混合型基金和股票型基金。</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上海浦东发展银行股份有限公司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E51241" w:rsidRPr="00414345" w:rsidTr="00E51241">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E51241" w:rsidRPr="00414345" w:rsidTr="00E5124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80,935,051.03</w:t>
            </w:r>
          </w:p>
        </w:tc>
      </w:tr>
      <w:tr w:rsidR="00E51241" w:rsidRPr="00414345" w:rsidTr="00E5124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80,935,051.03</w:t>
            </w:r>
          </w:p>
        </w:tc>
      </w:tr>
      <w:tr w:rsidR="00E51241" w:rsidRPr="00414345" w:rsidTr="00E5124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0.0069</w:t>
            </w:r>
          </w:p>
        </w:tc>
      </w:tr>
      <w:tr w:rsidR="00E51241" w:rsidRPr="00414345" w:rsidTr="00E5124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11,826,910,411.30</w:t>
            </w:r>
          </w:p>
        </w:tc>
      </w:tr>
      <w:tr w:rsidR="00E51241" w:rsidRPr="00414345" w:rsidTr="00E51241">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1.0152</w:t>
            </w:r>
          </w:p>
        </w:tc>
      </w:tr>
    </w:tbl>
    <w:p w:rsidR="007D4186" w:rsidRDefault="00E75E21">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7D4186">
        <w:trPr>
          <w:jc w:val="center"/>
        </w:trPr>
        <w:tc>
          <w:tcPr>
            <w:tcW w:w="1701" w:type="dxa"/>
            <w:vAlign w:val="center"/>
          </w:tcPr>
          <w:p w:rsidR="007D4186" w:rsidRDefault="00E75E21">
            <w:pPr>
              <w:jc w:val="left"/>
            </w:pPr>
            <w:r>
              <w:rPr>
                <w:color w:val="000000"/>
                <w:sz w:val="24"/>
                <w:szCs w:val="24"/>
              </w:rPr>
              <w:lastRenderedPageBreak/>
              <w:t>过去三个月</w:t>
            </w:r>
          </w:p>
        </w:tc>
        <w:tc>
          <w:tcPr>
            <w:tcW w:w="1045" w:type="dxa"/>
            <w:vAlign w:val="center"/>
          </w:tcPr>
          <w:p w:rsidR="007D4186" w:rsidRDefault="00E75E21">
            <w:pPr>
              <w:jc w:val="center"/>
            </w:pPr>
            <w:r>
              <w:rPr>
                <w:color w:val="000000"/>
                <w:sz w:val="24"/>
                <w:szCs w:val="24"/>
              </w:rPr>
              <w:t>0.69%</w:t>
            </w:r>
          </w:p>
        </w:tc>
        <w:tc>
          <w:tcPr>
            <w:tcW w:w="1344" w:type="dxa"/>
            <w:vAlign w:val="center"/>
          </w:tcPr>
          <w:p w:rsidR="007D4186" w:rsidRDefault="00E75E21">
            <w:pPr>
              <w:jc w:val="center"/>
            </w:pPr>
            <w:r>
              <w:rPr>
                <w:color w:val="000000"/>
                <w:sz w:val="24"/>
                <w:szCs w:val="24"/>
              </w:rPr>
              <w:t>0.01%</w:t>
            </w:r>
          </w:p>
        </w:tc>
        <w:tc>
          <w:tcPr>
            <w:tcW w:w="1194" w:type="dxa"/>
            <w:vAlign w:val="center"/>
          </w:tcPr>
          <w:p w:rsidR="007D4186" w:rsidRDefault="00E75E21">
            <w:pPr>
              <w:jc w:val="center"/>
            </w:pPr>
            <w:r>
              <w:rPr>
                <w:color w:val="000000"/>
                <w:sz w:val="24"/>
                <w:szCs w:val="24"/>
              </w:rPr>
              <w:t>0.78%</w:t>
            </w:r>
          </w:p>
        </w:tc>
        <w:tc>
          <w:tcPr>
            <w:tcW w:w="1492" w:type="dxa"/>
            <w:vAlign w:val="center"/>
          </w:tcPr>
          <w:p w:rsidR="007D4186" w:rsidRDefault="00E75E21">
            <w:pPr>
              <w:jc w:val="center"/>
            </w:pPr>
            <w:r>
              <w:rPr>
                <w:color w:val="000000"/>
                <w:sz w:val="24"/>
                <w:szCs w:val="24"/>
              </w:rPr>
              <w:t>0.01%</w:t>
            </w:r>
          </w:p>
        </w:tc>
        <w:tc>
          <w:tcPr>
            <w:tcW w:w="1194" w:type="dxa"/>
            <w:vAlign w:val="center"/>
          </w:tcPr>
          <w:p w:rsidR="007D4186" w:rsidRDefault="00E75E21">
            <w:pPr>
              <w:jc w:val="center"/>
            </w:pPr>
            <w:r>
              <w:rPr>
                <w:color w:val="000000"/>
                <w:sz w:val="24"/>
                <w:szCs w:val="24"/>
              </w:rPr>
              <w:t>-0.09%</w:t>
            </w:r>
          </w:p>
        </w:tc>
        <w:tc>
          <w:tcPr>
            <w:tcW w:w="898" w:type="dxa"/>
            <w:vAlign w:val="center"/>
          </w:tcPr>
          <w:p w:rsidR="007D4186" w:rsidRDefault="00E75E21">
            <w:pPr>
              <w:jc w:val="center"/>
            </w:pPr>
            <w:r>
              <w:rPr>
                <w:color w:val="000000"/>
                <w:sz w:val="24"/>
                <w:szCs w:val="24"/>
              </w:rPr>
              <w:t>0.00%</w:t>
            </w:r>
          </w:p>
        </w:tc>
      </w:tr>
      <w:tr w:rsidR="007D4186">
        <w:trPr>
          <w:jc w:val="center"/>
        </w:trPr>
        <w:tc>
          <w:tcPr>
            <w:tcW w:w="1701" w:type="dxa"/>
            <w:vAlign w:val="center"/>
          </w:tcPr>
          <w:p w:rsidR="007D4186" w:rsidRDefault="00E75E21">
            <w:pPr>
              <w:jc w:val="left"/>
            </w:pPr>
            <w:r>
              <w:rPr>
                <w:color w:val="000000"/>
                <w:sz w:val="24"/>
                <w:szCs w:val="24"/>
              </w:rPr>
              <w:t>过去六个月</w:t>
            </w:r>
          </w:p>
        </w:tc>
        <w:tc>
          <w:tcPr>
            <w:tcW w:w="1045" w:type="dxa"/>
            <w:vAlign w:val="center"/>
          </w:tcPr>
          <w:p w:rsidR="007D4186" w:rsidRDefault="00E75E21">
            <w:pPr>
              <w:jc w:val="center"/>
            </w:pPr>
            <w:r>
              <w:rPr>
                <w:color w:val="000000"/>
                <w:sz w:val="24"/>
                <w:szCs w:val="24"/>
              </w:rPr>
              <w:t>1.38%</w:t>
            </w:r>
          </w:p>
        </w:tc>
        <w:tc>
          <w:tcPr>
            <w:tcW w:w="1344" w:type="dxa"/>
            <w:vAlign w:val="center"/>
          </w:tcPr>
          <w:p w:rsidR="007D4186" w:rsidRDefault="00E75E21">
            <w:pPr>
              <w:jc w:val="center"/>
            </w:pPr>
            <w:r>
              <w:rPr>
                <w:color w:val="000000"/>
                <w:sz w:val="24"/>
                <w:szCs w:val="24"/>
              </w:rPr>
              <w:t>0.01%</w:t>
            </w:r>
          </w:p>
        </w:tc>
        <w:tc>
          <w:tcPr>
            <w:tcW w:w="1194" w:type="dxa"/>
            <w:vAlign w:val="center"/>
          </w:tcPr>
          <w:p w:rsidR="007D4186" w:rsidRDefault="00E75E21">
            <w:pPr>
              <w:jc w:val="center"/>
            </w:pPr>
            <w:r>
              <w:rPr>
                <w:color w:val="000000"/>
                <w:sz w:val="24"/>
                <w:szCs w:val="24"/>
              </w:rPr>
              <w:t>1.57%</w:t>
            </w:r>
          </w:p>
        </w:tc>
        <w:tc>
          <w:tcPr>
            <w:tcW w:w="1492" w:type="dxa"/>
            <w:vAlign w:val="center"/>
          </w:tcPr>
          <w:p w:rsidR="007D4186" w:rsidRDefault="00E75E21">
            <w:pPr>
              <w:jc w:val="center"/>
            </w:pPr>
            <w:r>
              <w:rPr>
                <w:color w:val="000000"/>
                <w:sz w:val="24"/>
                <w:szCs w:val="24"/>
              </w:rPr>
              <w:t>0.01%</w:t>
            </w:r>
          </w:p>
        </w:tc>
        <w:tc>
          <w:tcPr>
            <w:tcW w:w="1194" w:type="dxa"/>
            <w:vAlign w:val="center"/>
          </w:tcPr>
          <w:p w:rsidR="007D4186" w:rsidRDefault="00E75E21">
            <w:pPr>
              <w:jc w:val="center"/>
            </w:pPr>
            <w:r>
              <w:rPr>
                <w:color w:val="000000"/>
                <w:sz w:val="24"/>
                <w:szCs w:val="24"/>
              </w:rPr>
              <w:t>-0.19%</w:t>
            </w:r>
          </w:p>
        </w:tc>
        <w:tc>
          <w:tcPr>
            <w:tcW w:w="898" w:type="dxa"/>
            <w:vAlign w:val="center"/>
          </w:tcPr>
          <w:p w:rsidR="007D4186" w:rsidRDefault="00E75E21">
            <w:pPr>
              <w:jc w:val="center"/>
            </w:pPr>
            <w:r>
              <w:rPr>
                <w:color w:val="000000"/>
                <w:sz w:val="24"/>
                <w:szCs w:val="24"/>
              </w:rPr>
              <w:t>0.00%</w:t>
            </w:r>
          </w:p>
        </w:tc>
      </w:tr>
      <w:tr w:rsidR="007D4186">
        <w:trPr>
          <w:jc w:val="center"/>
        </w:trPr>
        <w:tc>
          <w:tcPr>
            <w:tcW w:w="1701" w:type="dxa"/>
            <w:vAlign w:val="center"/>
          </w:tcPr>
          <w:p w:rsidR="007D4186" w:rsidRDefault="00E75E21">
            <w:pPr>
              <w:jc w:val="left"/>
            </w:pPr>
            <w:r>
              <w:rPr>
                <w:color w:val="000000"/>
                <w:sz w:val="24"/>
                <w:szCs w:val="24"/>
              </w:rPr>
              <w:t>自基金合同生效起至今</w:t>
            </w:r>
          </w:p>
        </w:tc>
        <w:tc>
          <w:tcPr>
            <w:tcW w:w="1045" w:type="dxa"/>
            <w:vAlign w:val="center"/>
          </w:tcPr>
          <w:p w:rsidR="007D4186" w:rsidRDefault="00E75E21">
            <w:pPr>
              <w:jc w:val="center"/>
            </w:pPr>
            <w:r>
              <w:rPr>
                <w:color w:val="000000"/>
                <w:sz w:val="24"/>
                <w:szCs w:val="24"/>
              </w:rPr>
              <w:t>1.52%</w:t>
            </w:r>
          </w:p>
        </w:tc>
        <w:tc>
          <w:tcPr>
            <w:tcW w:w="1344" w:type="dxa"/>
            <w:vAlign w:val="center"/>
          </w:tcPr>
          <w:p w:rsidR="007D4186" w:rsidRDefault="00E75E21">
            <w:pPr>
              <w:jc w:val="center"/>
            </w:pPr>
            <w:r>
              <w:rPr>
                <w:color w:val="000000"/>
                <w:sz w:val="24"/>
                <w:szCs w:val="24"/>
              </w:rPr>
              <w:t>0.01%</w:t>
            </w:r>
          </w:p>
        </w:tc>
        <w:tc>
          <w:tcPr>
            <w:tcW w:w="1194" w:type="dxa"/>
            <w:vAlign w:val="center"/>
          </w:tcPr>
          <w:p w:rsidR="007D4186" w:rsidRDefault="00E75E21">
            <w:pPr>
              <w:jc w:val="center"/>
            </w:pPr>
            <w:r>
              <w:rPr>
                <w:color w:val="000000"/>
                <w:sz w:val="24"/>
                <w:szCs w:val="24"/>
              </w:rPr>
              <w:t>1.76%</w:t>
            </w:r>
          </w:p>
        </w:tc>
        <w:tc>
          <w:tcPr>
            <w:tcW w:w="1492" w:type="dxa"/>
            <w:vAlign w:val="center"/>
          </w:tcPr>
          <w:p w:rsidR="007D4186" w:rsidRDefault="00E75E21">
            <w:pPr>
              <w:jc w:val="center"/>
            </w:pPr>
            <w:r>
              <w:rPr>
                <w:color w:val="000000"/>
                <w:sz w:val="24"/>
                <w:szCs w:val="24"/>
              </w:rPr>
              <w:t>0.01%</w:t>
            </w:r>
          </w:p>
        </w:tc>
        <w:tc>
          <w:tcPr>
            <w:tcW w:w="1194" w:type="dxa"/>
            <w:vAlign w:val="center"/>
          </w:tcPr>
          <w:p w:rsidR="007D4186" w:rsidRDefault="00E75E21">
            <w:pPr>
              <w:jc w:val="center"/>
            </w:pPr>
            <w:r>
              <w:rPr>
                <w:color w:val="000000"/>
                <w:sz w:val="24"/>
                <w:szCs w:val="24"/>
              </w:rPr>
              <w:t>-0.24%</w:t>
            </w:r>
          </w:p>
        </w:tc>
        <w:tc>
          <w:tcPr>
            <w:tcW w:w="898" w:type="dxa"/>
            <w:vAlign w:val="center"/>
          </w:tcPr>
          <w:p w:rsidR="007D4186" w:rsidRDefault="00E75E21">
            <w:pPr>
              <w:jc w:val="center"/>
            </w:pPr>
            <w:r>
              <w:rPr>
                <w:color w:val="000000"/>
                <w:sz w:val="24"/>
                <w:szCs w:val="24"/>
              </w:rPr>
              <w:t>0.00%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交银施罗德裕泰两年定期开放债券型证券投资基金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2019</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12</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10</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注：本基金基金合同生效日为</w:t>
      </w:r>
      <w:r w:rsidRPr="00414345">
        <w:rPr>
          <w:color w:val="000000"/>
          <w:sz w:val="24"/>
          <w:szCs w:val="24"/>
        </w:rPr>
        <w:t>2019</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10</w:t>
      </w:r>
      <w:r w:rsidRPr="00414345">
        <w:rPr>
          <w:color w:val="000000"/>
          <w:sz w:val="24"/>
          <w:szCs w:val="24"/>
        </w:rPr>
        <w:t>日，基金合同生效日至报告期期末，本基金运作时间未满一年。本基金建仓期为自基金合同生效日起的</w:t>
      </w:r>
      <w:r w:rsidRPr="00414345">
        <w:rPr>
          <w:color w:val="000000"/>
          <w:sz w:val="24"/>
          <w:szCs w:val="24"/>
        </w:rPr>
        <w:t>3</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7D4186">
        <w:trPr>
          <w:jc w:val="center"/>
        </w:trPr>
        <w:tc>
          <w:tcPr>
            <w:tcW w:w="846" w:type="dxa"/>
            <w:vAlign w:val="center"/>
          </w:tcPr>
          <w:p w:rsidR="007D4186" w:rsidRDefault="00E75E21">
            <w:pPr>
              <w:jc w:val="center"/>
            </w:pPr>
            <w:r>
              <w:rPr>
                <w:color w:val="000000"/>
                <w:sz w:val="24"/>
                <w:szCs w:val="24"/>
              </w:rPr>
              <w:t>于海</w:t>
            </w:r>
            <w:r>
              <w:rPr>
                <w:color w:val="000000"/>
                <w:sz w:val="24"/>
                <w:szCs w:val="24"/>
              </w:rPr>
              <w:lastRenderedPageBreak/>
              <w:t>颖</w:t>
            </w:r>
          </w:p>
        </w:tc>
        <w:tc>
          <w:tcPr>
            <w:tcW w:w="845" w:type="dxa"/>
            <w:vAlign w:val="center"/>
          </w:tcPr>
          <w:p w:rsidR="007D4186" w:rsidRDefault="00E75E21">
            <w:pPr>
              <w:jc w:val="center"/>
            </w:pPr>
            <w:r>
              <w:rPr>
                <w:color w:val="000000"/>
                <w:sz w:val="24"/>
                <w:szCs w:val="24"/>
              </w:rPr>
              <w:lastRenderedPageBreak/>
              <w:t>交银</w:t>
            </w:r>
            <w:r>
              <w:rPr>
                <w:color w:val="000000"/>
                <w:sz w:val="24"/>
                <w:szCs w:val="24"/>
              </w:rPr>
              <w:lastRenderedPageBreak/>
              <w:t>增利债券、交银纯债债券发起、交银丰盈收益债券、交银丰晟收益债券、交银裕如纯债债券、交银裕泰两年定期开放债券、交银裕坤纯债一年定期开放债券的基金经理，公司固定收益（公募）投资总监</w:t>
            </w:r>
          </w:p>
        </w:tc>
        <w:tc>
          <w:tcPr>
            <w:tcW w:w="1549" w:type="dxa"/>
            <w:vAlign w:val="center"/>
          </w:tcPr>
          <w:p w:rsidR="007D4186" w:rsidRDefault="00E75E21">
            <w:pPr>
              <w:jc w:val="center"/>
            </w:pPr>
            <w:r>
              <w:rPr>
                <w:color w:val="000000"/>
                <w:sz w:val="24"/>
                <w:szCs w:val="24"/>
              </w:rPr>
              <w:lastRenderedPageBreak/>
              <w:t>2019-12-10</w:t>
            </w:r>
          </w:p>
        </w:tc>
        <w:tc>
          <w:tcPr>
            <w:tcW w:w="1548" w:type="dxa"/>
            <w:vAlign w:val="center"/>
          </w:tcPr>
          <w:p w:rsidR="007D4186" w:rsidRDefault="00E75E21">
            <w:pPr>
              <w:jc w:val="center"/>
            </w:pPr>
            <w:r>
              <w:rPr>
                <w:color w:val="000000"/>
                <w:sz w:val="24"/>
                <w:szCs w:val="24"/>
              </w:rPr>
              <w:t>-</w:t>
            </w:r>
          </w:p>
        </w:tc>
        <w:tc>
          <w:tcPr>
            <w:tcW w:w="1407" w:type="dxa"/>
            <w:vAlign w:val="center"/>
          </w:tcPr>
          <w:p w:rsidR="007D4186" w:rsidRDefault="00E75E21">
            <w:pPr>
              <w:jc w:val="center"/>
            </w:pPr>
            <w:r>
              <w:rPr>
                <w:color w:val="000000"/>
                <w:sz w:val="24"/>
                <w:szCs w:val="24"/>
              </w:rPr>
              <w:t>14</w:t>
            </w:r>
            <w:r>
              <w:rPr>
                <w:color w:val="000000"/>
                <w:sz w:val="24"/>
                <w:szCs w:val="24"/>
              </w:rPr>
              <w:t>年</w:t>
            </w:r>
          </w:p>
        </w:tc>
        <w:tc>
          <w:tcPr>
            <w:tcW w:w="2673" w:type="dxa"/>
            <w:vAlign w:val="center"/>
          </w:tcPr>
          <w:p w:rsidR="007D4186" w:rsidRDefault="00E75E21">
            <w:r>
              <w:rPr>
                <w:color w:val="000000"/>
                <w:sz w:val="24"/>
                <w:szCs w:val="24"/>
              </w:rPr>
              <w:t>于海颖女士，天津大学</w:t>
            </w:r>
            <w:r>
              <w:rPr>
                <w:color w:val="000000"/>
                <w:sz w:val="24"/>
                <w:szCs w:val="24"/>
              </w:rPr>
              <w:lastRenderedPageBreak/>
              <w:t>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szCs w:val="24"/>
              </w:rPr>
              <w:t>2007</w:t>
            </w:r>
            <w:r>
              <w:rPr>
                <w:color w:val="000000"/>
                <w:sz w:val="24"/>
                <w:szCs w:val="24"/>
              </w:rPr>
              <w:t>年</w:t>
            </w:r>
            <w:r>
              <w:rPr>
                <w:color w:val="000000"/>
                <w:sz w:val="24"/>
                <w:szCs w:val="24"/>
              </w:rPr>
              <w:t>11</w:t>
            </w:r>
            <w:r>
              <w:rPr>
                <w:color w:val="000000"/>
                <w:sz w:val="24"/>
                <w:szCs w:val="24"/>
              </w:rPr>
              <w:t>月</w:t>
            </w:r>
            <w:r>
              <w:rPr>
                <w:color w:val="000000"/>
                <w:sz w:val="24"/>
                <w:szCs w:val="24"/>
              </w:rPr>
              <w:t>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日任光大保德信货币市场基金基金经理，</w:t>
            </w:r>
            <w:r>
              <w:rPr>
                <w:color w:val="000000"/>
                <w:sz w:val="24"/>
                <w:szCs w:val="24"/>
              </w:rPr>
              <w:t>2008</w:t>
            </w:r>
            <w:r>
              <w:rPr>
                <w:color w:val="000000"/>
                <w:sz w:val="24"/>
                <w:szCs w:val="24"/>
              </w:rPr>
              <w:t>年</w:t>
            </w:r>
            <w:r>
              <w:rPr>
                <w:color w:val="000000"/>
                <w:sz w:val="24"/>
                <w:szCs w:val="24"/>
              </w:rPr>
              <w:t>10</w:t>
            </w:r>
            <w:r>
              <w:rPr>
                <w:color w:val="000000"/>
                <w:sz w:val="24"/>
                <w:szCs w:val="24"/>
              </w:rPr>
              <w:t>月</w:t>
            </w:r>
            <w:r>
              <w:rPr>
                <w:color w:val="000000"/>
                <w:sz w:val="24"/>
                <w:szCs w:val="24"/>
              </w:rPr>
              <w:t>29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日任光大保德信增利收益债券型证券投资基金基金经理，</w:t>
            </w:r>
            <w:r>
              <w:rPr>
                <w:color w:val="000000"/>
                <w:sz w:val="24"/>
                <w:szCs w:val="24"/>
              </w:rPr>
              <w:t>2011</w:t>
            </w:r>
            <w:r>
              <w:rPr>
                <w:color w:val="000000"/>
                <w:sz w:val="24"/>
                <w:szCs w:val="24"/>
              </w:rPr>
              <w:t>年</w:t>
            </w:r>
            <w:r>
              <w:rPr>
                <w:color w:val="000000"/>
                <w:sz w:val="24"/>
                <w:szCs w:val="24"/>
              </w:rPr>
              <w:t>6</w:t>
            </w:r>
            <w:r>
              <w:rPr>
                <w:color w:val="000000"/>
                <w:sz w:val="24"/>
                <w:szCs w:val="24"/>
              </w:rPr>
              <w:t>月</w:t>
            </w:r>
            <w:r>
              <w:rPr>
                <w:color w:val="000000"/>
                <w:sz w:val="24"/>
                <w:szCs w:val="24"/>
              </w:rPr>
              <w:t>28</w:t>
            </w:r>
            <w:r>
              <w:rPr>
                <w:color w:val="000000"/>
                <w:sz w:val="24"/>
                <w:szCs w:val="24"/>
              </w:rPr>
              <w:t>日至</w:t>
            </w:r>
            <w:r>
              <w:rPr>
                <w:color w:val="000000"/>
                <w:sz w:val="24"/>
                <w:szCs w:val="24"/>
              </w:rPr>
              <w:t>2013</w:t>
            </w:r>
            <w:r>
              <w:rPr>
                <w:color w:val="000000"/>
                <w:sz w:val="24"/>
                <w:szCs w:val="24"/>
              </w:rPr>
              <w:t>年</w:t>
            </w:r>
            <w:r>
              <w:rPr>
                <w:color w:val="000000"/>
                <w:sz w:val="24"/>
                <w:szCs w:val="24"/>
              </w:rPr>
              <w:t>6</w:t>
            </w:r>
            <w:r>
              <w:rPr>
                <w:color w:val="000000"/>
                <w:sz w:val="24"/>
                <w:szCs w:val="24"/>
              </w:rPr>
              <w:t>月</w:t>
            </w:r>
            <w:r>
              <w:rPr>
                <w:color w:val="000000"/>
                <w:sz w:val="24"/>
                <w:szCs w:val="24"/>
              </w:rPr>
              <w:t>16</w:t>
            </w:r>
            <w:r>
              <w:rPr>
                <w:color w:val="000000"/>
                <w:sz w:val="24"/>
                <w:szCs w:val="24"/>
              </w:rPr>
              <w:t>日任银华永祥保本混合型证券投资基金基金经理，</w:t>
            </w:r>
            <w:r>
              <w:rPr>
                <w:color w:val="000000"/>
                <w:sz w:val="24"/>
                <w:szCs w:val="24"/>
              </w:rPr>
              <w:t>2011</w:t>
            </w:r>
            <w:r>
              <w:rPr>
                <w:color w:val="000000"/>
                <w:sz w:val="24"/>
                <w:szCs w:val="24"/>
              </w:rPr>
              <w:t>年</w:t>
            </w:r>
            <w:r>
              <w:rPr>
                <w:color w:val="000000"/>
                <w:sz w:val="24"/>
                <w:szCs w:val="24"/>
              </w:rPr>
              <w:t>8</w:t>
            </w:r>
            <w:r>
              <w:rPr>
                <w:color w:val="000000"/>
                <w:sz w:val="24"/>
                <w:szCs w:val="24"/>
              </w:rPr>
              <w:t>月</w:t>
            </w:r>
            <w:r>
              <w:rPr>
                <w:color w:val="000000"/>
                <w:sz w:val="24"/>
                <w:szCs w:val="24"/>
              </w:rPr>
              <w:t>2</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日任银华货币市场证券投资基金基金经理，</w:t>
            </w:r>
            <w:r>
              <w:rPr>
                <w:color w:val="000000"/>
                <w:sz w:val="24"/>
                <w:szCs w:val="24"/>
              </w:rPr>
              <w:t>2012</w:t>
            </w:r>
            <w:r>
              <w:rPr>
                <w:color w:val="000000"/>
                <w:sz w:val="24"/>
                <w:szCs w:val="24"/>
              </w:rPr>
              <w:t>年</w:t>
            </w:r>
            <w:r>
              <w:rPr>
                <w:color w:val="000000"/>
                <w:sz w:val="24"/>
                <w:szCs w:val="24"/>
              </w:rPr>
              <w:t>8</w:t>
            </w:r>
            <w:r>
              <w:rPr>
                <w:color w:val="000000"/>
                <w:sz w:val="24"/>
                <w:szCs w:val="24"/>
              </w:rPr>
              <w:t>月</w:t>
            </w:r>
            <w:r>
              <w:rPr>
                <w:color w:val="000000"/>
                <w:sz w:val="24"/>
                <w:szCs w:val="24"/>
              </w:rPr>
              <w:t>9</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日任银华纯债信用主题债券型证券投资基金（</w:t>
            </w:r>
            <w:r>
              <w:rPr>
                <w:color w:val="000000"/>
                <w:sz w:val="24"/>
                <w:szCs w:val="24"/>
              </w:rPr>
              <w:t>LOF</w:t>
            </w:r>
            <w:r>
              <w:rPr>
                <w:color w:val="000000"/>
                <w:sz w:val="24"/>
                <w:szCs w:val="24"/>
              </w:rPr>
              <w:t>）基金经理，</w:t>
            </w:r>
            <w:r>
              <w:rPr>
                <w:color w:val="000000"/>
                <w:sz w:val="24"/>
                <w:szCs w:val="24"/>
              </w:rPr>
              <w:t>2013</w:t>
            </w:r>
            <w:r>
              <w:rPr>
                <w:color w:val="000000"/>
                <w:sz w:val="24"/>
                <w:szCs w:val="24"/>
              </w:rPr>
              <w:t>年</w:t>
            </w:r>
            <w:r>
              <w:rPr>
                <w:color w:val="000000"/>
                <w:sz w:val="24"/>
                <w:szCs w:val="24"/>
              </w:rPr>
              <w:t>4</w:t>
            </w:r>
            <w:r>
              <w:rPr>
                <w:color w:val="000000"/>
                <w:sz w:val="24"/>
                <w:szCs w:val="24"/>
              </w:rPr>
              <w:t>月</w:t>
            </w:r>
            <w:r>
              <w:rPr>
                <w:color w:val="000000"/>
                <w:sz w:val="24"/>
                <w:szCs w:val="24"/>
              </w:rPr>
              <w:t>1</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日任银华交易型货币市场基金基金经理，</w:t>
            </w:r>
            <w:r>
              <w:rPr>
                <w:color w:val="000000"/>
                <w:sz w:val="24"/>
                <w:szCs w:val="24"/>
              </w:rPr>
              <w:t>2013</w:t>
            </w:r>
            <w:r>
              <w:rPr>
                <w:color w:val="000000"/>
                <w:sz w:val="24"/>
                <w:szCs w:val="24"/>
              </w:rPr>
              <w:t>年</w:t>
            </w:r>
            <w:r>
              <w:rPr>
                <w:color w:val="000000"/>
                <w:sz w:val="24"/>
                <w:szCs w:val="24"/>
              </w:rPr>
              <w:t>8</w:t>
            </w:r>
            <w:r>
              <w:rPr>
                <w:color w:val="000000"/>
                <w:sz w:val="24"/>
                <w:szCs w:val="24"/>
              </w:rPr>
              <w:t>月</w:t>
            </w:r>
            <w:r>
              <w:rPr>
                <w:color w:val="000000"/>
                <w:sz w:val="24"/>
                <w:szCs w:val="24"/>
              </w:rPr>
              <w:t>7</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日任银华信用四季红债券型证券投资基金基金经理，</w:t>
            </w:r>
            <w:r>
              <w:rPr>
                <w:color w:val="000000"/>
                <w:sz w:val="24"/>
                <w:szCs w:val="24"/>
              </w:rPr>
              <w:t>2013</w:t>
            </w:r>
            <w:r>
              <w:rPr>
                <w:color w:val="000000"/>
                <w:sz w:val="24"/>
                <w:szCs w:val="24"/>
              </w:rPr>
              <w:t>年</w:t>
            </w:r>
            <w:r>
              <w:rPr>
                <w:color w:val="000000"/>
                <w:sz w:val="24"/>
                <w:szCs w:val="24"/>
              </w:rPr>
              <w:t>9</w:t>
            </w:r>
            <w:r>
              <w:rPr>
                <w:color w:val="000000"/>
                <w:sz w:val="24"/>
                <w:szCs w:val="24"/>
              </w:rPr>
              <w:t>月</w:t>
            </w:r>
            <w:r>
              <w:rPr>
                <w:color w:val="000000"/>
                <w:sz w:val="24"/>
                <w:szCs w:val="24"/>
              </w:rPr>
              <w:t>18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日任银华信用季季红债券型证券投资基金基金经理，</w:t>
            </w:r>
            <w:r>
              <w:rPr>
                <w:color w:val="000000"/>
                <w:sz w:val="24"/>
                <w:szCs w:val="24"/>
              </w:rPr>
              <w:t>2014</w:t>
            </w:r>
            <w:r>
              <w:rPr>
                <w:color w:val="000000"/>
                <w:sz w:val="24"/>
                <w:szCs w:val="24"/>
              </w:rPr>
              <w:t>年</w:t>
            </w:r>
            <w:r>
              <w:rPr>
                <w:color w:val="000000"/>
                <w:sz w:val="24"/>
                <w:szCs w:val="24"/>
              </w:rPr>
              <w:t>5</w:t>
            </w:r>
            <w:r>
              <w:rPr>
                <w:color w:val="000000"/>
                <w:sz w:val="24"/>
                <w:szCs w:val="24"/>
              </w:rPr>
              <w:t>月</w:t>
            </w:r>
            <w:r>
              <w:rPr>
                <w:color w:val="000000"/>
                <w:sz w:val="24"/>
                <w:szCs w:val="24"/>
              </w:rPr>
              <w:t>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日任银华信用债券型证券投资基金</w:t>
            </w:r>
            <w:r>
              <w:rPr>
                <w:color w:val="000000"/>
                <w:sz w:val="24"/>
                <w:szCs w:val="24"/>
              </w:rPr>
              <w:t>(LOF)</w:t>
            </w:r>
            <w:r>
              <w:rPr>
                <w:color w:val="000000"/>
                <w:sz w:val="24"/>
                <w:szCs w:val="24"/>
              </w:rPr>
              <w:t>基金经理。</w:t>
            </w:r>
            <w:r>
              <w:rPr>
                <w:color w:val="000000"/>
                <w:sz w:val="24"/>
                <w:szCs w:val="24"/>
              </w:rPr>
              <w:t>2016</w:t>
            </w:r>
            <w:r>
              <w:rPr>
                <w:color w:val="000000"/>
                <w:sz w:val="24"/>
                <w:szCs w:val="24"/>
              </w:rPr>
              <w:t>年加入交银施罗德基金管理有限公司。</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10</w:t>
            </w:r>
            <w:r>
              <w:rPr>
                <w:color w:val="000000"/>
                <w:sz w:val="24"/>
                <w:szCs w:val="24"/>
              </w:rPr>
              <w:t>日至</w:t>
            </w:r>
            <w:r>
              <w:rPr>
                <w:color w:val="000000"/>
                <w:sz w:val="24"/>
                <w:szCs w:val="24"/>
              </w:rPr>
              <w:t>2018</w:t>
            </w:r>
            <w:r>
              <w:rPr>
                <w:color w:val="000000"/>
                <w:sz w:val="24"/>
                <w:szCs w:val="24"/>
              </w:rPr>
              <w:t>年</w:t>
            </w:r>
            <w:r>
              <w:rPr>
                <w:color w:val="000000"/>
                <w:sz w:val="24"/>
                <w:szCs w:val="24"/>
              </w:rPr>
              <w:t>7</w:t>
            </w:r>
            <w:r>
              <w:rPr>
                <w:color w:val="000000"/>
                <w:sz w:val="24"/>
                <w:szCs w:val="24"/>
              </w:rPr>
              <w:t>月</w:t>
            </w:r>
            <w:r>
              <w:rPr>
                <w:color w:val="000000"/>
                <w:sz w:val="24"/>
                <w:szCs w:val="24"/>
              </w:rPr>
              <w:t>18</w:t>
            </w:r>
            <w:r>
              <w:rPr>
                <w:color w:val="000000"/>
                <w:sz w:val="24"/>
                <w:szCs w:val="24"/>
              </w:rPr>
              <w:t>日担任交银施罗德丰硕收益债券型证券投资基金的基金经理。</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10</w:t>
            </w:r>
            <w:r>
              <w:rPr>
                <w:color w:val="000000"/>
                <w:sz w:val="24"/>
                <w:szCs w:val="24"/>
              </w:rPr>
              <w:t>日至</w:t>
            </w:r>
            <w:r>
              <w:rPr>
                <w:color w:val="000000"/>
                <w:sz w:val="24"/>
                <w:szCs w:val="24"/>
              </w:rPr>
              <w:t>2019</w:t>
            </w:r>
            <w:r>
              <w:rPr>
                <w:color w:val="000000"/>
                <w:sz w:val="24"/>
                <w:szCs w:val="24"/>
              </w:rPr>
              <w:t>年</w:t>
            </w:r>
            <w:r>
              <w:rPr>
                <w:color w:val="000000"/>
                <w:sz w:val="24"/>
                <w:szCs w:val="24"/>
              </w:rPr>
              <w:t>3</w:t>
            </w:r>
            <w:r>
              <w:rPr>
                <w:color w:val="000000"/>
                <w:sz w:val="24"/>
                <w:szCs w:val="24"/>
              </w:rPr>
              <w:t>月</w:t>
            </w:r>
            <w:r>
              <w:rPr>
                <w:color w:val="000000"/>
                <w:sz w:val="24"/>
                <w:szCs w:val="24"/>
              </w:rPr>
              <w:t>14</w:t>
            </w:r>
            <w:r>
              <w:rPr>
                <w:color w:val="000000"/>
                <w:sz w:val="24"/>
                <w:szCs w:val="24"/>
              </w:rPr>
              <w:t>日担任交银施罗德定期支付月月丰债券型证券投资基金、交银施罗德强化回报债券型证券投资基金、交银施罗德增利增强债券型证券投资基金、交银施罗德增强收益债券型证券投资基金、转型前的交银施罗德荣鑫保本混合型证券投资基金、转型前的交银施罗德荣祥保本混合型证券投资基金的基金经理。</w:t>
            </w:r>
          </w:p>
        </w:tc>
      </w:tr>
      <w:tr w:rsidR="007D4186">
        <w:trPr>
          <w:jc w:val="center"/>
        </w:trPr>
        <w:tc>
          <w:tcPr>
            <w:tcW w:w="846" w:type="dxa"/>
            <w:vAlign w:val="center"/>
          </w:tcPr>
          <w:p w:rsidR="007D4186" w:rsidRDefault="00E75E21">
            <w:pPr>
              <w:jc w:val="center"/>
            </w:pPr>
            <w:r>
              <w:rPr>
                <w:color w:val="000000"/>
                <w:sz w:val="24"/>
                <w:szCs w:val="24"/>
              </w:rPr>
              <w:lastRenderedPageBreak/>
              <w:t>魏玉敏</w:t>
            </w:r>
          </w:p>
        </w:tc>
        <w:tc>
          <w:tcPr>
            <w:tcW w:w="845" w:type="dxa"/>
            <w:vAlign w:val="center"/>
          </w:tcPr>
          <w:p w:rsidR="007D4186" w:rsidRDefault="00E75E21">
            <w:pPr>
              <w:jc w:val="center"/>
            </w:pPr>
            <w:r>
              <w:rPr>
                <w:color w:val="000000"/>
                <w:sz w:val="24"/>
                <w:szCs w:val="24"/>
              </w:rPr>
              <w:t>交银增利债券、交银纯债债券发起、交银丰润收益债券、交银增利增强债券、交银丰晟收益债券、交银裕如纯债债券、交银中债</w:t>
            </w:r>
            <w:r>
              <w:rPr>
                <w:color w:val="000000"/>
                <w:sz w:val="24"/>
                <w:szCs w:val="24"/>
              </w:rPr>
              <w:t>1-3</w:t>
            </w:r>
            <w:r>
              <w:rPr>
                <w:color w:val="000000"/>
                <w:sz w:val="24"/>
                <w:szCs w:val="24"/>
              </w:rPr>
              <w:t>年农发债指数、交银可转债债券、交银裕泰两年定期开放债券的基金经理</w:t>
            </w:r>
          </w:p>
        </w:tc>
        <w:tc>
          <w:tcPr>
            <w:tcW w:w="1549" w:type="dxa"/>
            <w:vAlign w:val="center"/>
          </w:tcPr>
          <w:p w:rsidR="007D4186" w:rsidRDefault="00E75E21">
            <w:pPr>
              <w:jc w:val="center"/>
            </w:pPr>
            <w:r>
              <w:rPr>
                <w:color w:val="000000"/>
                <w:sz w:val="24"/>
                <w:szCs w:val="24"/>
              </w:rPr>
              <w:t>2019-12-10</w:t>
            </w:r>
          </w:p>
        </w:tc>
        <w:tc>
          <w:tcPr>
            <w:tcW w:w="1548" w:type="dxa"/>
            <w:vAlign w:val="center"/>
          </w:tcPr>
          <w:p w:rsidR="007D4186" w:rsidRDefault="00E75E21">
            <w:pPr>
              <w:jc w:val="center"/>
            </w:pPr>
            <w:r>
              <w:rPr>
                <w:color w:val="000000"/>
                <w:sz w:val="24"/>
                <w:szCs w:val="24"/>
              </w:rPr>
              <w:t>-</w:t>
            </w:r>
          </w:p>
        </w:tc>
        <w:tc>
          <w:tcPr>
            <w:tcW w:w="1407" w:type="dxa"/>
            <w:vAlign w:val="center"/>
          </w:tcPr>
          <w:p w:rsidR="007D4186" w:rsidRDefault="00E75E21">
            <w:pPr>
              <w:jc w:val="center"/>
            </w:pPr>
            <w:r>
              <w:rPr>
                <w:color w:val="000000"/>
                <w:sz w:val="24"/>
                <w:szCs w:val="24"/>
              </w:rPr>
              <w:t>8</w:t>
            </w:r>
            <w:r>
              <w:rPr>
                <w:color w:val="000000"/>
                <w:sz w:val="24"/>
                <w:szCs w:val="24"/>
              </w:rPr>
              <w:t>年</w:t>
            </w:r>
          </w:p>
        </w:tc>
        <w:tc>
          <w:tcPr>
            <w:tcW w:w="2673" w:type="dxa"/>
            <w:vAlign w:val="center"/>
          </w:tcPr>
          <w:p w:rsidR="007D4186" w:rsidRDefault="00E75E21">
            <w:r>
              <w:rPr>
                <w:color w:val="000000"/>
                <w:sz w:val="24"/>
                <w:szCs w:val="24"/>
              </w:rPr>
              <w:t>魏玉敏女士，厦门大学金融学硕士、学士。</w:t>
            </w:r>
            <w:r>
              <w:rPr>
                <w:color w:val="000000"/>
                <w:sz w:val="24"/>
                <w:szCs w:val="24"/>
              </w:rPr>
              <w:t>2012</w:t>
            </w:r>
            <w:r>
              <w:rPr>
                <w:color w:val="000000"/>
                <w:sz w:val="24"/>
                <w:szCs w:val="24"/>
              </w:rPr>
              <w:t>年至</w:t>
            </w:r>
            <w:r>
              <w:rPr>
                <w:color w:val="000000"/>
                <w:sz w:val="24"/>
                <w:szCs w:val="24"/>
              </w:rPr>
              <w:t>2013</w:t>
            </w:r>
            <w:r>
              <w:rPr>
                <w:color w:val="000000"/>
                <w:sz w:val="24"/>
                <w:szCs w:val="24"/>
              </w:rPr>
              <w:t>年任招商证券固定收益研究员，</w:t>
            </w:r>
            <w:r>
              <w:rPr>
                <w:color w:val="000000"/>
                <w:sz w:val="24"/>
                <w:szCs w:val="24"/>
              </w:rPr>
              <w:t>2013</w:t>
            </w:r>
            <w:r>
              <w:rPr>
                <w:color w:val="000000"/>
                <w:sz w:val="24"/>
                <w:szCs w:val="24"/>
              </w:rPr>
              <w:t>年至</w:t>
            </w:r>
            <w:r>
              <w:rPr>
                <w:color w:val="000000"/>
                <w:sz w:val="24"/>
                <w:szCs w:val="24"/>
              </w:rPr>
              <w:t>2016</w:t>
            </w:r>
            <w:r>
              <w:rPr>
                <w:color w:val="000000"/>
                <w:sz w:val="24"/>
                <w:szCs w:val="24"/>
              </w:rPr>
              <w:t>年任国信证券固定收益高级分析师。</w:t>
            </w:r>
            <w:r>
              <w:rPr>
                <w:color w:val="000000"/>
                <w:sz w:val="24"/>
                <w:szCs w:val="24"/>
              </w:rPr>
              <w:t>2016</w:t>
            </w:r>
            <w:r>
              <w:rPr>
                <w:color w:val="000000"/>
                <w:sz w:val="24"/>
                <w:szCs w:val="24"/>
              </w:rPr>
              <w:t>年加入交银施罗德基金管理有限公司，历任基金经理助理。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7D4186" w:rsidRDefault="00E75E21">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7D4186" w:rsidRDefault="00E75E21">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7D4186" w:rsidRDefault="00E75E21">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7D4186" w:rsidRDefault="00E75E21">
      <w:pPr>
        <w:spacing w:before="29" w:line="288" w:lineRule="auto"/>
        <w:ind w:firstLineChars="200" w:firstLine="480"/>
        <w:rPr>
          <w:color w:val="000000"/>
          <w:sz w:val="24"/>
          <w:szCs w:val="24"/>
        </w:rPr>
      </w:pPr>
      <w:r>
        <w:rPr>
          <w:color w:val="000000"/>
          <w:sz w:val="24"/>
          <w:szCs w:val="24"/>
        </w:rPr>
        <w:t>2020</w:t>
      </w:r>
      <w:r>
        <w:rPr>
          <w:color w:val="000000"/>
          <w:sz w:val="24"/>
          <w:szCs w:val="24"/>
        </w:rPr>
        <w:t>年二季度债券市场经历从牛陡到熊平的大幅波动，四月在应对国内外疫情，货币政策持续宽松的背景下，债券收益率大幅下行，由于资金持续宽松，短端利率下行幅度大于长端，曲线呈现明显陡峭化。进入五月，受到债券供给量增加、出口数据超预期以及海外疫情度过高峰重启复工的影响，债券收益率开启迅速上行，随着国内疫情的控制，货币政策退出非常规宽松操作，货币政策预期随之收紧，短端利率大幅上行，曲线呈现平坦化走熊态势。</w:t>
      </w:r>
    </w:p>
    <w:p w:rsidR="007D4186" w:rsidRDefault="00E75E21">
      <w:pPr>
        <w:spacing w:before="29" w:line="288" w:lineRule="auto"/>
        <w:ind w:firstLineChars="200" w:firstLine="480"/>
        <w:rPr>
          <w:color w:val="000000"/>
          <w:sz w:val="24"/>
          <w:szCs w:val="24"/>
        </w:rPr>
      </w:pPr>
      <w:r>
        <w:rPr>
          <w:color w:val="000000"/>
          <w:sz w:val="24"/>
          <w:szCs w:val="24"/>
        </w:rPr>
        <w:t>报告期内，组合以完成基本仓位配置，以政策性金融债和商业银行债为主要配置品种，组合进行了一定的杠杆配置，通过杠杆操作增厚组合收益。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2020</w:t>
      </w:r>
      <w:r w:rsidRPr="00414345">
        <w:rPr>
          <w:color w:val="000000"/>
          <w:sz w:val="24"/>
          <w:szCs w:val="24"/>
        </w:rPr>
        <w:t>年三季度，国内基本面复苏的节奏和政策的应对将成为影响债券市场的主要因素。短期来看基本面尚难以回到疫情前水平，但环比改善明显，货币政策逐渐从危机模式的宽货币转向总量政策适度的宽信用，经过二季度收益率大幅上行之后，债券资金重定价基本完成，债券市场或维持震荡的走势。操作策略方面，我们关注本基金可配置券种的投资机会，维持一定的杠杆操作，以期提升组合整体静态收益。</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16,023,556,280.11</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98.12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16,023,556,280.11</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98.12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902,857.21</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306,443,514.60</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1.88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16,330,902,651.92</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w:t>
      </w:r>
      <w:r w:rsidR="00E51241">
        <w:rPr>
          <w:b/>
          <w:bCs/>
          <w:color w:val="000000"/>
          <w:kern w:val="0"/>
          <w:sz w:val="24"/>
          <w:szCs w:val="24"/>
        </w:rPr>
        <w:t>摊余成本</w:t>
      </w:r>
      <w:r w:rsidRPr="00414345">
        <w:rPr>
          <w:b/>
          <w:bCs/>
          <w:color w:val="000000"/>
          <w:kern w:val="0"/>
          <w:sz w:val="24"/>
          <w:szCs w:val="24"/>
        </w:rPr>
        <w:t>占基金资产净值比例大小排序的前十名股票投资明细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E51241" w:rsidP="00C15CAC">
            <w:pPr>
              <w:spacing w:before="29" w:line="288" w:lineRule="auto"/>
              <w:ind w:left="17"/>
              <w:jc w:val="center"/>
              <w:rPr>
                <w:color w:val="000000"/>
                <w:sz w:val="24"/>
                <w:szCs w:val="24"/>
              </w:rPr>
            </w:pPr>
            <w:r>
              <w:rPr>
                <w:color w:val="000000"/>
                <w:sz w:val="24"/>
                <w:szCs w:val="24"/>
              </w:rPr>
              <w:t>摊余成本</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16,023,556,280.11</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135.48</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7,906,264,976.72</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66.85</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16,023,556,280.11</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135.48</w:t>
            </w:r>
          </w:p>
        </w:tc>
      </w:tr>
    </w:tbl>
    <w:p w:rsidR="004061AC" w:rsidRDefault="009E6A65" w:rsidP="00C15CAC">
      <w:pPr>
        <w:autoSpaceDE w:val="0"/>
        <w:autoSpaceDN w:val="0"/>
        <w:adjustRightInd w:val="0"/>
        <w:spacing w:before="29" w:line="288" w:lineRule="auto"/>
        <w:jc w:val="left"/>
        <w:rPr>
          <w:color w:val="000000"/>
          <w:kern w:val="0"/>
          <w:sz w:val="24"/>
          <w:szCs w:val="24"/>
        </w:rPr>
      </w:pPr>
      <w:r w:rsidRPr="009E6A65">
        <w:rPr>
          <w:rFonts w:hint="eastAsia"/>
          <w:color w:val="000000"/>
          <w:kern w:val="0"/>
          <w:sz w:val="24"/>
          <w:szCs w:val="24"/>
        </w:rPr>
        <w:t>注：上表中，附息债券的成本包括债券面值和折溢价，贴现式债券的成本包括债券投资成本和内在应收利息。</w:t>
      </w:r>
    </w:p>
    <w:p w:rsidR="009E6A65" w:rsidRPr="00414345" w:rsidRDefault="009E6A65"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w:t>
      </w:r>
      <w:r w:rsidR="00E51241">
        <w:rPr>
          <w:b/>
          <w:bCs/>
          <w:color w:val="000000"/>
          <w:kern w:val="0"/>
          <w:sz w:val="24"/>
          <w:szCs w:val="24"/>
        </w:rPr>
        <w:t>摊余成本</w:t>
      </w:r>
      <w:r w:rsidRPr="00414345">
        <w:rPr>
          <w:b/>
          <w:bCs/>
          <w:color w:val="000000"/>
          <w:kern w:val="0"/>
          <w:sz w:val="24"/>
          <w:szCs w:val="24"/>
        </w:rPr>
        <w:t>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E51241" w:rsidP="00C15CAC">
            <w:pPr>
              <w:spacing w:before="29" w:line="288" w:lineRule="auto"/>
              <w:ind w:left="17"/>
              <w:jc w:val="center"/>
              <w:rPr>
                <w:color w:val="000000"/>
                <w:sz w:val="24"/>
                <w:szCs w:val="24"/>
              </w:rPr>
            </w:pPr>
            <w:r>
              <w:rPr>
                <w:color w:val="000000"/>
                <w:sz w:val="24"/>
                <w:szCs w:val="24"/>
              </w:rPr>
              <w:t>摊余成本</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7D4186">
        <w:trPr>
          <w:jc w:val="center"/>
        </w:trPr>
        <w:tc>
          <w:tcPr>
            <w:tcW w:w="850" w:type="dxa"/>
            <w:vAlign w:val="center"/>
          </w:tcPr>
          <w:p w:rsidR="007D4186" w:rsidRDefault="00E75E21">
            <w:pPr>
              <w:jc w:val="center"/>
            </w:pPr>
            <w:r>
              <w:rPr>
                <w:color w:val="000000"/>
                <w:sz w:val="24"/>
                <w:szCs w:val="24"/>
              </w:rPr>
              <w:t>1</w:t>
            </w:r>
          </w:p>
        </w:tc>
        <w:tc>
          <w:tcPr>
            <w:tcW w:w="1475" w:type="dxa"/>
            <w:vAlign w:val="center"/>
          </w:tcPr>
          <w:p w:rsidR="007D4186" w:rsidRDefault="00E75E21">
            <w:pPr>
              <w:jc w:val="center"/>
            </w:pPr>
            <w:r>
              <w:rPr>
                <w:color w:val="000000"/>
                <w:sz w:val="24"/>
                <w:szCs w:val="24"/>
              </w:rPr>
              <w:t>160218</w:t>
            </w:r>
          </w:p>
        </w:tc>
        <w:tc>
          <w:tcPr>
            <w:tcW w:w="1769" w:type="dxa"/>
            <w:vAlign w:val="center"/>
          </w:tcPr>
          <w:p w:rsidR="007D4186" w:rsidRDefault="00E75E21" w:rsidP="007C022D">
            <w:pPr>
              <w:jc w:val="center"/>
            </w:pPr>
            <w:r>
              <w:rPr>
                <w:color w:val="000000"/>
                <w:sz w:val="24"/>
                <w:szCs w:val="24"/>
              </w:rPr>
              <w:t>16</w:t>
            </w:r>
            <w:r>
              <w:rPr>
                <w:color w:val="000000"/>
                <w:sz w:val="24"/>
                <w:szCs w:val="24"/>
              </w:rPr>
              <w:t>国开</w:t>
            </w:r>
            <w:r>
              <w:rPr>
                <w:color w:val="000000"/>
                <w:sz w:val="24"/>
                <w:szCs w:val="24"/>
              </w:rPr>
              <w:t>18</w:t>
            </w:r>
          </w:p>
        </w:tc>
        <w:tc>
          <w:tcPr>
            <w:tcW w:w="1387" w:type="dxa"/>
            <w:vAlign w:val="center"/>
          </w:tcPr>
          <w:p w:rsidR="007D4186" w:rsidRDefault="00E75E21">
            <w:pPr>
              <w:jc w:val="right"/>
            </w:pPr>
            <w:r>
              <w:rPr>
                <w:color w:val="000000"/>
                <w:sz w:val="24"/>
                <w:szCs w:val="24"/>
              </w:rPr>
              <w:t>24,000,000</w:t>
            </w:r>
          </w:p>
        </w:tc>
        <w:tc>
          <w:tcPr>
            <w:tcW w:w="2150" w:type="dxa"/>
            <w:vAlign w:val="center"/>
          </w:tcPr>
          <w:p w:rsidR="007D4186" w:rsidRDefault="00E75E21">
            <w:pPr>
              <w:jc w:val="right"/>
            </w:pPr>
            <w:r>
              <w:rPr>
                <w:color w:val="000000"/>
                <w:sz w:val="24"/>
                <w:szCs w:val="24"/>
              </w:rPr>
              <w:t>2,432,640,000.00</w:t>
            </w:r>
          </w:p>
        </w:tc>
        <w:tc>
          <w:tcPr>
            <w:tcW w:w="1237" w:type="dxa"/>
            <w:vAlign w:val="center"/>
          </w:tcPr>
          <w:p w:rsidR="007D4186" w:rsidRDefault="00E75E21">
            <w:pPr>
              <w:jc w:val="right"/>
            </w:pPr>
            <w:r>
              <w:rPr>
                <w:color w:val="000000"/>
                <w:sz w:val="24"/>
                <w:szCs w:val="24"/>
              </w:rPr>
              <w:t>20.57</w:t>
            </w:r>
          </w:p>
        </w:tc>
      </w:tr>
      <w:tr w:rsidR="007D4186">
        <w:trPr>
          <w:jc w:val="center"/>
        </w:trPr>
        <w:tc>
          <w:tcPr>
            <w:tcW w:w="850" w:type="dxa"/>
            <w:vAlign w:val="center"/>
          </w:tcPr>
          <w:p w:rsidR="007D4186" w:rsidRDefault="00E75E21">
            <w:pPr>
              <w:jc w:val="center"/>
            </w:pPr>
            <w:r>
              <w:rPr>
                <w:color w:val="000000"/>
                <w:sz w:val="24"/>
                <w:szCs w:val="24"/>
              </w:rPr>
              <w:t>2</w:t>
            </w:r>
          </w:p>
        </w:tc>
        <w:tc>
          <w:tcPr>
            <w:tcW w:w="1475" w:type="dxa"/>
            <w:vAlign w:val="center"/>
          </w:tcPr>
          <w:p w:rsidR="007D4186" w:rsidRDefault="00E75E21">
            <w:pPr>
              <w:jc w:val="center"/>
            </w:pPr>
            <w:r>
              <w:rPr>
                <w:color w:val="000000"/>
                <w:sz w:val="24"/>
                <w:szCs w:val="24"/>
              </w:rPr>
              <w:t>180412</w:t>
            </w:r>
          </w:p>
        </w:tc>
        <w:tc>
          <w:tcPr>
            <w:tcW w:w="1769" w:type="dxa"/>
            <w:vAlign w:val="center"/>
          </w:tcPr>
          <w:p w:rsidR="007D4186" w:rsidRDefault="00E75E21" w:rsidP="007C022D">
            <w:pPr>
              <w:jc w:val="center"/>
            </w:pPr>
            <w:r>
              <w:rPr>
                <w:color w:val="000000"/>
                <w:sz w:val="24"/>
                <w:szCs w:val="24"/>
              </w:rPr>
              <w:t>18</w:t>
            </w:r>
            <w:r>
              <w:rPr>
                <w:color w:val="000000"/>
                <w:sz w:val="24"/>
                <w:szCs w:val="24"/>
              </w:rPr>
              <w:t>农发</w:t>
            </w:r>
            <w:r>
              <w:rPr>
                <w:color w:val="000000"/>
                <w:sz w:val="24"/>
                <w:szCs w:val="24"/>
              </w:rPr>
              <w:t>12</w:t>
            </w:r>
          </w:p>
        </w:tc>
        <w:tc>
          <w:tcPr>
            <w:tcW w:w="1387" w:type="dxa"/>
            <w:vAlign w:val="center"/>
          </w:tcPr>
          <w:p w:rsidR="007D4186" w:rsidRDefault="00E75E21">
            <w:pPr>
              <w:jc w:val="right"/>
            </w:pPr>
            <w:r>
              <w:rPr>
                <w:color w:val="000000"/>
                <w:sz w:val="24"/>
                <w:szCs w:val="24"/>
              </w:rPr>
              <w:t>17,800,000</w:t>
            </w:r>
          </w:p>
        </w:tc>
        <w:tc>
          <w:tcPr>
            <w:tcW w:w="2150" w:type="dxa"/>
            <w:vAlign w:val="center"/>
          </w:tcPr>
          <w:p w:rsidR="007D4186" w:rsidRDefault="00E75E21">
            <w:pPr>
              <w:jc w:val="right"/>
            </w:pPr>
            <w:r>
              <w:rPr>
                <w:color w:val="000000"/>
                <w:sz w:val="24"/>
                <w:szCs w:val="24"/>
              </w:rPr>
              <w:t>1,801,538,000.00</w:t>
            </w:r>
          </w:p>
        </w:tc>
        <w:tc>
          <w:tcPr>
            <w:tcW w:w="1237" w:type="dxa"/>
            <w:vAlign w:val="center"/>
          </w:tcPr>
          <w:p w:rsidR="007D4186" w:rsidRDefault="00E75E21">
            <w:pPr>
              <w:jc w:val="right"/>
            </w:pPr>
            <w:r>
              <w:rPr>
                <w:color w:val="000000"/>
                <w:sz w:val="24"/>
                <w:szCs w:val="24"/>
              </w:rPr>
              <w:t>15.23</w:t>
            </w:r>
          </w:p>
        </w:tc>
      </w:tr>
      <w:tr w:rsidR="007D4186">
        <w:trPr>
          <w:jc w:val="center"/>
        </w:trPr>
        <w:tc>
          <w:tcPr>
            <w:tcW w:w="850" w:type="dxa"/>
            <w:vAlign w:val="center"/>
          </w:tcPr>
          <w:p w:rsidR="007D4186" w:rsidRDefault="00E75E21">
            <w:pPr>
              <w:jc w:val="center"/>
            </w:pPr>
            <w:r>
              <w:rPr>
                <w:color w:val="000000"/>
                <w:sz w:val="24"/>
                <w:szCs w:val="24"/>
              </w:rPr>
              <w:t>3</w:t>
            </w:r>
          </w:p>
        </w:tc>
        <w:tc>
          <w:tcPr>
            <w:tcW w:w="1475" w:type="dxa"/>
            <w:vAlign w:val="center"/>
          </w:tcPr>
          <w:p w:rsidR="007D4186" w:rsidRDefault="00E75E21">
            <w:pPr>
              <w:jc w:val="center"/>
            </w:pPr>
            <w:r>
              <w:rPr>
                <w:color w:val="000000"/>
                <w:sz w:val="24"/>
                <w:szCs w:val="24"/>
              </w:rPr>
              <w:t>1828004</w:t>
            </w:r>
          </w:p>
        </w:tc>
        <w:tc>
          <w:tcPr>
            <w:tcW w:w="1769" w:type="dxa"/>
            <w:vAlign w:val="center"/>
          </w:tcPr>
          <w:p w:rsidR="007D4186" w:rsidRDefault="00E75E21" w:rsidP="007C022D">
            <w:pPr>
              <w:jc w:val="center"/>
            </w:pPr>
            <w:r>
              <w:rPr>
                <w:color w:val="000000"/>
                <w:sz w:val="24"/>
                <w:szCs w:val="24"/>
              </w:rPr>
              <w:t>18</w:t>
            </w:r>
            <w:r>
              <w:rPr>
                <w:color w:val="000000"/>
                <w:sz w:val="24"/>
                <w:szCs w:val="24"/>
              </w:rPr>
              <w:t>招商银行</w:t>
            </w:r>
            <w:r>
              <w:rPr>
                <w:color w:val="000000"/>
                <w:sz w:val="24"/>
                <w:szCs w:val="24"/>
              </w:rPr>
              <w:t>01</w:t>
            </w:r>
          </w:p>
        </w:tc>
        <w:tc>
          <w:tcPr>
            <w:tcW w:w="1387" w:type="dxa"/>
            <w:vAlign w:val="center"/>
          </w:tcPr>
          <w:p w:rsidR="007D4186" w:rsidRDefault="00E75E21">
            <w:pPr>
              <w:jc w:val="right"/>
            </w:pPr>
            <w:r>
              <w:rPr>
                <w:color w:val="000000"/>
                <w:sz w:val="24"/>
                <w:szCs w:val="24"/>
              </w:rPr>
              <w:t>11,400,000</w:t>
            </w:r>
          </w:p>
        </w:tc>
        <w:tc>
          <w:tcPr>
            <w:tcW w:w="2150" w:type="dxa"/>
            <w:vAlign w:val="center"/>
          </w:tcPr>
          <w:p w:rsidR="007D4186" w:rsidRDefault="00E75E21">
            <w:pPr>
              <w:jc w:val="right"/>
            </w:pPr>
            <w:r>
              <w:rPr>
                <w:color w:val="000000"/>
                <w:sz w:val="24"/>
                <w:szCs w:val="24"/>
              </w:rPr>
              <w:t>1,164,966,000.00</w:t>
            </w:r>
          </w:p>
        </w:tc>
        <w:tc>
          <w:tcPr>
            <w:tcW w:w="1237" w:type="dxa"/>
            <w:vAlign w:val="center"/>
          </w:tcPr>
          <w:p w:rsidR="007D4186" w:rsidRDefault="00E75E21">
            <w:pPr>
              <w:jc w:val="right"/>
            </w:pPr>
            <w:r>
              <w:rPr>
                <w:color w:val="000000"/>
                <w:sz w:val="24"/>
                <w:szCs w:val="24"/>
              </w:rPr>
              <w:t>9.85</w:t>
            </w:r>
          </w:p>
        </w:tc>
      </w:tr>
      <w:tr w:rsidR="007D4186">
        <w:trPr>
          <w:jc w:val="center"/>
        </w:trPr>
        <w:tc>
          <w:tcPr>
            <w:tcW w:w="850" w:type="dxa"/>
            <w:vAlign w:val="center"/>
          </w:tcPr>
          <w:p w:rsidR="007D4186" w:rsidRDefault="00E75E21">
            <w:pPr>
              <w:jc w:val="center"/>
            </w:pPr>
            <w:r>
              <w:rPr>
                <w:color w:val="000000"/>
                <w:sz w:val="24"/>
                <w:szCs w:val="24"/>
              </w:rPr>
              <w:t>4</w:t>
            </w:r>
          </w:p>
        </w:tc>
        <w:tc>
          <w:tcPr>
            <w:tcW w:w="1475" w:type="dxa"/>
            <w:vAlign w:val="center"/>
          </w:tcPr>
          <w:p w:rsidR="007D4186" w:rsidRDefault="00E75E21">
            <w:pPr>
              <w:jc w:val="center"/>
            </w:pPr>
            <w:r>
              <w:rPr>
                <w:color w:val="000000"/>
                <w:sz w:val="24"/>
                <w:szCs w:val="24"/>
              </w:rPr>
              <w:t>1828016</w:t>
            </w:r>
          </w:p>
        </w:tc>
        <w:tc>
          <w:tcPr>
            <w:tcW w:w="1769" w:type="dxa"/>
            <w:vAlign w:val="center"/>
          </w:tcPr>
          <w:p w:rsidR="007D4186" w:rsidRDefault="00E75E21" w:rsidP="007C022D">
            <w:pPr>
              <w:jc w:val="center"/>
            </w:pPr>
            <w:r>
              <w:rPr>
                <w:color w:val="000000"/>
                <w:sz w:val="24"/>
                <w:szCs w:val="24"/>
              </w:rPr>
              <w:t>18</w:t>
            </w:r>
            <w:r>
              <w:rPr>
                <w:color w:val="000000"/>
                <w:sz w:val="24"/>
                <w:szCs w:val="24"/>
              </w:rPr>
              <w:t>民生银行</w:t>
            </w:r>
            <w:r>
              <w:rPr>
                <w:color w:val="000000"/>
                <w:sz w:val="24"/>
                <w:szCs w:val="24"/>
              </w:rPr>
              <w:t>01</w:t>
            </w:r>
          </w:p>
        </w:tc>
        <w:tc>
          <w:tcPr>
            <w:tcW w:w="1387" w:type="dxa"/>
            <w:vAlign w:val="center"/>
          </w:tcPr>
          <w:p w:rsidR="007D4186" w:rsidRDefault="00E75E21">
            <w:pPr>
              <w:jc w:val="right"/>
            </w:pPr>
            <w:r>
              <w:rPr>
                <w:color w:val="000000"/>
                <w:sz w:val="24"/>
                <w:szCs w:val="24"/>
              </w:rPr>
              <w:t>11,000,000</w:t>
            </w:r>
          </w:p>
        </w:tc>
        <w:tc>
          <w:tcPr>
            <w:tcW w:w="2150" w:type="dxa"/>
            <w:vAlign w:val="center"/>
          </w:tcPr>
          <w:p w:rsidR="007D4186" w:rsidRDefault="00E75E21">
            <w:pPr>
              <w:jc w:val="right"/>
            </w:pPr>
            <w:r>
              <w:rPr>
                <w:color w:val="000000"/>
                <w:sz w:val="24"/>
                <w:szCs w:val="24"/>
              </w:rPr>
              <w:t>1,122,550,000.00</w:t>
            </w:r>
          </w:p>
        </w:tc>
        <w:tc>
          <w:tcPr>
            <w:tcW w:w="1237" w:type="dxa"/>
            <w:vAlign w:val="center"/>
          </w:tcPr>
          <w:p w:rsidR="007D4186" w:rsidRDefault="00E75E21">
            <w:pPr>
              <w:jc w:val="right"/>
            </w:pPr>
            <w:r>
              <w:rPr>
                <w:color w:val="000000"/>
                <w:sz w:val="24"/>
                <w:szCs w:val="24"/>
              </w:rPr>
              <w:t>9.49</w:t>
            </w:r>
          </w:p>
        </w:tc>
      </w:tr>
      <w:tr w:rsidR="007D4186">
        <w:trPr>
          <w:jc w:val="center"/>
        </w:trPr>
        <w:tc>
          <w:tcPr>
            <w:tcW w:w="850" w:type="dxa"/>
            <w:vAlign w:val="center"/>
          </w:tcPr>
          <w:p w:rsidR="007D4186" w:rsidRDefault="00E75E21">
            <w:pPr>
              <w:jc w:val="center"/>
            </w:pPr>
            <w:r>
              <w:rPr>
                <w:color w:val="000000"/>
                <w:sz w:val="24"/>
                <w:szCs w:val="24"/>
              </w:rPr>
              <w:t>5</w:t>
            </w:r>
          </w:p>
        </w:tc>
        <w:tc>
          <w:tcPr>
            <w:tcW w:w="1475" w:type="dxa"/>
            <w:vAlign w:val="center"/>
          </w:tcPr>
          <w:p w:rsidR="007D4186" w:rsidRDefault="00E75E21">
            <w:pPr>
              <w:jc w:val="center"/>
            </w:pPr>
            <w:r>
              <w:rPr>
                <w:color w:val="000000"/>
                <w:sz w:val="24"/>
                <w:szCs w:val="24"/>
              </w:rPr>
              <w:t>1928035</w:t>
            </w:r>
          </w:p>
        </w:tc>
        <w:tc>
          <w:tcPr>
            <w:tcW w:w="1769" w:type="dxa"/>
            <w:vAlign w:val="center"/>
          </w:tcPr>
          <w:p w:rsidR="007D4186" w:rsidRDefault="00E75E21" w:rsidP="007C022D">
            <w:pPr>
              <w:jc w:val="center"/>
            </w:pPr>
            <w:r>
              <w:rPr>
                <w:color w:val="000000"/>
                <w:sz w:val="24"/>
                <w:szCs w:val="24"/>
              </w:rPr>
              <w:t>19</w:t>
            </w:r>
            <w:r>
              <w:rPr>
                <w:color w:val="000000"/>
                <w:sz w:val="24"/>
                <w:szCs w:val="24"/>
              </w:rPr>
              <w:t>中国银行小微债</w:t>
            </w:r>
            <w:r>
              <w:rPr>
                <w:color w:val="000000"/>
                <w:sz w:val="24"/>
                <w:szCs w:val="24"/>
              </w:rPr>
              <w:t>01</w:t>
            </w:r>
            <w:bookmarkStart w:id="0" w:name="_GoBack"/>
            <w:bookmarkEnd w:id="0"/>
          </w:p>
        </w:tc>
        <w:tc>
          <w:tcPr>
            <w:tcW w:w="1387" w:type="dxa"/>
            <w:vAlign w:val="center"/>
          </w:tcPr>
          <w:p w:rsidR="007D4186" w:rsidRDefault="00E75E21">
            <w:pPr>
              <w:jc w:val="right"/>
            </w:pPr>
            <w:r>
              <w:rPr>
                <w:color w:val="000000"/>
                <w:sz w:val="24"/>
                <w:szCs w:val="24"/>
              </w:rPr>
              <w:t>11,000,000</w:t>
            </w:r>
          </w:p>
        </w:tc>
        <w:tc>
          <w:tcPr>
            <w:tcW w:w="2150" w:type="dxa"/>
            <w:vAlign w:val="center"/>
          </w:tcPr>
          <w:p w:rsidR="007D4186" w:rsidRDefault="00E75E21">
            <w:pPr>
              <w:jc w:val="right"/>
            </w:pPr>
            <w:r>
              <w:rPr>
                <w:color w:val="000000"/>
                <w:sz w:val="24"/>
                <w:szCs w:val="24"/>
              </w:rPr>
              <w:t>1,113,750,000.00</w:t>
            </w:r>
          </w:p>
        </w:tc>
        <w:tc>
          <w:tcPr>
            <w:tcW w:w="1237" w:type="dxa"/>
            <w:vAlign w:val="center"/>
          </w:tcPr>
          <w:p w:rsidR="007D4186" w:rsidRDefault="00E75E21">
            <w:pPr>
              <w:jc w:val="right"/>
            </w:pPr>
            <w:r>
              <w:rPr>
                <w:color w:val="000000"/>
                <w:sz w:val="24"/>
                <w:szCs w:val="24"/>
              </w:rPr>
              <w:t>9.42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w:t>
      </w:r>
      <w:r w:rsidR="00E51241">
        <w:rPr>
          <w:b/>
          <w:bCs/>
          <w:color w:val="000000"/>
          <w:kern w:val="0"/>
          <w:sz w:val="24"/>
          <w:szCs w:val="24"/>
        </w:rPr>
        <w:t>摊余成本</w:t>
      </w:r>
      <w:r w:rsidRPr="00414345">
        <w:rPr>
          <w:b/>
          <w:bCs/>
          <w:color w:val="000000"/>
          <w:kern w:val="0"/>
          <w:sz w:val="24"/>
          <w:szCs w:val="24"/>
        </w:rPr>
        <w:t>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w:t>
      </w:r>
      <w:r w:rsidR="00E51241" w:rsidRPr="00414345">
        <w:rPr>
          <w:b/>
          <w:bCs/>
          <w:color w:val="000000"/>
          <w:kern w:val="0"/>
          <w:sz w:val="24"/>
          <w:szCs w:val="24"/>
        </w:rPr>
        <w:t>公允价值</w:t>
      </w:r>
      <w:r w:rsidRPr="00414345">
        <w:rPr>
          <w:rFonts w:hAnsi="宋体"/>
          <w:b/>
          <w:bCs/>
          <w:color w:val="000000"/>
          <w:kern w:val="0"/>
          <w:sz w:val="24"/>
          <w:szCs w:val="24"/>
        </w:rPr>
        <w:t>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41,758.68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306,401,755.92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306,443,514.60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11,650,253,428.57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11,650,253,428.57</w:t>
            </w:r>
          </w:p>
        </w:tc>
      </w:tr>
    </w:tbl>
    <w:p w:rsidR="007D4186" w:rsidRDefault="00E75E21">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7D4186" w:rsidRDefault="00E75E21">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、中国证监会准予交银施罗德裕泰两年定期开放债券型证券投资基金募集注册的文件；</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2</w:t>
      </w:r>
      <w:r>
        <w:rPr>
          <w:color w:val="000000"/>
          <w:sz w:val="24"/>
          <w:szCs w:val="24"/>
        </w:rPr>
        <w:t>、《交银施罗德裕泰两年定期开放债券型证券投资基金基金合同》；</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、《交银施罗德裕泰两年定期开放债券型证券投资基金招募说明书》；</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、《交银施罗德裕泰两年定期开放债券型证券投资基金托管协议》；</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、关于申请募集注册交银施罗德裕泰两年定期开放债券型证券投资基金的法律意见书；</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7D4186" w:rsidRDefault="00E75E21">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、报告期内交银施罗德裕泰两年定期开放债券型证券投资基金在指定报刊上各项公告的原稿。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7D4186" w:rsidRDefault="00E75E21">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E21" w:rsidRDefault="00E75E21" w:rsidP="00876D65">
      <w:r>
        <w:separator/>
      </w:r>
    </w:p>
  </w:endnote>
  <w:endnote w:type="continuationSeparator" w:id="0">
    <w:p w:rsidR="00E75E21" w:rsidRDefault="00E75E2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7C022D">
      <w:rPr>
        <w:noProof/>
        <w:kern w:val="0"/>
        <w:szCs w:val="21"/>
      </w:rPr>
      <w:t>11</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7C022D">
      <w:rPr>
        <w:noProof/>
        <w:kern w:val="0"/>
        <w:szCs w:val="21"/>
      </w:rPr>
      <w:t>13</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E21" w:rsidRDefault="00E75E21" w:rsidP="00876D65">
      <w:r>
        <w:separator/>
      </w:r>
    </w:p>
  </w:footnote>
  <w:footnote w:type="continuationSeparator" w:id="0">
    <w:p w:rsidR="00E75E21" w:rsidRDefault="00E75E21"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交银施罗德裕泰两年定期开放债券型证券投资基金</w:t>
    </w:r>
    <w:r w:rsidRPr="003E676C">
      <w:rPr>
        <w:sz w:val="24"/>
        <w:szCs w:val="24"/>
      </w:rPr>
      <w:t>2020</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022D"/>
    <w:rsid w:val="007C395A"/>
    <w:rsid w:val="007C5862"/>
    <w:rsid w:val="007D0922"/>
    <w:rsid w:val="007D100C"/>
    <w:rsid w:val="007D4186"/>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6A65"/>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1241"/>
    <w:rsid w:val="00E52DBC"/>
    <w:rsid w:val="00E54301"/>
    <w:rsid w:val="00E54BF5"/>
    <w:rsid w:val="00E554A1"/>
    <w:rsid w:val="00E55ABD"/>
    <w:rsid w:val="00E60817"/>
    <w:rsid w:val="00E609C6"/>
    <w:rsid w:val="00E62DE5"/>
    <w:rsid w:val="00E705CC"/>
    <w:rsid w:val="00E75E21"/>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7457-FD5C-4CE6-9B66-161C8AD5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13</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黄莹</cp:lastModifiedBy>
  <cp:revision>603</cp:revision>
  <dcterms:created xsi:type="dcterms:W3CDTF">2012-10-16T06:07:00Z</dcterms:created>
  <dcterms:modified xsi:type="dcterms:W3CDTF">2020-07-14T11:42:00Z</dcterms:modified>
</cp:coreProperties>
</file>