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2008年3月31日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1,403,773,535.76</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519680</w:t>
            </w:r>
            <w:r w:rsidRPr="007F52FA">
              <w:rPr>
                <w:color w:themeColor="text1" w:val="000000"/>
                <w:sz w:val="24"/>
              </w:rPr>
              <w:t>（前端）、</w:t>
            </w:r>
            <w:r w:rsidRPr="007F52FA">
              <w:rPr>
                <w:color w:themeColor="text1" w:val="000000"/>
                <w:sz w:val="24"/>
              </w:rPr>
              <w:t>519681</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519682</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957,794,082.97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445,979,452.79</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5,892,496.88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2,628,895.84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2,642,835.38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1,630,580.19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0.0027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0.0032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962,497,229.90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447,751,675.13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1.0049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1.0040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0.35%</w:t>
            </w:r>
          </w:p>
        </w:tc>
        <w:tc>
          <w:tcPr>
            <w:vAlign w:val="center"/>
          </w:tcPr>
          <w:p>
            <w:pPr>
              <w:jc w:val="center"/>
            </w:pPr>
            <w:r>
              <w:rPr>
                <w:color w:val="000000"/>
                <w:sz w:val="24"/>
              </w:rPr>
              <w:t>0.12%</w:t>
            </w:r>
          </w:p>
        </w:tc>
        <w:tc>
          <w:tcPr>
            <w:vAlign w:val="center"/>
          </w:tcPr>
          <w:p>
            <w:pPr>
              <w:jc w:val="center"/>
            </w:pPr>
            <w:r>
              <w:rPr>
                <w:color w:val="000000"/>
                <w:sz w:val="24"/>
              </w:rPr>
              <w:t>-1.14%</w:t>
            </w:r>
          </w:p>
        </w:tc>
        <w:tc>
          <w:tcPr>
            <w:vAlign w:val="center"/>
          </w:tcPr>
          <w:p>
            <w:pPr>
              <w:jc w:val="center"/>
            </w:pPr>
            <w:r>
              <w:rPr>
                <w:color w:val="000000"/>
                <w:sz w:val="24"/>
              </w:rPr>
              <w:t>0.07%</w:t>
            </w:r>
          </w:p>
        </w:tc>
        <w:tc>
          <w:tcPr>
            <w:vAlign w:val="center"/>
          </w:tcPr>
          <w:p>
            <w:pPr>
              <w:jc w:val="center"/>
            </w:pPr>
            <w:r>
              <w:rPr>
                <w:color w:val="000000"/>
                <w:sz w:val="24"/>
              </w:rPr>
              <w:t>1.49%</w:t>
            </w:r>
          </w:p>
        </w:tc>
        <w:tc>
          <w:tcPr>
            <w:vAlign w:val="center"/>
          </w:tcPr>
          <w:p>
            <w:pPr>
              <w:jc w:val="center"/>
            </w:pPr>
            <w:r>
              <w:rPr>
                <w:color w:val="000000"/>
                <w:sz w:val="24"/>
              </w:rPr>
              <w:t>0.05%</w:t>
            </w:r>
          </w:p>
        </w:tc>
      </w:tr>
      <w:tr>
        <w:tc>
          <w:tcPr>
            <w:vAlign w:val="center"/>
          </w:tcPr>
          <w:p>
            <w:pPr>
              <w:jc w:val="left"/>
            </w:pPr>
            <w:r>
              <w:rPr>
                <w:color w:val="000000"/>
                <w:sz w:val="24"/>
              </w:rPr>
              <w:t>过去六个月</w:t>
            </w:r>
          </w:p>
        </w:tc>
        <w:tc>
          <w:tcPr>
            <w:vAlign w:val="center"/>
          </w:tcPr>
          <w:p>
            <w:pPr>
              <w:jc w:val="center"/>
            </w:pPr>
            <w:r>
              <w:rPr>
                <w:color w:val="000000"/>
                <w:sz w:val="24"/>
              </w:rPr>
              <w:t>1.75%</w:t>
            </w:r>
          </w:p>
        </w:tc>
        <w:tc>
          <w:tcPr>
            <w:vAlign w:val="center"/>
          </w:tcPr>
          <w:p>
            <w:pPr>
              <w:jc w:val="center"/>
            </w:pPr>
            <w:r>
              <w:rPr>
                <w:color w:val="000000"/>
                <w:sz w:val="24"/>
              </w:rPr>
              <w:t>0.16%</w:t>
            </w:r>
          </w:p>
        </w:tc>
        <w:tc>
          <w:tcPr>
            <w:vAlign w:val="center"/>
          </w:tcPr>
          <w:p>
            <w:pPr>
              <w:jc w:val="center"/>
            </w:pPr>
            <w:r>
              <w:rPr>
                <w:color w:val="000000"/>
                <w:sz w:val="24"/>
              </w:rPr>
              <w:t>-0.12%</w:t>
            </w:r>
          </w:p>
        </w:tc>
        <w:tc>
          <w:tcPr>
            <w:vAlign w:val="center"/>
          </w:tcPr>
          <w:p>
            <w:pPr>
              <w:jc w:val="center"/>
            </w:pPr>
            <w:r>
              <w:rPr>
                <w:color w:val="000000"/>
                <w:sz w:val="24"/>
              </w:rPr>
              <w:t>0.07%</w:t>
            </w:r>
          </w:p>
        </w:tc>
        <w:tc>
          <w:tcPr>
            <w:vAlign w:val="center"/>
          </w:tcPr>
          <w:p>
            <w:pPr>
              <w:jc w:val="center"/>
            </w:pPr>
            <w:r>
              <w:rPr>
                <w:color w:val="000000"/>
                <w:sz w:val="24"/>
              </w:rPr>
              <w:t>1.87%</w:t>
            </w:r>
          </w:p>
        </w:tc>
        <w:tc>
          <w:tcPr>
            <w:vAlign w:val="center"/>
          </w:tcPr>
          <w:p>
            <w:pPr>
              <w:jc w:val="center"/>
            </w:pPr>
            <w:r>
              <w:rPr>
                <w:color w:val="000000"/>
                <w:sz w:val="24"/>
              </w:rPr>
              <w:t>0.09%</w:t>
            </w:r>
          </w:p>
        </w:tc>
      </w:tr>
      <w:tr>
        <w:tc>
          <w:tcPr>
            <w:vAlign w:val="center"/>
          </w:tcPr>
          <w:p>
            <w:pPr>
              <w:jc w:val="left"/>
            </w:pPr>
            <w:r>
              <w:rPr>
                <w:color w:val="000000"/>
                <w:sz w:val="24"/>
              </w:rPr>
              <w:t>过去一年</w:t>
            </w:r>
          </w:p>
        </w:tc>
        <w:tc>
          <w:tcPr>
            <w:vAlign w:val="center"/>
          </w:tcPr>
          <w:p>
            <w:pPr>
              <w:jc w:val="center"/>
            </w:pPr>
            <w:r>
              <w:rPr>
                <w:color w:val="000000"/>
                <w:sz w:val="24"/>
              </w:rPr>
              <w:t>5.35%</w:t>
            </w:r>
          </w:p>
        </w:tc>
        <w:tc>
          <w:tcPr>
            <w:vAlign w:val="center"/>
          </w:tcPr>
          <w:p>
            <w:pPr>
              <w:jc w:val="center"/>
            </w:pPr>
            <w:r>
              <w:rPr>
                <w:color w:val="000000"/>
                <w:sz w:val="24"/>
              </w:rPr>
              <w:t>0.12%</w:t>
            </w:r>
          </w:p>
        </w:tc>
        <w:tc>
          <w:tcPr>
            <w:vAlign w:val="center"/>
          </w:tcPr>
          <w:p>
            <w:pPr>
              <w:jc w:val="center"/>
            </w:pPr>
            <w:r>
              <w:rPr>
                <w:color w:val="000000"/>
                <w:sz w:val="24"/>
              </w:rPr>
              <w:t>0.54%</w:t>
            </w:r>
          </w:p>
        </w:tc>
        <w:tc>
          <w:tcPr>
            <w:vAlign w:val="center"/>
          </w:tcPr>
          <w:p>
            <w:pPr>
              <w:jc w:val="center"/>
            </w:pPr>
            <w:r>
              <w:rPr>
                <w:color w:val="000000"/>
                <w:sz w:val="24"/>
              </w:rPr>
              <w:t>0.05%</w:t>
            </w:r>
          </w:p>
        </w:tc>
        <w:tc>
          <w:tcPr>
            <w:vAlign w:val="center"/>
          </w:tcPr>
          <w:p>
            <w:pPr>
              <w:jc w:val="center"/>
            </w:pPr>
            <w:r>
              <w:rPr>
                <w:color w:val="000000"/>
                <w:sz w:val="24"/>
              </w:rPr>
              <w:t>4.81%</w:t>
            </w:r>
          </w:p>
        </w:tc>
        <w:tc>
          <w:tcPr>
            <w:vAlign w:val="center"/>
          </w:tcPr>
          <w:p>
            <w:pPr>
              <w:jc w:val="center"/>
            </w:pPr>
            <w:r>
              <w:rPr>
                <w:color w:val="000000"/>
                <w:sz w:val="24"/>
              </w:rPr>
              <w:t>0.07%</w:t>
            </w:r>
          </w:p>
        </w:tc>
      </w:tr>
      <w:tr>
        <w:tc>
          <w:tcPr>
            <w:vAlign w:val="center"/>
          </w:tcPr>
          <w:p>
            <w:pPr>
              <w:jc w:val="left"/>
            </w:pPr>
            <w:r>
              <w:rPr>
                <w:color w:val="000000"/>
                <w:sz w:val="24"/>
              </w:rPr>
              <w:t>过去三年</w:t>
            </w:r>
          </w:p>
        </w:tc>
        <w:tc>
          <w:tcPr>
            <w:vAlign w:val="center"/>
          </w:tcPr>
          <w:p>
            <w:pPr>
              <w:jc w:val="center"/>
            </w:pPr>
            <w:r>
              <w:rPr>
                <w:color w:val="000000"/>
                <w:sz w:val="24"/>
              </w:rPr>
              <w:t>16.97%</w:t>
            </w:r>
          </w:p>
        </w:tc>
        <w:tc>
          <w:tcPr>
            <w:vAlign w:val="center"/>
          </w:tcPr>
          <w:p>
            <w:pPr>
              <w:jc w:val="center"/>
            </w:pPr>
            <w:r>
              <w:rPr>
                <w:color w:val="000000"/>
                <w:sz w:val="24"/>
              </w:rPr>
              <w:t>0.11%</w:t>
            </w:r>
          </w:p>
        </w:tc>
        <w:tc>
          <w:tcPr>
            <w:vAlign w:val="center"/>
          </w:tcPr>
          <w:p>
            <w:pPr>
              <w:jc w:val="center"/>
            </w:pPr>
            <w:r>
              <w:rPr>
                <w:color w:val="000000"/>
                <w:sz w:val="24"/>
              </w:rPr>
              <w:t>0.02%</w:t>
            </w:r>
          </w:p>
        </w:tc>
        <w:tc>
          <w:tcPr>
            <w:vAlign w:val="center"/>
          </w:tcPr>
          <w:p>
            <w:pPr>
              <w:jc w:val="center"/>
            </w:pPr>
            <w:r>
              <w:rPr>
                <w:color w:val="000000"/>
                <w:sz w:val="24"/>
              </w:rPr>
              <w:t>0.05%</w:t>
            </w:r>
          </w:p>
        </w:tc>
        <w:tc>
          <w:tcPr>
            <w:vAlign w:val="center"/>
          </w:tcPr>
          <w:p>
            <w:pPr>
              <w:jc w:val="center"/>
            </w:pPr>
            <w:r>
              <w:rPr>
                <w:color w:val="000000"/>
                <w:sz w:val="24"/>
              </w:rPr>
              <w:t>16.95%</w:t>
            </w:r>
          </w:p>
        </w:tc>
        <w:tc>
          <w:tcPr>
            <w:vAlign w:val="center"/>
          </w:tcPr>
          <w:p>
            <w:pPr>
              <w:jc w:val="center"/>
            </w:pPr>
            <w:r>
              <w:rPr>
                <w:color w:val="000000"/>
                <w:sz w:val="24"/>
              </w:rPr>
              <w:t>0.06%</w:t>
            </w:r>
          </w:p>
        </w:tc>
      </w:tr>
      <w:tr>
        <w:tc>
          <w:tcPr>
            <w:vAlign w:val="center"/>
          </w:tcPr>
          <w:p>
            <w:pPr>
              <w:jc w:val="left"/>
            </w:pPr>
            <w:r>
              <w:rPr>
                <w:color w:val="000000"/>
                <w:sz w:val="24"/>
              </w:rPr>
              <w:t>过去五年</w:t>
            </w:r>
          </w:p>
        </w:tc>
        <w:tc>
          <w:tcPr>
            <w:vAlign w:val="center"/>
          </w:tcPr>
          <w:p>
            <w:pPr>
              <w:jc w:val="center"/>
            </w:pPr>
            <w:r>
              <w:rPr>
                <w:color w:val="000000"/>
                <w:sz w:val="24"/>
              </w:rPr>
              <w:t>20.24%</w:t>
            </w:r>
          </w:p>
        </w:tc>
        <w:tc>
          <w:tcPr>
            <w:vAlign w:val="center"/>
          </w:tcPr>
          <w:p>
            <w:pPr>
              <w:jc w:val="center"/>
            </w:pPr>
            <w:r>
              <w:rPr>
                <w:color w:val="000000"/>
                <w:sz w:val="24"/>
              </w:rPr>
              <w:t>0.10%</w:t>
            </w:r>
          </w:p>
        </w:tc>
        <w:tc>
          <w:tcPr>
            <w:vAlign w:val="center"/>
          </w:tcPr>
          <w:p>
            <w:pPr>
              <w:jc w:val="center"/>
            </w:pPr>
            <w:r>
              <w:rPr>
                <w:color w:val="000000"/>
                <w:sz w:val="24"/>
              </w:rPr>
              <w:t>-12.92%</w:t>
            </w:r>
          </w:p>
        </w:tc>
        <w:tc>
          <w:tcPr>
            <w:vAlign w:val="center"/>
          </w:tcPr>
          <w:p>
            <w:pPr>
              <w:jc w:val="center"/>
            </w:pPr>
            <w:r>
              <w:rPr>
                <w:color w:val="000000"/>
                <w:sz w:val="24"/>
              </w:rPr>
              <w:t>0.08%</w:t>
            </w:r>
          </w:p>
        </w:tc>
        <w:tc>
          <w:tcPr>
            <w:vAlign w:val="center"/>
          </w:tcPr>
          <w:p>
            <w:pPr>
              <w:jc w:val="center"/>
            </w:pPr>
            <w:r>
              <w:rPr>
                <w:color w:val="000000"/>
                <w:sz w:val="24"/>
              </w:rPr>
              <w:t>33.16%</w:t>
            </w:r>
          </w:p>
        </w:tc>
        <w:tc>
          <w:tcPr>
            <w:vAlign w:val="center"/>
          </w:tcPr>
          <w:p>
            <w:pPr>
              <w:jc w:val="center"/>
            </w:pPr>
            <w:r>
              <w:rPr>
                <w:color w:val="000000"/>
                <w:sz w:val="24"/>
              </w:rPr>
              <w:t>0.02%</w:t>
            </w:r>
          </w:p>
        </w:tc>
      </w:tr>
      <w:tr>
        <w:tc>
          <w:tcPr>
            <w:vAlign w:val="center"/>
          </w:tcPr>
          <w:p>
            <w:pPr>
              <w:jc w:val="left"/>
            </w:pPr>
            <w:r>
              <w:rPr>
                <w:color w:val="000000"/>
                <w:sz w:val="24"/>
              </w:rPr>
              <w:t>自基金合同生效起至今</w:t>
            </w:r>
          </w:p>
        </w:tc>
        <w:tc>
          <w:tcPr>
            <w:vAlign w:val="center"/>
          </w:tcPr>
          <w:p>
            <w:pPr>
              <w:jc w:val="center"/>
            </w:pPr>
            <w:r>
              <w:rPr>
                <w:color w:val="000000"/>
                <w:sz w:val="24"/>
              </w:rPr>
              <w:t>101.91%</w:t>
            </w:r>
          </w:p>
        </w:tc>
        <w:tc>
          <w:tcPr>
            <w:vAlign w:val="center"/>
          </w:tcPr>
          <w:p>
            <w:pPr>
              <w:jc w:val="center"/>
            </w:pPr>
            <w:r>
              <w:rPr>
                <w:color w:val="000000"/>
                <w:sz w:val="24"/>
              </w:rPr>
              <w:t>0.25%</w:t>
            </w:r>
          </w:p>
        </w:tc>
        <w:tc>
          <w:tcPr>
            <w:vAlign w:val="center"/>
          </w:tcPr>
          <w:p>
            <w:pPr>
              <w:jc w:val="center"/>
            </w:pPr>
            <w:r>
              <w:rPr>
                <w:color w:val="000000"/>
                <w:sz w:val="24"/>
              </w:rPr>
              <w:t>-2.46%</w:t>
            </w:r>
          </w:p>
        </w:tc>
        <w:tc>
          <w:tcPr>
            <w:vAlign w:val="center"/>
          </w:tcPr>
          <w:p>
            <w:pPr>
              <w:jc w:val="center"/>
            </w:pPr>
            <w:r>
              <w:rPr>
                <w:color w:val="000000"/>
                <w:sz w:val="24"/>
              </w:rPr>
              <w:t>0.12%</w:t>
            </w:r>
          </w:p>
        </w:tc>
        <w:tc>
          <w:tcPr>
            <w:vAlign w:val="center"/>
          </w:tcPr>
          <w:p>
            <w:pPr>
              <w:jc w:val="center"/>
            </w:pPr>
            <w:r>
              <w:rPr>
                <w:color w:val="000000"/>
                <w:sz w:val="24"/>
              </w:rPr>
              <w:t>104.37%</w:t>
            </w:r>
          </w:p>
        </w:tc>
        <w:tc>
          <w:tcPr>
            <w:vAlign w:val="center"/>
          </w:tcPr>
          <w:p>
            <w:pPr>
              <w:jc w:val="center"/>
            </w:pPr>
            <w:r>
              <w:rPr>
                <w:color w:val="000000"/>
                <w:sz w:val="24"/>
              </w:rPr>
              <w:t>0.13%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0.25%</w:t>
            </w:r>
          </w:p>
        </w:tc>
        <w:tc>
          <w:tcPr>
            <w:vAlign w:val="center"/>
          </w:tcPr>
          <w:p>
            <w:pPr>
              <w:jc w:val="center"/>
            </w:pPr>
            <w:r>
              <w:rPr>
                <w:color w:val="000000"/>
                <w:sz w:val="24"/>
              </w:rPr>
              <w:t>0.12%</w:t>
            </w:r>
          </w:p>
        </w:tc>
        <w:tc>
          <w:tcPr>
            <w:vAlign w:val="center"/>
          </w:tcPr>
          <w:p>
            <w:pPr>
              <w:jc w:val="center"/>
            </w:pPr>
            <w:r>
              <w:rPr>
                <w:color w:val="000000"/>
                <w:sz w:val="24"/>
              </w:rPr>
              <w:t>-1.14%</w:t>
            </w:r>
          </w:p>
        </w:tc>
        <w:tc>
          <w:tcPr>
            <w:vAlign w:val="center"/>
          </w:tcPr>
          <w:p>
            <w:pPr>
              <w:jc w:val="center"/>
            </w:pPr>
            <w:r>
              <w:rPr>
                <w:color w:val="000000"/>
                <w:sz w:val="24"/>
              </w:rPr>
              <w:t>0.07%</w:t>
            </w:r>
          </w:p>
        </w:tc>
        <w:tc>
          <w:tcPr>
            <w:vAlign w:val="center"/>
          </w:tcPr>
          <w:p>
            <w:pPr>
              <w:jc w:val="center"/>
            </w:pPr>
            <w:r>
              <w:rPr>
                <w:color w:val="000000"/>
                <w:sz w:val="24"/>
              </w:rPr>
              <w:t>1.39%</w:t>
            </w:r>
          </w:p>
        </w:tc>
        <w:tc>
          <w:tcPr>
            <w:vAlign w:val="center"/>
          </w:tcPr>
          <w:p>
            <w:pPr>
              <w:jc w:val="center"/>
            </w:pPr>
            <w:r>
              <w:rPr>
                <w:color w:val="000000"/>
                <w:sz w:val="24"/>
              </w:rPr>
              <w:t>0.05%</w:t>
            </w:r>
          </w:p>
        </w:tc>
      </w:tr>
      <w:tr>
        <w:tc>
          <w:tcPr>
            <w:vAlign w:val="center"/>
          </w:tcPr>
          <w:p>
            <w:pPr>
              <w:jc w:val="left"/>
            </w:pPr>
            <w:r>
              <w:rPr>
                <w:color w:val="000000"/>
                <w:sz w:val="24"/>
              </w:rPr>
              <w:t>过去六个月</w:t>
            </w:r>
          </w:p>
        </w:tc>
        <w:tc>
          <w:tcPr>
            <w:vAlign w:val="center"/>
          </w:tcPr>
          <w:p>
            <w:pPr>
              <w:jc w:val="center"/>
            </w:pPr>
            <w:r>
              <w:rPr>
                <w:color w:val="000000"/>
                <w:sz w:val="24"/>
              </w:rPr>
              <w:t>1.55%</w:t>
            </w:r>
          </w:p>
        </w:tc>
        <w:tc>
          <w:tcPr>
            <w:vAlign w:val="center"/>
          </w:tcPr>
          <w:p>
            <w:pPr>
              <w:jc w:val="center"/>
            </w:pPr>
            <w:r>
              <w:rPr>
                <w:color w:val="000000"/>
                <w:sz w:val="24"/>
              </w:rPr>
              <w:t>0.16%</w:t>
            </w:r>
          </w:p>
        </w:tc>
        <w:tc>
          <w:tcPr>
            <w:vAlign w:val="center"/>
          </w:tcPr>
          <w:p>
            <w:pPr>
              <w:jc w:val="center"/>
            </w:pPr>
            <w:r>
              <w:rPr>
                <w:color w:val="000000"/>
                <w:sz w:val="24"/>
              </w:rPr>
              <w:t>-0.12%</w:t>
            </w:r>
          </w:p>
        </w:tc>
        <w:tc>
          <w:tcPr>
            <w:vAlign w:val="center"/>
          </w:tcPr>
          <w:p>
            <w:pPr>
              <w:jc w:val="center"/>
            </w:pPr>
            <w:r>
              <w:rPr>
                <w:color w:val="000000"/>
                <w:sz w:val="24"/>
              </w:rPr>
              <w:t>0.07%</w:t>
            </w:r>
          </w:p>
        </w:tc>
        <w:tc>
          <w:tcPr>
            <w:vAlign w:val="center"/>
          </w:tcPr>
          <w:p>
            <w:pPr>
              <w:jc w:val="center"/>
            </w:pPr>
            <w:r>
              <w:rPr>
                <w:color w:val="000000"/>
                <w:sz w:val="24"/>
              </w:rPr>
              <w:t>1.67%</w:t>
            </w:r>
          </w:p>
        </w:tc>
        <w:tc>
          <w:tcPr>
            <w:vAlign w:val="center"/>
          </w:tcPr>
          <w:p>
            <w:pPr>
              <w:jc w:val="center"/>
            </w:pPr>
            <w:r>
              <w:rPr>
                <w:color w:val="000000"/>
                <w:sz w:val="24"/>
              </w:rPr>
              <w:t>0.09%</w:t>
            </w:r>
          </w:p>
        </w:tc>
      </w:tr>
      <w:tr>
        <w:tc>
          <w:tcPr>
            <w:vAlign w:val="center"/>
          </w:tcPr>
          <w:p>
            <w:pPr>
              <w:jc w:val="left"/>
            </w:pPr>
            <w:r>
              <w:rPr>
                <w:color w:val="000000"/>
                <w:sz w:val="24"/>
              </w:rPr>
              <w:t>过去一年</w:t>
            </w:r>
          </w:p>
        </w:tc>
        <w:tc>
          <w:tcPr>
            <w:vAlign w:val="center"/>
          </w:tcPr>
          <w:p>
            <w:pPr>
              <w:jc w:val="center"/>
            </w:pPr>
            <w:r>
              <w:rPr>
                <w:color w:val="000000"/>
                <w:sz w:val="24"/>
              </w:rPr>
              <w:t>4.93%</w:t>
            </w:r>
          </w:p>
        </w:tc>
        <w:tc>
          <w:tcPr>
            <w:vAlign w:val="center"/>
          </w:tcPr>
          <w:p>
            <w:pPr>
              <w:jc w:val="center"/>
            </w:pPr>
            <w:r>
              <w:rPr>
                <w:color w:val="000000"/>
                <w:sz w:val="24"/>
              </w:rPr>
              <w:t>0.12%</w:t>
            </w:r>
          </w:p>
        </w:tc>
        <w:tc>
          <w:tcPr>
            <w:vAlign w:val="center"/>
          </w:tcPr>
          <w:p>
            <w:pPr>
              <w:jc w:val="center"/>
            </w:pPr>
            <w:r>
              <w:rPr>
                <w:color w:val="000000"/>
                <w:sz w:val="24"/>
              </w:rPr>
              <w:t>0.54%</w:t>
            </w:r>
          </w:p>
        </w:tc>
        <w:tc>
          <w:tcPr>
            <w:vAlign w:val="center"/>
          </w:tcPr>
          <w:p>
            <w:pPr>
              <w:jc w:val="center"/>
            </w:pPr>
            <w:r>
              <w:rPr>
                <w:color w:val="000000"/>
                <w:sz w:val="24"/>
              </w:rPr>
              <w:t>0.05%</w:t>
            </w:r>
          </w:p>
        </w:tc>
        <w:tc>
          <w:tcPr>
            <w:vAlign w:val="center"/>
          </w:tcPr>
          <w:p>
            <w:pPr>
              <w:jc w:val="center"/>
            </w:pPr>
            <w:r>
              <w:rPr>
                <w:color w:val="000000"/>
                <w:sz w:val="24"/>
              </w:rPr>
              <w:t>4.39%</w:t>
            </w:r>
          </w:p>
        </w:tc>
        <w:tc>
          <w:tcPr>
            <w:vAlign w:val="center"/>
          </w:tcPr>
          <w:p>
            <w:pPr>
              <w:jc w:val="center"/>
            </w:pPr>
            <w:r>
              <w:rPr>
                <w:color w:val="000000"/>
                <w:sz w:val="24"/>
              </w:rPr>
              <w:t>0.07%</w:t>
            </w:r>
          </w:p>
        </w:tc>
      </w:tr>
      <w:tr>
        <w:tc>
          <w:tcPr>
            <w:vAlign w:val="center"/>
          </w:tcPr>
          <w:p>
            <w:pPr>
              <w:jc w:val="left"/>
            </w:pPr>
            <w:r>
              <w:rPr>
                <w:color w:val="000000"/>
                <w:sz w:val="24"/>
              </w:rPr>
              <w:t>过去三年</w:t>
            </w:r>
          </w:p>
        </w:tc>
        <w:tc>
          <w:tcPr>
            <w:vAlign w:val="center"/>
          </w:tcPr>
          <w:p>
            <w:pPr>
              <w:jc w:val="center"/>
            </w:pPr>
            <w:r>
              <w:rPr>
                <w:color w:val="000000"/>
                <w:sz w:val="24"/>
              </w:rPr>
              <w:t>15.55%</w:t>
            </w:r>
          </w:p>
        </w:tc>
        <w:tc>
          <w:tcPr>
            <w:vAlign w:val="center"/>
          </w:tcPr>
          <w:p>
            <w:pPr>
              <w:jc w:val="center"/>
            </w:pPr>
            <w:r>
              <w:rPr>
                <w:color w:val="000000"/>
                <w:sz w:val="24"/>
              </w:rPr>
              <w:t>0.11%</w:t>
            </w:r>
          </w:p>
        </w:tc>
        <w:tc>
          <w:tcPr>
            <w:vAlign w:val="center"/>
          </w:tcPr>
          <w:p>
            <w:pPr>
              <w:jc w:val="center"/>
            </w:pPr>
            <w:r>
              <w:rPr>
                <w:color w:val="000000"/>
                <w:sz w:val="24"/>
              </w:rPr>
              <w:t>0.02%</w:t>
            </w:r>
          </w:p>
        </w:tc>
        <w:tc>
          <w:tcPr>
            <w:vAlign w:val="center"/>
          </w:tcPr>
          <w:p>
            <w:pPr>
              <w:jc w:val="center"/>
            </w:pPr>
            <w:r>
              <w:rPr>
                <w:color w:val="000000"/>
                <w:sz w:val="24"/>
              </w:rPr>
              <w:t>0.05%</w:t>
            </w:r>
          </w:p>
        </w:tc>
        <w:tc>
          <w:tcPr>
            <w:vAlign w:val="center"/>
          </w:tcPr>
          <w:p>
            <w:pPr>
              <w:jc w:val="center"/>
            </w:pPr>
            <w:r>
              <w:rPr>
                <w:color w:val="000000"/>
                <w:sz w:val="24"/>
              </w:rPr>
              <w:t>15.53%</w:t>
            </w:r>
          </w:p>
        </w:tc>
        <w:tc>
          <w:tcPr>
            <w:vAlign w:val="center"/>
          </w:tcPr>
          <w:p>
            <w:pPr>
              <w:jc w:val="center"/>
            </w:pPr>
            <w:r>
              <w:rPr>
                <w:color w:val="000000"/>
                <w:sz w:val="24"/>
              </w:rPr>
              <w:t>0.06%</w:t>
            </w:r>
          </w:p>
        </w:tc>
      </w:tr>
      <w:tr>
        <w:tc>
          <w:tcPr>
            <w:vAlign w:val="center"/>
          </w:tcPr>
          <w:p>
            <w:pPr>
              <w:jc w:val="left"/>
            </w:pPr>
            <w:r>
              <w:rPr>
                <w:color w:val="000000"/>
                <w:sz w:val="24"/>
              </w:rPr>
              <w:t>过去五年</w:t>
            </w:r>
          </w:p>
        </w:tc>
        <w:tc>
          <w:tcPr>
            <w:vAlign w:val="center"/>
          </w:tcPr>
          <w:p>
            <w:pPr>
              <w:jc w:val="center"/>
            </w:pPr>
            <w:r>
              <w:rPr>
                <w:color w:val="000000"/>
                <w:sz w:val="24"/>
              </w:rPr>
              <w:t>17.76%</w:t>
            </w:r>
          </w:p>
        </w:tc>
        <w:tc>
          <w:tcPr>
            <w:vAlign w:val="center"/>
          </w:tcPr>
          <w:p>
            <w:pPr>
              <w:jc w:val="center"/>
            </w:pPr>
            <w:r>
              <w:rPr>
                <w:color w:val="000000"/>
                <w:sz w:val="24"/>
              </w:rPr>
              <w:t>0.10%</w:t>
            </w:r>
          </w:p>
        </w:tc>
        <w:tc>
          <w:tcPr>
            <w:vAlign w:val="center"/>
          </w:tcPr>
          <w:p>
            <w:pPr>
              <w:jc w:val="center"/>
            </w:pPr>
            <w:r>
              <w:rPr>
                <w:color w:val="000000"/>
                <w:sz w:val="24"/>
              </w:rPr>
              <w:t>-12.92%</w:t>
            </w:r>
          </w:p>
        </w:tc>
        <w:tc>
          <w:tcPr>
            <w:vAlign w:val="center"/>
          </w:tcPr>
          <w:p>
            <w:pPr>
              <w:jc w:val="center"/>
            </w:pPr>
            <w:r>
              <w:rPr>
                <w:color w:val="000000"/>
                <w:sz w:val="24"/>
              </w:rPr>
              <w:t>0.08%</w:t>
            </w:r>
          </w:p>
        </w:tc>
        <w:tc>
          <w:tcPr>
            <w:vAlign w:val="center"/>
          </w:tcPr>
          <w:p>
            <w:pPr>
              <w:jc w:val="center"/>
            </w:pPr>
            <w:r>
              <w:rPr>
                <w:color w:val="000000"/>
                <w:sz w:val="24"/>
              </w:rPr>
              <w:t>30.68%</w:t>
            </w:r>
          </w:p>
        </w:tc>
        <w:tc>
          <w:tcPr>
            <w:vAlign w:val="center"/>
          </w:tcPr>
          <w:p>
            <w:pPr>
              <w:jc w:val="center"/>
            </w:pPr>
            <w:r>
              <w:rPr>
                <w:color w:val="000000"/>
                <w:sz w:val="24"/>
              </w:rPr>
              <w:t>0.02%</w:t>
            </w:r>
          </w:p>
        </w:tc>
      </w:tr>
      <w:tr>
        <w:tc>
          <w:tcPr>
            <w:vAlign w:val="center"/>
          </w:tcPr>
          <w:p>
            <w:pPr>
              <w:jc w:val="left"/>
            </w:pPr>
            <w:r>
              <w:rPr>
                <w:color w:val="000000"/>
                <w:sz w:val="24"/>
              </w:rPr>
              <w:t>自基金合同生效起至今</w:t>
            </w:r>
          </w:p>
        </w:tc>
        <w:tc>
          <w:tcPr>
            <w:vAlign w:val="center"/>
          </w:tcPr>
          <w:p>
            <w:pPr>
              <w:jc w:val="center"/>
            </w:pPr>
            <w:r>
              <w:rPr>
                <w:color w:val="000000"/>
                <w:sz w:val="24"/>
              </w:rPr>
              <w:t>91.59%</w:t>
            </w:r>
          </w:p>
        </w:tc>
        <w:tc>
          <w:tcPr>
            <w:vAlign w:val="center"/>
          </w:tcPr>
          <w:p>
            <w:pPr>
              <w:jc w:val="center"/>
            </w:pPr>
            <w:r>
              <w:rPr>
                <w:color w:val="000000"/>
                <w:sz w:val="24"/>
              </w:rPr>
              <w:t>0.25%</w:t>
            </w:r>
          </w:p>
        </w:tc>
        <w:tc>
          <w:tcPr>
            <w:vAlign w:val="center"/>
          </w:tcPr>
          <w:p>
            <w:pPr>
              <w:jc w:val="center"/>
            </w:pPr>
            <w:r>
              <w:rPr>
                <w:color w:val="000000"/>
                <w:sz w:val="24"/>
              </w:rPr>
              <w:t>-2.46%</w:t>
            </w:r>
          </w:p>
        </w:tc>
        <w:tc>
          <w:tcPr>
            <w:vAlign w:val="center"/>
          </w:tcPr>
          <w:p>
            <w:pPr>
              <w:jc w:val="center"/>
            </w:pPr>
            <w:r>
              <w:rPr>
                <w:color w:val="000000"/>
                <w:sz w:val="24"/>
              </w:rPr>
              <w:t>0.12%</w:t>
            </w:r>
          </w:p>
        </w:tc>
        <w:tc>
          <w:tcPr>
            <w:vAlign w:val="center"/>
          </w:tcPr>
          <w:p>
            <w:pPr>
              <w:jc w:val="center"/>
            </w:pPr>
            <w:r>
              <w:rPr>
                <w:color w:val="000000"/>
                <w:sz w:val="24"/>
              </w:rPr>
              <w:t>94.05%</w:t>
            </w:r>
          </w:p>
        </w:tc>
        <w:tc>
          <w:tcPr>
            <w:vAlign w:val="center"/>
          </w:tcPr>
          <w:p>
            <w:pPr>
              <w:jc w:val="center"/>
            </w:pPr>
            <w:r>
              <w:rPr>
                <w:color w:val="000000"/>
                <w:sz w:val="24"/>
              </w:rPr>
              <w:t>0.13%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2008年3月31日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债券市场方面，2020年二季度债券市场经历从牛陡到熊平的大幅波动，四月在应对国内外疫情，货币政策持续宽松的背景下，债券收益率大幅下行，由于资金持续宽松，短端利率下行幅度大于长端，曲线呈现明显陡峭化。进入五月，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pPr>
        <w:spacing w:before="29" w:line="288" w:lineRule="auto"/>
        <w:ind w:firstLine="480" w:firstLineChars="200"/>
        <w:rPr>
          <w:color w:val="000000"/>
          <w:sz w:val="24"/>
        </w:rPr>
      </w:pPr>
      <w:r>
        <w:rPr>
          <w:color w:val="000000"/>
          <w:sz w:val="24"/>
        </w:rPr>
        <w:t>权益市场方面，二季度市场明显修复，风格层面上仍然聚焦于消费和科技两个方向。市场在外部环境波动较大的背景下选择抱团确定性较高的板块，而周期则成为年初以来表现最差的方向。转债市场二季度经历了明显的估值下杀，一季度超预期的抗跌表现最终还是付出了代价，整体来看转债指数明显跑输正股指数。</w:t>
      </w:r>
    </w:p>
    <w:p>
      <w:pPr>
        <w:spacing w:before="29" w:line="288" w:lineRule="auto"/>
        <w:ind w:firstLine="480" w:firstLineChars="200"/>
        <w:rPr>
          <w:color w:val="000000"/>
          <w:sz w:val="24"/>
        </w:rPr>
      </w:pPr>
      <w:r>
        <w:rPr>
          <w:color w:val="000000"/>
          <w:sz w:val="24"/>
        </w:rPr>
        <w:t>报告期内，基金以信用债为主要配置，获得稳定的票息收益，同时根据宏观判断适当进行利率债的波段交易，增厚组合收益。同时，组合保持了一定的转债仓位。</w:t>
      </w:r>
    </w:p>
    <w:p>
      <w:pPr>
        <w:spacing w:before="29" w:line="288" w:lineRule="auto"/>
        <w:ind w:firstLine="480" w:firstLineChars="200"/>
        <w:rPr>
          <w:color w:val="000000"/>
          <w:sz w:val="24"/>
        </w:rPr>
      </w:pPr>
      <w:r>
        <w:rPr>
          <w:color w:val="000000"/>
          <w:sz w:val="24"/>
        </w:rPr>
        <w:t>展望2020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在广义流动性相对宽松的温和环境下，股票市场有望在震荡中继续上行。长期空间大，业绩边际改善的板块仍然是资金关注的方向。而对于转债来说，流动性是支撑目前估值偏高的核心原因，故流动性边际收紧的对估值的扰动或将继续存在，但影响不足以抹平平价驱动带来的正向收益。</w:t>
      </w:r>
    </w:p>
    <w:p w:rsidP="007C14DF" w:rsidR="00952A72" w:rsidRDefault="00323F25" w:rsidRPr="007F52FA">
      <w:pPr>
        <w:spacing w:before="29" w:line="288" w:lineRule="auto"/>
        <w:ind w:firstLine="480" w:firstLineChars="200"/>
        <w:rPr>
          <w:color w:val="000000"/>
          <w:sz w:val="24"/>
        </w:rPr>
      </w:pPr>
      <w:r w:rsidRPr="007F52FA">
        <w:rPr>
          <w:color w:val="000000"/>
          <w:sz w:val="24"/>
        </w:rPr>
        <w:t>操作策略方面，我们将关注信用债的票息机会，进一步挖掘信用债投资机会，并维持中等的杠杆水平，以期提升组合整体静态收益。转债配置选股重要性大于性价比重要性，更加关注转债个券选择和结构配置。</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1,731,500,959.74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1,731,500,959.74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11,470,058.95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0.64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41,477,102.51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1,784,448,121.20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84,557,450.00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6.00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84,557,450.00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6.00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339,751,000.00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24.09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1,103,108,500.00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78.22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204,084,009.74</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14.47</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1,731,500,959.74</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122.78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018061</w:t>
            </w:r>
          </w:p>
        </w:tc>
        <w:tc>
          <w:tcPr>
            <w:vAlign w:val="center"/>
          </w:tcPr>
          <w:p>
            <w:pPr>
              <w:jc w:val="center"/>
            </w:pPr>
            <w:r>
              <w:rPr>
                <w:color w:val="000000"/>
                <w:sz w:val="24"/>
              </w:rPr>
              <w:t>进出1911</w:t>
            </w:r>
          </w:p>
        </w:tc>
        <w:tc>
          <w:tcPr>
            <w:vAlign w:val="center"/>
          </w:tcPr>
          <w:p>
            <w:pPr>
              <w:jc w:val="right"/>
            </w:pPr>
            <w:r>
              <w:rPr>
                <w:color w:val="000000"/>
                <w:sz w:val="24"/>
              </w:rPr>
              <w:t>700,000</w:t>
            </w:r>
          </w:p>
        </w:tc>
        <w:tc>
          <w:tcPr>
            <w:vAlign w:val="center"/>
          </w:tcPr>
          <w:p>
            <w:pPr>
              <w:jc w:val="right"/>
            </w:pPr>
            <w:r>
              <w:rPr>
                <w:color w:val="000000"/>
                <w:sz w:val="24"/>
              </w:rPr>
              <w:t>70,056,000.00</w:t>
            </w:r>
          </w:p>
        </w:tc>
        <w:tc>
          <w:tcPr>
            <w:vAlign w:val="center"/>
          </w:tcPr>
          <w:p>
            <w:pPr>
              <w:jc w:val="right"/>
            </w:pPr>
            <w:r>
              <w:rPr>
                <w:color w:val="000000"/>
                <w:sz w:val="24"/>
              </w:rPr>
              <w:t>4.97</w:t>
            </w:r>
          </w:p>
        </w:tc>
      </w:tr>
      <w:tr>
        <w:tc>
          <w:tcPr>
            <w:vAlign w:val="center"/>
          </w:tcPr>
          <w:p>
            <w:pPr>
              <w:jc w:val="center"/>
            </w:pPr>
            <w:r>
              <w:rPr>
                <w:color w:val="000000"/>
                <w:sz w:val="24"/>
              </w:rPr>
              <w:t>2</w:t>
            </w:r>
          </w:p>
        </w:tc>
        <w:tc>
          <w:tcPr>
            <w:vAlign w:val="center"/>
          </w:tcPr>
          <w:p>
            <w:pPr>
              <w:jc w:val="center"/>
            </w:pPr>
            <w:r>
              <w:rPr>
                <w:color w:val="000000"/>
                <w:sz w:val="24"/>
              </w:rPr>
              <w:t>101901641</w:t>
            </w:r>
          </w:p>
        </w:tc>
        <w:tc>
          <w:tcPr>
            <w:vAlign w:val="center"/>
          </w:tcPr>
          <w:p>
            <w:pPr>
              <w:jc w:val="center"/>
            </w:pPr>
            <w:r>
              <w:rPr>
                <w:color w:val="000000"/>
                <w:sz w:val="24"/>
              </w:rPr>
              <w:t>19蚌埠城投MTN002</w:t>
            </w:r>
          </w:p>
        </w:tc>
        <w:tc>
          <w:tcPr>
            <w:vAlign w:val="center"/>
          </w:tcPr>
          <w:p>
            <w:pPr>
              <w:jc w:val="right"/>
            </w:pPr>
            <w:r>
              <w:rPr>
                <w:color w:val="000000"/>
                <w:sz w:val="24"/>
              </w:rPr>
              <w:t>500,000</w:t>
            </w:r>
          </w:p>
        </w:tc>
        <w:tc>
          <w:tcPr>
            <w:vAlign w:val="center"/>
          </w:tcPr>
          <w:p>
            <w:pPr>
              <w:jc w:val="right"/>
            </w:pPr>
            <w:r>
              <w:rPr>
                <w:color w:val="000000"/>
                <w:sz w:val="24"/>
              </w:rPr>
              <w:t>50,590,000.00</w:t>
            </w:r>
          </w:p>
        </w:tc>
        <w:tc>
          <w:tcPr>
            <w:vAlign w:val="center"/>
          </w:tcPr>
          <w:p>
            <w:pPr>
              <w:jc w:val="right"/>
            </w:pPr>
            <w:r>
              <w:rPr>
                <w:color w:val="000000"/>
                <w:sz w:val="24"/>
              </w:rPr>
              <w:t>3.59</w:t>
            </w:r>
          </w:p>
        </w:tc>
      </w:tr>
      <w:tr>
        <w:tc>
          <w:tcPr>
            <w:vAlign w:val="center"/>
          </w:tcPr>
          <w:p>
            <w:pPr>
              <w:jc w:val="center"/>
            </w:pPr>
            <w:r>
              <w:rPr>
                <w:color w:val="000000"/>
                <w:sz w:val="24"/>
              </w:rPr>
              <w:t>3</w:t>
            </w:r>
          </w:p>
        </w:tc>
        <w:tc>
          <w:tcPr>
            <w:vAlign w:val="center"/>
          </w:tcPr>
          <w:p>
            <w:pPr>
              <w:jc w:val="center"/>
            </w:pPr>
            <w:r>
              <w:rPr>
                <w:color w:val="000000"/>
                <w:sz w:val="24"/>
              </w:rPr>
              <w:t>102000223</w:t>
            </w:r>
          </w:p>
        </w:tc>
        <w:tc>
          <w:tcPr>
            <w:vAlign w:val="center"/>
          </w:tcPr>
          <w:p>
            <w:pPr>
              <w:jc w:val="center"/>
            </w:pPr>
            <w:r>
              <w:rPr>
                <w:color w:val="000000"/>
                <w:sz w:val="24"/>
              </w:rPr>
              <w:t>20泉州文旅(疫情防控债)MTN001</w:t>
            </w:r>
          </w:p>
        </w:tc>
        <w:tc>
          <w:tcPr>
            <w:vAlign w:val="center"/>
          </w:tcPr>
          <w:p>
            <w:pPr>
              <w:jc w:val="right"/>
            </w:pPr>
            <w:r>
              <w:rPr>
                <w:color w:val="000000"/>
                <w:sz w:val="24"/>
              </w:rPr>
              <w:t>500,000</w:t>
            </w:r>
          </w:p>
        </w:tc>
        <w:tc>
          <w:tcPr>
            <w:vAlign w:val="center"/>
          </w:tcPr>
          <w:p>
            <w:pPr>
              <w:jc w:val="right"/>
            </w:pPr>
            <w:r>
              <w:rPr>
                <w:color w:val="000000"/>
                <w:sz w:val="24"/>
              </w:rPr>
              <w:t>49,625,000.00</w:t>
            </w:r>
          </w:p>
        </w:tc>
        <w:tc>
          <w:tcPr>
            <w:vAlign w:val="center"/>
          </w:tcPr>
          <w:p>
            <w:pPr>
              <w:jc w:val="right"/>
            </w:pPr>
            <w:r>
              <w:rPr>
                <w:color w:val="000000"/>
                <w:sz w:val="24"/>
              </w:rPr>
              <w:t>3.52</w:t>
            </w:r>
          </w:p>
        </w:tc>
      </w:tr>
      <w:tr>
        <w:tc>
          <w:tcPr>
            <w:vAlign w:val="center"/>
          </w:tcPr>
          <w:p>
            <w:pPr>
              <w:jc w:val="center"/>
            </w:pPr>
            <w:r>
              <w:rPr>
                <w:color w:val="000000"/>
                <w:sz w:val="24"/>
              </w:rPr>
              <w:t>4</w:t>
            </w:r>
          </w:p>
        </w:tc>
        <w:tc>
          <w:tcPr>
            <w:vAlign w:val="center"/>
          </w:tcPr>
          <w:p>
            <w:pPr>
              <w:jc w:val="center"/>
            </w:pPr>
            <w:r>
              <w:rPr>
                <w:color w:val="000000"/>
                <w:sz w:val="24"/>
              </w:rPr>
              <w:t>101800602</w:t>
            </w:r>
          </w:p>
        </w:tc>
        <w:tc>
          <w:tcPr>
            <w:vAlign w:val="center"/>
          </w:tcPr>
          <w:p>
            <w:pPr>
              <w:jc w:val="center"/>
            </w:pPr>
            <w:r>
              <w:rPr>
                <w:color w:val="000000"/>
                <w:sz w:val="24"/>
              </w:rPr>
              <w:t>18江北科技MTN001</w:t>
            </w:r>
          </w:p>
        </w:tc>
        <w:tc>
          <w:tcPr>
            <w:vAlign w:val="center"/>
          </w:tcPr>
          <w:p>
            <w:pPr>
              <w:jc w:val="right"/>
            </w:pPr>
            <w:r>
              <w:rPr>
                <w:color w:val="000000"/>
                <w:sz w:val="24"/>
              </w:rPr>
              <w:t>400,000</w:t>
            </w:r>
          </w:p>
        </w:tc>
        <w:tc>
          <w:tcPr>
            <w:vAlign w:val="center"/>
          </w:tcPr>
          <w:p>
            <w:pPr>
              <w:jc w:val="right"/>
            </w:pPr>
            <w:r>
              <w:rPr>
                <w:color w:val="000000"/>
                <w:sz w:val="24"/>
              </w:rPr>
              <w:t>41,080,000.00</w:t>
            </w:r>
          </w:p>
        </w:tc>
        <w:tc>
          <w:tcPr>
            <w:vAlign w:val="center"/>
          </w:tcPr>
          <w:p>
            <w:pPr>
              <w:jc w:val="right"/>
            </w:pPr>
            <w:r>
              <w:rPr>
                <w:color w:val="000000"/>
                <w:sz w:val="24"/>
              </w:rPr>
              <w:t>2.91</w:t>
            </w:r>
          </w:p>
        </w:tc>
      </w:tr>
      <w:tr>
        <w:tc>
          <w:tcPr>
            <w:vAlign w:val="center"/>
          </w:tcPr>
          <w:p>
            <w:pPr>
              <w:jc w:val="center"/>
            </w:pPr>
            <w:r>
              <w:rPr>
                <w:color w:val="000000"/>
                <w:sz w:val="24"/>
              </w:rPr>
              <w:t>5</w:t>
            </w:r>
          </w:p>
        </w:tc>
        <w:tc>
          <w:tcPr>
            <w:vAlign w:val="center"/>
          </w:tcPr>
          <w:p>
            <w:pPr>
              <w:jc w:val="center"/>
            </w:pPr>
            <w:r>
              <w:rPr>
                <w:color w:val="000000"/>
                <w:sz w:val="24"/>
              </w:rPr>
              <w:t>163044</w:t>
            </w:r>
          </w:p>
        </w:tc>
        <w:tc>
          <w:tcPr>
            <w:vAlign w:val="center"/>
          </w:tcPr>
          <w:p>
            <w:pPr>
              <w:jc w:val="center"/>
            </w:pPr>
            <w:r>
              <w:rPr>
                <w:color w:val="000000"/>
                <w:sz w:val="24"/>
              </w:rPr>
              <w:t>G19华综1</w:t>
            </w:r>
          </w:p>
        </w:tc>
        <w:tc>
          <w:tcPr>
            <w:vAlign w:val="center"/>
          </w:tcPr>
          <w:p>
            <w:pPr>
              <w:jc w:val="right"/>
            </w:pPr>
            <w:r>
              <w:rPr>
                <w:color w:val="000000"/>
                <w:sz w:val="24"/>
              </w:rPr>
              <w:t>400,000</w:t>
            </w:r>
          </w:p>
        </w:tc>
        <w:tc>
          <w:tcPr>
            <w:vAlign w:val="center"/>
          </w:tcPr>
          <w:p>
            <w:pPr>
              <w:jc w:val="right"/>
            </w:pPr>
            <w:r>
              <w:rPr>
                <w:color w:val="000000"/>
                <w:sz w:val="24"/>
              </w:rPr>
              <w:t>40,692,000.00</w:t>
            </w:r>
          </w:p>
        </w:tc>
        <w:tc>
          <w:tcPr>
            <w:vAlign w:val="center"/>
          </w:tcPr>
          <w:p>
            <w:pPr>
              <w:jc w:val="right"/>
            </w:pPr>
            <w:r>
              <w:rPr>
                <w:color w:val="000000"/>
                <w:sz w:val="24"/>
              </w:rPr>
              <w:t>2.89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53,551.61</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12,474,205.44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28,811,426.59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137,918.87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41,477,102.51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bookmarkStart w:id="2" w:name="_GoBack"/>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bookmarkEnd w:id="2"/>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22,812,000.00</w:t>
            </w:r>
          </w:p>
        </w:tc>
        <w:tc>
          <w:tcPr>
            <w:vAlign w:val="center"/>
          </w:tcPr>
          <w:p>
            <w:pPr>
              <w:jc w:val="right"/>
            </w:pPr>
            <w:r>
              <w:rPr>
                <w:rFonts w:eastAsiaTheme="minorEastAsia"/>
                <w:color w:val="000000"/>
                <w:sz w:val="24"/>
              </w:rPr>
              <w:t>1.62</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113558</w:t>
            </w:r>
          </w:p>
        </w:tc>
        <w:tc>
          <w:tcPr>
            <w:vAlign w:val="center"/>
          </w:tcPr>
          <w:p>
            <w:pPr>
              <w:jc w:val="center"/>
            </w:pPr>
            <w:r>
              <w:rPr>
                <w:rFonts w:eastAsiaTheme="minorEastAsia"/>
                <w:color w:val="000000"/>
                <w:sz w:val="24"/>
              </w:rPr>
              <w:t>日月转债</w:t>
            </w:r>
          </w:p>
        </w:tc>
        <w:tc>
          <w:tcPr>
            <w:vAlign w:val="center"/>
          </w:tcPr>
          <w:p>
            <w:pPr>
              <w:jc w:val="right"/>
            </w:pPr>
            <w:r>
              <w:rPr>
                <w:rFonts w:eastAsiaTheme="minorEastAsia"/>
                <w:color w:val="000000"/>
                <w:sz w:val="24"/>
              </w:rPr>
              <w:t>14,590,400.00</w:t>
            </w:r>
          </w:p>
        </w:tc>
        <w:tc>
          <w:tcPr>
            <w:vAlign w:val="center"/>
          </w:tcPr>
          <w:p>
            <w:pPr>
              <w:jc w:val="right"/>
            </w:pPr>
            <w:r>
              <w:rPr>
                <w:rFonts w:eastAsiaTheme="minorEastAsia"/>
                <w:color w:val="000000"/>
                <w:sz w:val="24"/>
              </w:rPr>
              <w:t>1.03</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110051</w:t>
            </w:r>
          </w:p>
        </w:tc>
        <w:tc>
          <w:tcPr>
            <w:vAlign w:val="center"/>
          </w:tcPr>
          <w:p>
            <w:pPr>
              <w:jc w:val="center"/>
            </w:pPr>
            <w:r>
              <w:rPr>
                <w:rFonts w:eastAsiaTheme="minorEastAsia"/>
                <w:color w:val="000000"/>
                <w:sz w:val="24"/>
              </w:rPr>
              <w:t>中天转债</w:t>
            </w:r>
          </w:p>
        </w:tc>
        <w:tc>
          <w:tcPr>
            <w:vAlign w:val="center"/>
          </w:tcPr>
          <w:p>
            <w:pPr>
              <w:jc w:val="right"/>
            </w:pPr>
            <w:r>
              <w:rPr>
                <w:rFonts w:eastAsiaTheme="minorEastAsia"/>
                <w:color w:val="000000"/>
                <w:sz w:val="24"/>
              </w:rPr>
              <w:t>12,387,000.00</w:t>
            </w:r>
          </w:p>
        </w:tc>
        <w:tc>
          <w:tcPr>
            <w:vAlign w:val="center"/>
          </w:tcPr>
          <w:p>
            <w:pPr>
              <w:jc w:val="right"/>
            </w:pPr>
            <w:r>
              <w:rPr>
                <w:rFonts w:eastAsiaTheme="minorEastAsia"/>
                <w:color w:val="000000"/>
                <w:sz w:val="24"/>
              </w:rPr>
              <w:t>0.88</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110059</w:t>
            </w:r>
          </w:p>
        </w:tc>
        <w:tc>
          <w:tcPr>
            <w:vAlign w:val="center"/>
          </w:tcPr>
          <w:p>
            <w:pPr>
              <w:jc w:val="center"/>
            </w:pPr>
            <w:r>
              <w:rPr>
                <w:rFonts w:eastAsiaTheme="minorEastAsia"/>
                <w:color w:val="000000"/>
                <w:sz w:val="24"/>
              </w:rPr>
              <w:t>浦发转债</w:t>
            </w:r>
          </w:p>
        </w:tc>
        <w:tc>
          <w:tcPr>
            <w:vAlign w:val="center"/>
          </w:tcPr>
          <w:p>
            <w:pPr>
              <w:jc w:val="right"/>
            </w:pPr>
            <w:r>
              <w:rPr>
                <w:rFonts w:eastAsiaTheme="minorEastAsia"/>
                <w:color w:val="000000"/>
                <w:sz w:val="24"/>
              </w:rPr>
              <w:t>10,185,000.00</w:t>
            </w:r>
          </w:p>
        </w:tc>
        <w:tc>
          <w:tcPr>
            <w:vAlign w:val="center"/>
          </w:tcPr>
          <w:p>
            <w:pPr>
              <w:jc w:val="right"/>
            </w:pPr>
            <w:r>
              <w:rPr>
                <w:rFonts w:eastAsiaTheme="minorEastAsia"/>
                <w:color w:val="000000"/>
                <w:sz w:val="24"/>
              </w:rPr>
              <w:t>0.72</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128080</w:t>
            </w:r>
          </w:p>
        </w:tc>
        <w:tc>
          <w:tcPr>
            <w:vAlign w:val="center"/>
          </w:tcPr>
          <w:p>
            <w:pPr>
              <w:jc w:val="center"/>
            </w:pPr>
            <w:r>
              <w:rPr>
                <w:rFonts w:eastAsiaTheme="minorEastAsia"/>
                <w:color w:val="000000"/>
                <w:sz w:val="24"/>
              </w:rPr>
              <w:t>顺丰转债</w:t>
            </w:r>
          </w:p>
        </w:tc>
        <w:tc>
          <w:tcPr>
            <w:vAlign w:val="center"/>
          </w:tcPr>
          <w:p>
            <w:pPr>
              <w:jc w:val="right"/>
            </w:pPr>
            <w:r>
              <w:rPr>
                <w:rFonts w:eastAsiaTheme="minorEastAsia"/>
                <w:color w:val="000000"/>
                <w:sz w:val="24"/>
              </w:rPr>
              <w:t>9,513,000.00</w:t>
            </w:r>
          </w:p>
        </w:tc>
        <w:tc>
          <w:tcPr>
            <w:vAlign w:val="center"/>
          </w:tcPr>
          <w:p>
            <w:pPr>
              <w:jc w:val="right"/>
            </w:pPr>
            <w:r>
              <w:rPr>
                <w:rFonts w:eastAsiaTheme="minorEastAsia"/>
                <w:color w:val="000000"/>
                <w:sz w:val="24"/>
              </w:rPr>
              <w:t>0.67</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128059</w:t>
            </w:r>
          </w:p>
        </w:tc>
        <w:tc>
          <w:tcPr>
            <w:vAlign w:val="center"/>
          </w:tcPr>
          <w:p>
            <w:pPr>
              <w:jc w:val="center"/>
            </w:pPr>
            <w:r>
              <w:rPr>
                <w:rFonts w:eastAsiaTheme="minorEastAsia"/>
                <w:color w:val="000000"/>
                <w:sz w:val="24"/>
              </w:rPr>
              <w:t>视源转债</w:t>
            </w:r>
          </w:p>
        </w:tc>
        <w:tc>
          <w:tcPr>
            <w:vAlign w:val="center"/>
          </w:tcPr>
          <w:p>
            <w:pPr>
              <w:jc w:val="right"/>
            </w:pPr>
            <w:r>
              <w:rPr>
                <w:rFonts w:eastAsiaTheme="minorEastAsia"/>
                <w:color w:val="000000"/>
                <w:sz w:val="24"/>
              </w:rPr>
              <w:t>9,050,389.20</w:t>
            </w:r>
          </w:p>
        </w:tc>
        <w:tc>
          <w:tcPr>
            <w:vAlign w:val="center"/>
          </w:tcPr>
          <w:p>
            <w:pPr>
              <w:jc w:val="right"/>
            </w:pPr>
            <w:r>
              <w:rPr>
                <w:rFonts w:eastAsiaTheme="minorEastAsia"/>
                <w:color w:val="000000"/>
                <w:sz w:val="24"/>
              </w:rPr>
              <w:t>0.64</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113008</w:t>
            </w:r>
          </w:p>
        </w:tc>
        <w:tc>
          <w:tcPr>
            <w:vAlign w:val="center"/>
          </w:tcPr>
          <w:p>
            <w:pPr>
              <w:jc w:val="center"/>
            </w:pPr>
            <w:r>
              <w:rPr>
                <w:rFonts w:eastAsiaTheme="minorEastAsia"/>
                <w:color w:val="000000"/>
                <w:sz w:val="24"/>
              </w:rPr>
              <w:t>电气转债</w:t>
            </w:r>
          </w:p>
        </w:tc>
        <w:tc>
          <w:tcPr>
            <w:vAlign w:val="center"/>
          </w:tcPr>
          <w:p>
            <w:pPr>
              <w:jc w:val="right"/>
            </w:pPr>
            <w:r>
              <w:rPr>
                <w:rFonts w:eastAsiaTheme="minorEastAsia"/>
                <w:color w:val="000000"/>
                <w:sz w:val="24"/>
              </w:rPr>
              <w:t>8,710,400.00</w:t>
            </w:r>
          </w:p>
        </w:tc>
        <w:tc>
          <w:tcPr>
            <w:vAlign w:val="center"/>
          </w:tcPr>
          <w:p>
            <w:pPr>
              <w:jc w:val="right"/>
            </w:pPr>
            <w:r>
              <w:rPr>
                <w:rFonts w:eastAsiaTheme="minorEastAsia"/>
                <w:color w:val="000000"/>
                <w:sz w:val="24"/>
              </w:rPr>
              <w:t>0.62</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128081</w:t>
            </w:r>
          </w:p>
        </w:tc>
        <w:tc>
          <w:tcPr>
            <w:vAlign w:val="center"/>
          </w:tcPr>
          <w:p>
            <w:pPr>
              <w:jc w:val="center"/>
            </w:pPr>
            <w:r>
              <w:rPr>
                <w:rFonts w:eastAsiaTheme="minorEastAsia"/>
                <w:color w:val="000000"/>
                <w:sz w:val="24"/>
              </w:rPr>
              <w:t>海亮转债</w:t>
            </w:r>
          </w:p>
        </w:tc>
        <w:tc>
          <w:tcPr>
            <w:vAlign w:val="center"/>
          </w:tcPr>
          <w:p>
            <w:pPr>
              <w:jc w:val="right"/>
            </w:pPr>
            <w:r>
              <w:rPr>
                <w:rFonts w:eastAsiaTheme="minorEastAsia"/>
                <w:color w:val="000000"/>
                <w:sz w:val="24"/>
              </w:rPr>
              <w:t>6,887,619.70</w:t>
            </w:r>
          </w:p>
        </w:tc>
        <w:tc>
          <w:tcPr>
            <w:vAlign w:val="center"/>
          </w:tcPr>
          <w:p>
            <w:pPr>
              <w:jc w:val="right"/>
            </w:pPr>
            <w:r>
              <w:rPr>
                <w:rFonts w:eastAsiaTheme="minorEastAsia"/>
                <w:color w:val="000000"/>
                <w:sz w:val="24"/>
              </w:rPr>
              <w:t>0.49</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113022</w:t>
            </w:r>
          </w:p>
        </w:tc>
        <w:tc>
          <w:tcPr>
            <w:vAlign w:val="center"/>
          </w:tcPr>
          <w:p>
            <w:pPr>
              <w:jc w:val="center"/>
            </w:pPr>
            <w:r>
              <w:rPr>
                <w:rFonts w:eastAsiaTheme="minorEastAsia"/>
                <w:color w:val="000000"/>
                <w:sz w:val="24"/>
              </w:rPr>
              <w:t>浙商转债</w:t>
            </w:r>
          </w:p>
        </w:tc>
        <w:tc>
          <w:tcPr>
            <w:vAlign w:val="center"/>
          </w:tcPr>
          <w:p>
            <w:pPr>
              <w:jc w:val="right"/>
            </w:pPr>
            <w:r>
              <w:rPr>
                <w:rFonts w:eastAsiaTheme="minorEastAsia"/>
                <w:color w:val="000000"/>
                <w:sz w:val="24"/>
              </w:rPr>
              <w:t>5,975,862.10</w:t>
            </w:r>
          </w:p>
        </w:tc>
        <w:tc>
          <w:tcPr>
            <w:vAlign w:val="center"/>
          </w:tcPr>
          <w:p>
            <w:pPr>
              <w:jc w:val="right"/>
            </w:pPr>
            <w:r>
              <w:rPr>
                <w:rFonts w:eastAsiaTheme="minorEastAsia"/>
                <w:color w:val="000000"/>
                <w:sz w:val="24"/>
              </w:rPr>
              <w:t>0.42</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128077</w:t>
            </w:r>
          </w:p>
        </w:tc>
        <w:tc>
          <w:tcPr>
            <w:vAlign w:val="center"/>
          </w:tcPr>
          <w:p>
            <w:pPr>
              <w:jc w:val="center"/>
            </w:pPr>
            <w:r>
              <w:rPr>
                <w:rFonts w:eastAsiaTheme="minorEastAsia"/>
                <w:color w:val="000000"/>
                <w:sz w:val="24"/>
              </w:rPr>
              <w:t>华夏转债</w:t>
            </w:r>
          </w:p>
        </w:tc>
        <w:tc>
          <w:tcPr>
            <w:vAlign w:val="center"/>
          </w:tcPr>
          <w:p>
            <w:pPr>
              <w:jc w:val="right"/>
            </w:pPr>
            <w:r>
              <w:rPr>
                <w:rFonts w:eastAsiaTheme="minorEastAsia"/>
                <w:color w:val="000000"/>
                <w:sz w:val="24"/>
              </w:rPr>
              <w:t>4,985,400.00</w:t>
            </w:r>
          </w:p>
        </w:tc>
        <w:tc>
          <w:tcPr>
            <w:vAlign w:val="center"/>
          </w:tcPr>
          <w:p>
            <w:pPr>
              <w:jc w:val="right"/>
            </w:pPr>
            <w:r>
              <w:rPr>
                <w:rFonts w:eastAsiaTheme="minorEastAsia"/>
                <w:color w:val="000000"/>
                <w:sz w:val="24"/>
              </w:rPr>
              <w:t>0.35</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123002</w:t>
            </w:r>
          </w:p>
        </w:tc>
        <w:tc>
          <w:tcPr>
            <w:vAlign w:val="center"/>
          </w:tcPr>
          <w:p>
            <w:pPr>
              <w:jc w:val="center"/>
            </w:pPr>
            <w:r>
              <w:rPr>
                <w:rFonts w:eastAsiaTheme="minorEastAsia"/>
                <w:color w:val="000000"/>
                <w:sz w:val="24"/>
              </w:rPr>
              <w:t>国祯转债</w:t>
            </w:r>
          </w:p>
        </w:tc>
        <w:tc>
          <w:tcPr>
            <w:vAlign w:val="center"/>
          </w:tcPr>
          <w:p>
            <w:pPr>
              <w:jc w:val="right"/>
            </w:pPr>
            <w:r>
              <w:rPr>
                <w:rFonts w:eastAsiaTheme="minorEastAsia"/>
                <w:color w:val="000000"/>
                <w:sz w:val="24"/>
              </w:rPr>
              <w:t>4,634,662.40</w:t>
            </w:r>
          </w:p>
        </w:tc>
        <w:tc>
          <w:tcPr>
            <w:vAlign w:val="center"/>
          </w:tcPr>
          <w:p>
            <w:pPr>
              <w:jc w:val="right"/>
            </w:pPr>
            <w:r>
              <w:rPr>
                <w:rFonts w:eastAsiaTheme="minorEastAsia"/>
                <w:color w:val="000000"/>
                <w:sz w:val="24"/>
              </w:rPr>
              <w:t>0.33</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110063</w:t>
            </w:r>
          </w:p>
        </w:tc>
        <w:tc>
          <w:tcPr>
            <w:vAlign w:val="center"/>
          </w:tcPr>
          <w:p>
            <w:pPr>
              <w:jc w:val="center"/>
            </w:pPr>
            <w:r>
              <w:rPr>
                <w:rFonts w:eastAsiaTheme="minorEastAsia"/>
                <w:color w:val="000000"/>
                <w:sz w:val="24"/>
              </w:rPr>
              <w:t>鹰19转债</w:t>
            </w:r>
          </w:p>
        </w:tc>
        <w:tc>
          <w:tcPr>
            <w:vAlign w:val="center"/>
          </w:tcPr>
          <w:p>
            <w:pPr>
              <w:jc w:val="right"/>
            </w:pPr>
            <w:r>
              <w:rPr>
                <w:rFonts w:eastAsiaTheme="minorEastAsia"/>
                <w:color w:val="000000"/>
                <w:sz w:val="24"/>
              </w:rPr>
              <w:t>4,478,071.40</w:t>
            </w:r>
          </w:p>
        </w:tc>
        <w:tc>
          <w:tcPr>
            <w:vAlign w:val="center"/>
          </w:tcPr>
          <w:p>
            <w:pPr>
              <w:jc w:val="right"/>
            </w:pPr>
            <w:r>
              <w:rPr>
                <w:rFonts w:eastAsiaTheme="minorEastAsia"/>
                <w:color w:val="000000"/>
                <w:sz w:val="24"/>
              </w:rPr>
              <w:t>0.32</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113518</w:t>
            </w:r>
          </w:p>
        </w:tc>
        <w:tc>
          <w:tcPr>
            <w:vAlign w:val="center"/>
          </w:tcPr>
          <w:p>
            <w:pPr>
              <w:jc w:val="center"/>
            </w:pPr>
            <w:r>
              <w:rPr>
                <w:rFonts w:eastAsiaTheme="minorEastAsia"/>
                <w:color w:val="000000"/>
                <w:sz w:val="24"/>
              </w:rPr>
              <w:t>顾家转债</w:t>
            </w:r>
          </w:p>
        </w:tc>
        <w:tc>
          <w:tcPr>
            <w:vAlign w:val="center"/>
          </w:tcPr>
          <w:p>
            <w:pPr>
              <w:jc w:val="right"/>
            </w:pPr>
            <w:r>
              <w:rPr>
                <w:rFonts w:eastAsiaTheme="minorEastAsia"/>
                <w:color w:val="000000"/>
                <w:sz w:val="24"/>
              </w:rPr>
              <w:t>4,038,840.00</w:t>
            </w:r>
          </w:p>
        </w:tc>
        <w:tc>
          <w:tcPr>
            <w:vAlign w:val="center"/>
          </w:tcPr>
          <w:p>
            <w:pPr>
              <w:jc w:val="right"/>
            </w:pPr>
            <w:r>
              <w:rPr>
                <w:rFonts w:eastAsiaTheme="minorEastAsia"/>
                <w:color w:val="000000"/>
                <w:sz w:val="24"/>
              </w:rPr>
              <w:t>0.29</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128067</w:t>
            </w:r>
          </w:p>
        </w:tc>
        <w:tc>
          <w:tcPr>
            <w:vAlign w:val="center"/>
          </w:tcPr>
          <w:p>
            <w:pPr>
              <w:jc w:val="center"/>
            </w:pPr>
            <w:r>
              <w:rPr>
                <w:rFonts w:eastAsiaTheme="minorEastAsia"/>
                <w:color w:val="000000"/>
                <w:sz w:val="24"/>
              </w:rPr>
              <w:t>一心转债</w:t>
            </w:r>
          </w:p>
        </w:tc>
        <w:tc>
          <w:tcPr>
            <w:vAlign w:val="center"/>
          </w:tcPr>
          <w:p>
            <w:pPr>
              <w:jc w:val="right"/>
            </w:pPr>
            <w:r>
              <w:rPr>
                <w:rFonts w:eastAsiaTheme="minorEastAsia"/>
                <w:color w:val="000000"/>
                <w:sz w:val="24"/>
              </w:rPr>
              <w:t>3,844,285.39</w:t>
            </w:r>
          </w:p>
        </w:tc>
        <w:tc>
          <w:tcPr>
            <w:vAlign w:val="center"/>
          </w:tcPr>
          <w:p>
            <w:pPr>
              <w:jc w:val="right"/>
            </w:pPr>
            <w:r>
              <w:rPr>
                <w:rFonts w:eastAsiaTheme="minorEastAsia"/>
                <w:color w:val="000000"/>
                <w:sz w:val="24"/>
              </w:rPr>
              <w:t>0.27</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128082</w:t>
            </w:r>
          </w:p>
        </w:tc>
        <w:tc>
          <w:tcPr>
            <w:vAlign w:val="center"/>
          </w:tcPr>
          <w:p>
            <w:pPr>
              <w:jc w:val="center"/>
            </w:pPr>
            <w:r>
              <w:rPr>
                <w:rFonts w:eastAsiaTheme="minorEastAsia"/>
                <w:color w:val="000000"/>
                <w:sz w:val="24"/>
              </w:rPr>
              <w:t>华锋转债</w:t>
            </w:r>
          </w:p>
        </w:tc>
        <w:tc>
          <w:tcPr>
            <w:vAlign w:val="center"/>
          </w:tcPr>
          <w:p>
            <w:pPr>
              <w:jc w:val="right"/>
            </w:pPr>
            <w:r>
              <w:rPr>
                <w:rFonts w:eastAsiaTheme="minorEastAsia"/>
                <w:color w:val="000000"/>
                <w:sz w:val="24"/>
              </w:rPr>
              <w:t>3,788,089.23</w:t>
            </w:r>
          </w:p>
        </w:tc>
        <w:tc>
          <w:tcPr>
            <w:vAlign w:val="center"/>
          </w:tcPr>
          <w:p>
            <w:pPr>
              <w:jc w:val="right"/>
            </w:pPr>
            <w:r>
              <w:rPr>
                <w:rFonts w:eastAsiaTheme="minorEastAsia"/>
                <w:color w:val="000000"/>
                <w:sz w:val="24"/>
              </w:rPr>
              <w:t>0.27</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3,642,588.80</w:t>
            </w:r>
          </w:p>
        </w:tc>
        <w:tc>
          <w:tcPr>
            <w:vAlign w:val="center"/>
          </w:tcPr>
          <w:p>
            <w:pPr>
              <w:jc w:val="right"/>
            </w:pPr>
            <w:r>
              <w:rPr>
                <w:rFonts w:eastAsiaTheme="minorEastAsia"/>
                <w:color w:val="000000"/>
                <w:sz w:val="24"/>
              </w:rPr>
              <w:t>0.26</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128028</w:t>
            </w:r>
          </w:p>
        </w:tc>
        <w:tc>
          <w:tcPr>
            <w:vAlign w:val="center"/>
          </w:tcPr>
          <w:p>
            <w:pPr>
              <w:jc w:val="center"/>
            </w:pPr>
            <w:r>
              <w:rPr>
                <w:rFonts w:eastAsiaTheme="minorEastAsia"/>
                <w:color w:val="000000"/>
                <w:sz w:val="24"/>
              </w:rPr>
              <w:t>赣锋转债</w:t>
            </w:r>
          </w:p>
        </w:tc>
        <w:tc>
          <w:tcPr>
            <w:vAlign w:val="center"/>
          </w:tcPr>
          <w:p>
            <w:pPr>
              <w:jc w:val="right"/>
            </w:pPr>
            <w:r>
              <w:rPr>
                <w:rFonts w:eastAsiaTheme="minorEastAsia"/>
                <w:color w:val="000000"/>
                <w:sz w:val="24"/>
              </w:rPr>
              <w:t>3,469,461.60</w:t>
            </w:r>
          </w:p>
        </w:tc>
        <w:tc>
          <w:tcPr>
            <w:vAlign w:val="center"/>
          </w:tcPr>
          <w:p>
            <w:pPr>
              <w:jc w:val="right"/>
            </w:pPr>
            <w:r>
              <w:rPr>
                <w:rFonts w:eastAsiaTheme="minorEastAsia"/>
                <w:color w:val="000000"/>
                <w:sz w:val="24"/>
              </w:rPr>
              <w:t>0.25</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2,839,346.80</w:t>
            </w:r>
          </w:p>
        </w:tc>
        <w:tc>
          <w:tcPr>
            <w:vAlign w:val="center"/>
          </w:tcPr>
          <w:p>
            <w:pPr>
              <w:jc w:val="right"/>
            </w:pPr>
            <w:r>
              <w:rPr>
                <w:rFonts w:eastAsiaTheme="minorEastAsia"/>
                <w:color w:val="000000"/>
                <w:sz w:val="24"/>
              </w:rPr>
              <w:t>0.20</w:t>
            </w:r>
          </w:p>
        </w:tc>
      </w:tr>
      <w:tr>
        <w:tc>
          <w:tcPr>
            <w:vAlign w:val="center"/>
          </w:tcPr>
          <w:p>
            <w:pPr>
              <w:jc w:val="center"/>
            </w:pPr>
            <w:r>
              <w:rPr>
                <w:rFonts w:eastAsiaTheme="minorEastAsia"/>
                <w:color w:val="000000"/>
                <w:sz w:val="24"/>
              </w:rPr>
              <w:t>19</w:t>
            </w:r>
          </w:p>
        </w:tc>
        <w:tc>
          <w:tcPr>
            <w:vAlign w:val="center"/>
          </w:tcPr>
          <w:p>
            <w:pPr>
              <w:jc w:val="center"/>
            </w:pPr>
            <w:r>
              <w:rPr>
                <w:rFonts w:eastAsiaTheme="minorEastAsia"/>
                <w:color w:val="000000"/>
                <w:sz w:val="24"/>
              </w:rPr>
              <w:t>128078</w:t>
            </w:r>
          </w:p>
        </w:tc>
        <w:tc>
          <w:tcPr>
            <w:vAlign w:val="center"/>
          </w:tcPr>
          <w:p>
            <w:pPr>
              <w:jc w:val="center"/>
            </w:pPr>
            <w:r>
              <w:rPr>
                <w:rFonts w:eastAsiaTheme="minorEastAsia"/>
                <w:color w:val="000000"/>
                <w:sz w:val="24"/>
              </w:rPr>
              <w:t>太极转债</w:t>
            </w:r>
          </w:p>
        </w:tc>
        <w:tc>
          <w:tcPr>
            <w:vAlign w:val="center"/>
          </w:tcPr>
          <w:p>
            <w:pPr>
              <w:jc w:val="right"/>
            </w:pPr>
            <w:r>
              <w:rPr>
                <w:rFonts w:eastAsiaTheme="minorEastAsia"/>
                <w:color w:val="000000"/>
                <w:sz w:val="24"/>
              </w:rPr>
              <w:t>2,815,000.00</w:t>
            </w:r>
          </w:p>
        </w:tc>
        <w:tc>
          <w:tcPr>
            <w:vAlign w:val="center"/>
          </w:tcPr>
          <w:p>
            <w:pPr>
              <w:jc w:val="right"/>
            </w:pPr>
            <w:r>
              <w:rPr>
                <w:rFonts w:eastAsiaTheme="minorEastAsia"/>
                <w:color w:val="000000"/>
                <w:sz w:val="24"/>
              </w:rPr>
              <w:t>0.20</w:t>
            </w:r>
          </w:p>
        </w:tc>
      </w:tr>
      <w:tr>
        <w:tc>
          <w:tcPr>
            <w:vAlign w:val="center"/>
          </w:tcPr>
          <w:p>
            <w:pPr>
              <w:jc w:val="center"/>
            </w:pPr>
            <w:r>
              <w:rPr>
                <w:rFonts w:eastAsiaTheme="minorEastAsia"/>
                <w:color w:val="000000"/>
                <w:sz w:val="24"/>
              </w:rPr>
              <w:t>20</w:t>
            </w:r>
          </w:p>
        </w:tc>
        <w:tc>
          <w:tcPr>
            <w:vAlign w:val="center"/>
          </w:tcPr>
          <w:p>
            <w:pPr>
              <w:jc w:val="center"/>
            </w:pPr>
            <w:r>
              <w:rPr>
                <w:rFonts w:eastAsiaTheme="minorEastAsia"/>
                <w:color w:val="000000"/>
                <w:sz w:val="24"/>
              </w:rPr>
              <w:t>113537</w:t>
            </w:r>
          </w:p>
        </w:tc>
        <w:tc>
          <w:tcPr>
            <w:vAlign w:val="center"/>
          </w:tcPr>
          <w:p>
            <w:pPr>
              <w:jc w:val="center"/>
            </w:pPr>
            <w:r>
              <w:rPr>
                <w:rFonts w:eastAsiaTheme="minorEastAsia"/>
                <w:color w:val="000000"/>
                <w:sz w:val="24"/>
              </w:rPr>
              <w:t>文灿转债</w:t>
            </w:r>
          </w:p>
        </w:tc>
        <w:tc>
          <w:tcPr>
            <w:vAlign w:val="center"/>
          </w:tcPr>
          <w:p>
            <w:pPr>
              <w:jc w:val="right"/>
            </w:pPr>
            <w:r>
              <w:rPr>
                <w:rFonts w:eastAsiaTheme="minorEastAsia"/>
                <w:color w:val="000000"/>
                <w:sz w:val="24"/>
              </w:rPr>
              <w:t>2,652,255.90</w:t>
            </w:r>
          </w:p>
        </w:tc>
        <w:tc>
          <w:tcPr>
            <w:vAlign w:val="center"/>
          </w:tcPr>
          <w:p>
            <w:pPr>
              <w:jc w:val="right"/>
            </w:pPr>
            <w:r>
              <w:rPr>
                <w:rFonts w:eastAsiaTheme="minorEastAsia"/>
                <w:color w:val="000000"/>
                <w:sz w:val="24"/>
              </w:rPr>
              <w:t>0.19</w:t>
            </w:r>
          </w:p>
        </w:tc>
      </w:tr>
      <w:tr>
        <w:tc>
          <w:tcPr>
            <w:vAlign w:val="center"/>
          </w:tcPr>
          <w:p>
            <w:pPr>
              <w:jc w:val="center"/>
            </w:pPr>
            <w:r>
              <w:rPr>
                <w:rFonts w:eastAsiaTheme="minorEastAsia"/>
                <w:color w:val="000000"/>
                <w:sz w:val="24"/>
              </w:rPr>
              <w:t>21</w:t>
            </w:r>
          </w:p>
        </w:tc>
        <w:tc>
          <w:tcPr>
            <w:vAlign w:val="center"/>
          </w:tcPr>
          <w:p>
            <w:pPr>
              <w:jc w:val="center"/>
            </w:pPr>
            <w:r>
              <w:rPr>
                <w:rFonts w:eastAsiaTheme="minorEastAsia"/>
                <w:color w:val="000000"/>
                <w:sz w:val="24"/>
              </w:rPr>
              <w:t>113019</w:t>
            </w:r>
          </w:p>
        </w:tc>
        <w:tc>
          <w:tcPr>
            <w:vAlign w:val="center"/>
          </w:tcPr>
          <w:p>
            <w:pPr>
              <w:jc w:val="center"/>
            </w:pPr>
            <w:r>
              <w:rPr>
                <w:rFonts w:eastAsiaTheme="minorEastAsia"/>
                <w:color w:val="000000"/>
                <w:sz w:val="24"/>
              </w:rPr>
              <w:t>玲珑转债</w:t>
            </w:r>
          </w:p>
        </w:tc>
        <w:tc>
          <w:tcPr>
            <w:vAlign w:val="center"/>
          </w:tcPr>
          <w:p>
            <w:pPr>
              <w:jc w:val="right"/>
            </w:pPr>
            <w:r>
              <w:rPr>
                <w:rFonts w:eastAsiaTheme="minorEastAsia"/>
                <w:color w:val="000000"/>
                <w:sz w:val="24"/>
              </w:rPr>
              <w:t>2,474,400.00</w:t>
            </w:r>
          </w:p>
        </w:tc>
        <w:tc>
          <w:tcPr>
            <w:vAlign w:val="center"/>
          </w:tcPr>
          <w:p>
            <w:pPr>
              <w:jc w:val="right"/>
            </w:pPr>
            <w:r>
              <w:rPr>
                <w:rFonts w:eastAsiaTheme="minorEastAsia"/>
                <w:color w:val="000000"/>
                <w:sz w:val="24"/>
              </w:rPr>
              <w:t>0.18</w:t>
            </w:r>
          </w:p>
        </w:tc>
      </w:tr>
      <w:tr>
        <w:tc>
          <w:tcPr>
            <w:vAlign w:val="center"/>
          </w:tcPr>
          <w:p>
            <w:pPr>
              <w:jc w:val="center"/>
            </w:pPr>
            <w:r>
              <w:rPr>
                <w:rFonts w:eastAsiaTheme="minorEastAsia"/>
                <w:color w:val="000000"/>
                <w:sz w:val="24"/>
              </w:rPr>
              <w:t>22</w:t>
            </w:r>
          </w:p>
        </w:tc>
        <w:tc>
          <w:tcPr>
            <w:vAlign w:val="center"/>
          </w:tcPr>
          <w:p>
            <w:pPr>
              <w:jc w:val="center"/>
            </w:pPr>
            <w:r>
              <w:rPr>
                <w:rFonts w:eastAsiaTheme="minorEastAsia"/>
                <w:color w:val="000000"/>
                <w:sz w:val="24"/>
              </w:rPr>
              <w:t>110034</w:t>
            </w:r>
          </w:p>
        </w:tc>
        <w:tc>
          <w:tcPr>
            <w:vAlign w:val="center"/>
          </w:tcPr>
          <w:p>
            <w:pPr>
              <w:jc w:val="center"/>
            </w:pPr>
            <w:r>
              <w:rPr>
                <w:rFonts w:eastAsiaTheme="minorEastAsia"/>
                <w:color w:val="000000"/>
                <w:sz w:val="24"/>
              </w:rPr>
              <w:t>九州转债</w:t>
            </w:r>
          </w:p>
        </w:tc>
        <w:tc>
          <w:tcPr>
            <w:vAlign w:val="center"/>
          </w:tcPr>
          <w:p>
            <w:pPr>
              <w:jc w:val="right"/>
            </w:pPr>
            <w:r>
              <w:rPr>
                <w:rFonts w:eastAsiaTheme="minorEastAsia"/>
                <w:color w:val="000000"/>
                <w:sz w:val="24"/>
              </w:rPr>
              <w:t>2,301,600.00</w:t>
            </w:r>
          </w:p>
        </w:tc>
        <w:tc>
          <w:tcPr>
            <w:vAlign w:val="center"/>
          </w:tcPr>
          <w:p>
            <w:pPr>
              <w:jc w:val="right"/>
            </w:pPr>
            <w:r>
              <w:rPr>
                <w:rFonts w:eastAsiaTheme="minorEastAsia"/>
                <w:color w:val="000000"/>
                <w:sz w:val="24"/>
              </w:rPr>
              <w:t>0.16</w:t>
            </w:r>
          </w:p>
        </w:tc>
      </w:tr>
      <w:tr>
        <w:tc>
          <w:tcPr>
            <w:vAlign w:val="center"/>
          </w:tcPr>
          <w:p>
            <w:pPr>
              <w:jc w:val="center"/>
            </w:pPr>
            <w:r>
              <w:rPr>
                <w:rFonts w:eastAsiaTheme="minorEastAsia"/>
                <w:color w:val="000000"/>
                <w:sz w:val="24"/>
              </w:rPr>
              <w:t>23</w:t>
            </w:r>
          </w:p>
        </w:tc>
        <w:tc>
          <w:tcPr>
            <w:vAlign w:val="center"/>
          </w:tcPr>
          <w:p>
            <w:pPr>
              <w:jc w:val="center"/>
            </w:pPr>
            <w:r>
              <w:rPr>
                <w:rFonts w:eastAsiaTheme="minorEastAsia"/>
                <w:color w:val="000000"/>
                <w:sz w:val="24"/>
              </w:rPr>
              <w:t>113545</w:t>
            </w:r>
          </w:p>
        </w:tc>
        <w:tc>
          <w:tcPr>
            <w:vAlign w:val="center"/>
          </w:tcPr>
          <w:p>
            <w:pPr>
              <w:jc w:val="center"/>
            </w:pPr>
            <w:r>
              <w:rPr>
                <w:rFonts w:eastAsiaTheme="minorEastAsia"/>
                <w:color w:val="000000"/>
                <w:sz w:val="24"/>
              </w:rPr>
              <w:t>金能转债</w:t>
            </w:r>
          </w:p>
        </w:tc>
        <w:tc>
          <w:tcPr>
            <w:vAlign w:val="center"/>
          </w:tcPr>
          <w:p>
            <w:pPr>
              <w:jc w:val="right"/>
            </w:pPr>
            <w:r>
              <w:rPr>
                <w:rFonts w:eastAsiaTheme="minorEastAsia"/>
                <w:color w:val="000000"/>
                <w:sz w:val="24"/>
              </w:rPr>
              <w:t>2,299,600.00</w:t>
            </w:r>
          </w:p>
        </w:tc>
        <w:tc>
          <w:tcPr>
            <w:vAlign w:val="center"/>
          </w:tcPr>
          <w:p>
            <w:pPr>
              <w:jc w:val="right"/>
            </w:pPr>
            <w:r>
              <w:rPr>
                <w:rFonts w:eastAsiaTheme="minorEastAsia"/>
                <w:color w:val="000000"/>
                <w:sz w:val="24"/>
              </w:rPr>
              <w:t>0.16</w:t>
            </w:r>
          </w:p>
        </w:tc>
      </w:tr>
      <w:tr>
        <w:tc>
          <w:tcPr>
            <w:vAlign w:val="center"/>
          </w:tcPr>
          <w:p>
            <w:pPr>
              <w:jc w:val="center"/>
            </w:pPr>
            <w:r>
              <w:rPr>
                <w:rFonts w:eastAsiaTheme="minorEastAsia"/>
                <w:color w:val="000000"/>
                <w:sz w:val="24"/>
              </w:rPr>
              <w:t>24</w:t>
            </w:r>
          </w:p>
        </w:tc>
        <w:tc>
          <w:tcPr>
            <w:vAlign w:val="center"/>
          </w:tcPr>
          <w:p>
            <w:pPr>
              <w:jc w:val="center"/>
            </w:pPr>
            <w:r>
              <w:rPr>
                <w:rFonts w:eastAsiaTheme="minorEastAsia"/>
                <w:color w:val="000000"/>
                <w:sz w:val="24"/>
              </w:rPr>
              <w:t>128065</w:t>
            </w:r>
          </w:p>
        </w:tc>
        <w:tc>
          <w:tcPr>
            <w:vAlign w:val="center"/>
          </w:tcPr>
          <w:p>
            <w:pPr>
              <w:jc w:val="center"/>
            </w:pPr>
            <w:r>
              <w:rPr>
                <w:rFonts w:eastAsiaTheme="minorEastAsia"/>
                <w:color w:val="000000"/>
                <w:sz w:val="24"/>
              </w:rPr>
              <w:t>雅化转债</w:t>
            </w:r>
          </w:p>
        </w:tc>
        <w:tc>
          <w:tcPr>
            <w:vAlign w:val="center"/>
          </w:tcPr>
          <w:p>
            <w:pPr>
              <w:jc w:val="right"/>
            </w:pPr>
            <w:r>
              <w:rPr>
                <w:rFonts w:eastAsiaTheme="minorEastAsia"/>
                <w:color w:val="000000"/>
                <w:sz w:val="24"/>
              </w:rPr>
              <w:t>1,557,336.70</w:t>
            </w:r>
          </w:p>
        </w:tc>
        <w:tc>
          <w:tcPr>
            <w:vAlign w:val="center"/>
          </w:tcPr>
          <w:p>
            <w:pPr>
              <w:jc w:val="right"/>
            </w:pPr>
            <w:r>
              <w:rPr>
                <w:rFonts w:eastAsiaTheme="minorEastAsia"/>
                <w:color w:val="000000"/>
                <w:sz w:val="24"/>
              </w:rPr>
              <w:t>0.11</w:t>
            </w:r>
          </w:p>
        </w:tc>
      </w:tr>
      <w:tr>
        <w:tc>
          <w:tcPr>
            <w:vAlign w:val="center"/>
          </w:tcPr>
          <w:p>
            <w:pPr>
              <w:jc w:val="center"/>
            </w:pPr>
            <w:r>
              <w:rPr>
                <w:rFonts w:eastAsiaTheme="minorEastAsia"/>
                <w:color w:val="000000"/>
                <w:sz w:val="24"/>
              </w:rPr>
              <w:t>25</w:t>
            </w:r>
          </w:p>
        </w:tc>
        <w:tc>
          <w:tcPr>
            <w:vAlign w:val="center"/>
          </w:tcPr>
          <w:p>
            <w:pPr>
              <w:jc w:val="center"/>
            </w:pPr>
            <w:r>
              <w:rPr>
                <w:rFonts w:eastAsiaTheme="minorEastAsia"/>
                <w:color w:val="000000"/>
                <w:sz w:val="24"/>
              </w:rPr>
              <w:t>113553</w:t>
            </w:r>
          </w:p>
        </w:tc>
        <w:tc>
          <w:tcPr>
            <w:vAlign w:val="center"/>
          </w:tcPr>
          <w:p>
            <w:pPr>
              <w:jc w:val="center"/>
            </w:pPr>
            <w:r>
              <w:rPr>
                <w:rFonts w:eastAsiaTheme="minorEastAsia"/>
                <w:color w:val="000000"/>
                <w:sz w:val="24"/>
              </w:rPr>
              <w:t>金牌转债</w:t>
            </w:r>
          </w:p>
        </w:tc>
        <w:tc>
          <w:tcPr>
            <w:vAlign w:val="center"/>
          </w:tcPr>
          <w:p>
            <w:pPr>
              <w:jc w:val="right"/>
            </w:pPr>
            <w:r>
              <w:rPr>
                <w:rFonts w:eastAsiaTheme="minorEastAsia"/>
                <w:color w:val="000000"/>
                <w:sz w:val="24"/>
              </w:rPr>
              <w:t>1,013,746.50</w:t>
            </w:r>
          </w:p>
        </w:tc>
        <w:tc>
          <w:tcPr>
            <w:vAlign w:val="center"/>
          </w:tcPr>
          <w:p>
            <w:pPr>
              <w:jc w:val="right"/>
            </w:pPr>
            <w:r>
              <w:rPr>
                <w:rFonts w:eastAsiaTheme="minorEastAsia"/>
                <w:color w:val="000000"/>
                <w:sz w:val="24"/>
              </w:rPr>
              <w:t>0.07</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pPr>
        <w:spacing w:before="29" w:line="288" w:lineRule="auto"/>
        <w:rPr>
          <w:rFonts w:eastAsiaTheme="minorEastAsia"/>
          <w:color w:val="000000"/>
          <w:sz w:val="24"/>
        </w:rPr>
      </w:pPr>
      <w:r>
        <w:rPr>
          <w:rFonts w:eastAsiaTheme="minorEastAsia"/>
          <w:color w:val="000000"/>
          <w:sz w:val="24"/>
        </w:rPr>
        <w:t>1、本基金本报告期末未持有处于交换期的可交换债券。</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2、由于四舍五入的原因，分项之和与合计项之间可能存在尾差。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952,330,240.70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542,921,967.48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134,530,724.65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27,012,579.22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129,066,882.38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123,955,093.91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957,794,082.97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445,979,452.79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395,255,928.85</w:t>
            </w:r>
          </w:p>
        </w:tc>
        <w:tc>
          <w:tcPr>
            <w:vAlign w:val="center"/>
          </w:tcPr>
          <w:p>
            <w:pPr>
              <w:jc w:val="center"/>
            </w:pPr>
            <w:r>
              <w:rPr>
                <w:rFonts w:ascii="宋体" w:hAnsi="宋体" w:hint="eastAsia"/>
                <w:color w:val="000000"/>
                <w:kern w:val="0"/>
                <w:szCs w:val="21"/>
              </w:rPr>
              <w:t>7,840,046.20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403,095,975.05</w:t>
            </w:r>
          </w:p>
        </w:tc>
        <w:tc>
          <w:tcPr>
            <w:vAlign w:val="center"/>
          </w:tcPr>
          <w:p>
            <w:pPr>
              <w:jc w:val="center"/>
            </w:pPr>
            <w:r>
              <w:rPr>
                <w:rFonts w:ascii="宋体" w:hAnsi="宋体" w:hint="eastAsia"/>
                <w:color w:val="000000"/>
                <w:kern w:val="0"/>
                <w:szCs w:val="21"/>
              </w:rPr>
              <w:t>28.72%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1、中国证监会批准交银施罗德增利债券证券投资基金募集的文件；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5、关于募集交银施罗德增利债券证券投资基金之法律意见书；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交银施罗德增利债券证券投资基金2020年第2季度报告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