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74,526,955.36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F74E60" w:rsidRDefault="00804CD9">
            <w:pPr>
              <w:adjustRightInd w:val="0"/>
              <w:spacing w:before="29" w:line="288" w:lineRule="auto"/>
              <w:ind w:left="17"/>
              <w:jc w:val="left"/>
              <w:rPr>
                <w:color w:val="000000"/>
                <w:sz w:val="24"/>
              </w:rPr>
            </w:pPr>
            <w:r>
              <w:rPr>
                <w:color w:val="000000"/>
                <w:kern w:val="0"/>
                <w:sz w:val="24"/>
              </w:rPr>
              <w:t>封闭期内的投资策略：</w:t>
            </w:r>
          </w:p>
          <w:p w:rsidR="00F74E60" w:rsidRDefault="00804CD9">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F74E60" w:rsidRDefault="00804CD9">
            <w:pPr>
              <w:adjustRightInd w:val="0"/>
              <w:spacing w:before="29" w:line="288" w:lineRule="auto"/>
              <w:ind w:left="17"/>
              <w:jc w:val="left"/>
              <w:rPr>
                <w:color w:val="000000"/>
                <w:sz w:val="24"/>
              </w:rPr>
            </w:pPr>
            <w:r>
              <w:rPr>
                <w:color w:val="000000"/>
                <w:kern w:val="0"/>
                <w:sz w:val="24"/>
              </w:rPr>
              <w:t>转为开放式运作后的投资策略：</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交银丰晟收益债券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交银丰晟收益债券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005577</w:t>
            </w:r>
          </w:p>
        </w:tc>
        <w:tc>
          <w:tcPr>
            <w:tcW w:w="3048" w:type="dxa"/>
            <w:vAlign w:val="center"/>
          </w:tcPr>
          <w:p w:rsidR="00C23B30" w:rsidRPr="000E4C40" w:rsidRDefault="00C23B30" w:rsidP="00A52A9E">
            <w:pPr>
              <w:spacing w:before="29" w:line="288" w:lineRule="auto"/>
              <w:jc w:val="left"/>
              <w:rPr>
                <w:sz w:val="24"/>
              </w:rPr>
            </w:pPr>
            <w:r w:rsidRPr="000E4C40">
              <w:rPr>
                <w:sz w:val="24"/>
              </w:rPr>
              <w:t>005578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74,241,622.61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285,332.75</w:t>
            </w:r>
            <w:r w:rsidRPr="007F52FA">
              <w:rPr>
                <w:color w:val="000000"/>
                <w:kern w:val="0"/>
                <w:sz w:val="24"/>
              </w:rPr>
              <w:t>份</w:t>
            </w:r>
          </w:p>
        </w:tc>
      </w:tr>
    </w:tbl>
    <w:p w:rsidR="00740635" w:rsidRPr="007F52FA" w:rsidRDefault="00D13695" w:rsidP="007C14DF">
      <w:pPr>
        <w:autoSpaceDE w:val="0"/>
        <w:autoSpaceDN w:val="0"/>
        <w:adjustRightInd w:val="0"/>
        <w:spacing w:before="29" w:line="288" w:lineRule="auto"/>
        <w:jc w:val="left"/>
        <w:rPr>
          <w:rFonts w:eastAsiaTheme="minorEastAsia"/>
          <w:color w:val="000000"/>
          <w:sz w:val="24"/>
        </w:rPr>
      </w:pPr>
      <w:r w:rsidRPr="00D13695">
        <w:rPr>
          <w:rFonts w:eastAsiaTheme="minorEastAsia" w:hint="eastAsia"/>
          <w:color w:val="000000"/>
          <w:sz w:val="24"/>
        </w:rPr>
        <w:t>注：本基金自</w:t>
      </w:r>
      <w:r w:rsidRPr="00D13695">
        <w:rPr>
          <w:rFonts w:eastAsiaTheme="minorEastAsia" w:hint="eastAsia"/>
          <w:color w:val="000000"/>
          <w:sz w:val="24"/>
        </w:rPr>
        <w:t>2020</w:t>
      </w:r>
      <w:r w:rsidRPr="00D13695">
        <w:rPr>
          <w:rFonts w:eastAsiaTheme="minorEastAsia" w:hint="eastAsia"/>
          <w:color w:val="000000"/>
          <w:sz w:val="24"/>
        </w:rPr>
        <w:t>年</w:t>
      </w:r>
      <w:r w:rsidRPr="00D13695">
        <w:rPr>
          <w:rFonts w:eastAsiaTheme="minorEastAsia" w:hint="eastAsia"/>
          <w:color w:val="000000"/>
          <w:sz w:val="24"/>
        </w:rPr>
        <w:t>5</w:t>
      </w:r>
      <w:r w:rsidRPr="00D13695">
        <w:rPr>
          <w:rFonts w:eastAsiaTheme="minorEastAsia" w:hint="eastAsia"/>
          <w:color w:val="000000"/>
          <w:sz w:val="24"/>
        </w:rPr>
        <w:t>月</w:t>
      </w:r>
      <w:r w:rsidRPr="00D13695">
        <w:rPr>
          <w:rFonts w:eastAsiaTheme="minorEastAsia" w:hint="eastAsia"/>
          <w:color w:val="000000"/>
          <w:sz w:val="24"/>
        </w:rPr>
        <w:t>26</w:t>
      </w:r>
      <w:r w:rsidRPr="00D13695">
        <w:rPr>
          <w:rFonts w:eastAsiaTheme="minorEastAsia" w:hint="eastAsia"/>
          <w:color w:val="000000"/>
          <w:sz w:val="24"/>
        </w:rPr>
        <w:t>日起转为开放式运作。</w:t>
      </w:r>
      <w:bookmarkStart w:id="0" w:name="_GoBack"/>
      <w:bookmarkEnd w:id="0"/>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交银丰晟收益债券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交银丰晟收益债券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7,045,613.13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15,695.52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1,940,616.22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3,550.70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78,394,592.79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300,251.12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1.0523</w:t>
            </w:r>
          </w:p>
        </w:tc>
      </w:tr>
    </w:tbl>
    <w:p w:rsidR="00F74E60" w:rsidRDefault="00804CD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交银丰晟收益债券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74E60">
        <w:trPr>
          <w:jc w:val="center"/>
        </w:trPr>
        <w:tc>
          <w:tcPr>
            <w:tcW w:w="1266" w:type="dxa"/>
            <w:vAlign w:val="center"/>
          </w:tcPr>
          <w:p w:rsidR="00F74E60" w:rsidRDefault="00804CD9">
            <w:pPr>
              <w:jc w:val="left"/>
            </w:pPr>
            <w:r>
              <w:rPr>
                <w:color w:val="000000"/>
                <w:sz w:val="24"/>
              </w:rPr>
              <w:t>过去三个月</w:t>
            </w:r>
          </w:p>
        </w:tc>
        <w:tc>
          <w:tcPr>
            <w:tcW w:w="1267" w:type="dxa"/>
            <w:vAlign w:val="center"/>
          </w:tcPr>
          <w:p w:rsidR="00F74E60" w:rsidRDefault="00804CD9">
            <w:pPr>
              <w:jc w:val="center"/>
            </w:pPr>
            <w:r>
              <w:rPr>
                <w:color w:val="000000"/>
                <w:sz w:val="24"/>
              </w:rPr>
              <w:t>0.52%</w:t>
            </w:r>
          </w:p>
        </w:tc>
        <w:tc>
          <w:tcPr>
            <w:tcW w:w="1267" w:type="dxa"/>
            <w:vAlign w:val="center"/>
          </w:tcPr>
          <w:p w:rsidR="00F74E60" w:rsidRDefault="00804CD9">
            <w:pPr>
              <w:jc w:val="center"/>
            </w:pPr>
            <w:r>
              <w:rPr>
                <w:color w:val="000000"/>
                <w:sz w:val="24"/>
              </w:rPr>
              <w:t>0.03%</w:t>
            </w:r>
          </w:p>
        </w:tc>
        <w:tc>
          <w:tcPr>
            <w:tcW w:w="1267" w:type="dxa"/>
            <w:vAlign w:val="center"/>
          </w:tcPr>
          <w:p w:rsidR="00F74E60" w:rsidRDefault="00804CD9">
            <w:pPr>
              <w:jc w:val="center"/>
            </w:pPr>
            <w:r>
              <w:rPr>
                <w:color w:val="000000"/>
                <w:sz w:val="24"/>
              </w:rPr>
              <w:t>-1.04%</w:t>
            </w:r>
          </w:p>
        </w:tc>
        <w:tc>
          <w:tcPr>
            <w:tcW w:w="1267" w:type="dxa"/>
            <w:vAlign w:val="center"/>
          </w:tcPr>
          <w:p w:rsidR="00F74E60" w:rsidRDefault="00804CD9">
            <w:pPr>
              <w:jc w:val="center"/>
            </w:pPr>
            <w:r>
              <w:rPr>
                <w:color w:val="000000"/>
                <w:sz w:val="24"/>
              </w:rPr>
              <w:t>0.12%</w:t>
            </w:r>
          </w:p>
        </w:tc>
        <w:tc>
          <w:tcPr>
            <w:tcW w:w="1267" w:type="dxa"/>
            <w:vAlign w:val="center"/>
          </w:tcPr>
          <w:p w:rsidR="00F74E60" w:rsidRDefault="00804CD9">
            <w:pPr>
              <w:jc w:val="center"/>
            </w:pPr>
            <w:r>
              <w:rPr>
                <w:color w:val="000000"/>
                <w:sz w:val="24"/>
              </w:rPr>
              <w:t>1.56%</w:t>
            </w:r>
          </w:p>
        </w:tc>
        <w:tc>
          <w:tcPr>
            <w:tcW w:w="1267" w:type="dxa"/>
            <w:vAlign w:val="center"/>
          </w:tcPr>
          <w:p w:rsidR="00F74E60" w:rsidRDefault="00804CD9">
            <w:pPr>
              <w:jc w:val="center"/>
            </w:pPr>
            <w:r>
              <w:rPr>
                <w:color w:val="000000"/>
                <w:sz w:val="24"/>
              </w:rPr>
              <w:t>-0.09%</w:t>
            </w:r>
          </w:p>
        </w:tc>
      </w:tr>
      <w:tr w:rsidR="00F74E60">
        <w:trPr>
          <w:jc w:val="center"/>
        </w:trPr>
        <w:tc>
          <w:tcPr>
            <w:tcW w:w="1266" w:type="dxa"/>
            <w:vAlign w:val="center"/>
          </w:tcPr>
          <w:p w:rsidR="00F74E60" w:rsidRDefault="00804CD9">
            <w:pPr>
              <w:jc w:val="left"/>
            </w:pPr>
            <w:r>
              <w:rPr>
                <w:color w:val="000000"/>
                <w:sz w:val="24"/>
              </w:rPr>
              <w:t>过去六个月</w:t>
            </w:r>
          </w:p>
        </w:tc>
        <w:tc>
          <w:tcPr>
            <w:tcW w:w="1267" w:type="dxa"/>
            <w:vAlign w:val="center"/>
          </w:tcPr>
          <w:p w:rsidR="00F74E60" w:rsidRDefault="00804CD9">
            <w:pPr>
              <w:jc w:val="center"/>
            </w:pPr>
            <w:r>
              <w:rPr>
                <w:color w:val="000000"/>
                <w:sz w:val="24"/>
              </w:rPr>
              <w:t>2.00%</w:t>
            </w:r>
          </w:p>
        </w:tc>
        <w:tc>
          <w:tcPr>
            <w:tcW w:w="1267" w:type="dxa"/>
            <w:vAlign w:val="center"/>
          </w:tcPr>
          <w:p w:rsidR="00F74E60" w:rsidRDefault="00804CD9">
            <w:pPr>
              <w:jc w:val="center"/>
            </w:pPr>
            <w:r>
              <w:rPr>
                <w:color w:val="000000"/>
                <w:sz w:val="24"/>
              </w:rPr>
              <w:t>0.03%</w:t>
            </w:r>
          </w:p>
        </w:tc>
        <w:tc>
          <w:tcPr>
            <w:tcW w:w="1267" w:type="dxa"/>
            <w:vAlign w:val="center"/>
          </w:tcPr>
          <w:p w:rsidR="00F74E60" w:rsidRDefault="00804CD9">
            <w:pPr>
              <w:jc w:val="center"/>
            </w:pPr>
            <w:r>
              <w:rPr>
                <w:color w:val="000000"/>
                <w:sz w:val="24"/>
              </w:rPr>
              <w:t>0.79%</w:t>
            </w:r>
          </w:p>
        </w:tc>
        <w:tc>
          <w:tcPr>
            <w:tcW w:w="1267" w:type="dxa"/>
            <w:vAlign w:val="center"/>
          </w:tcPr>
          <w:p w:rsidR="00F74E60" w:rsidRDefault="00804CD9">
            <w:pPr>
              <w:jc w:val="center"/>
            </w:pPr>
            <w:r>
              <w:rPr>
                <w:color w:val="000000"/>
                <w:sz w:val="24"/>
              </w:rPr>
              <w:t>0.11%</w:t>
            </w:r>
          </w:p>
        </w:tc>
        <w:tc>
          <w:tcPr>
            <w:tcW w:w="1267" w:type="dxa"/>
            <w:vAlign w:val="center"/>
          </w:tcPr>
          <w:p w:rsidR="00F74E60" w:rsidRDefault="00804CD9">
            <w:pPr>
              <w:jc w:val="center"/>
            </w:pPr>
            <w:r>
              <w:rPr>
                <w:color w:val="000000"/>
                <w:sz w:val="24"/>
              </w:rPr>
              <w:t>1.21%</w:t>
            </w:r>
          </w:p>
        </w:tc>
        <w:tc>
          <w:tcPr>
            <w:tcW w:w="1267" w:type="dxa"/>
            <w:vAlign w:val="center"/>
          </w:tcPr>
          <w:p w:rsidR="00F74E60" w:rsidRDefault="00804CD9">
            <w:pPr>
              <w:jc w:val="center"/>
            </w:pPr>
            <w:r>
              <w:rPr>
                <w:color w:val="000000"/>
                <w:sz w:val="24"/>
              </w:rPr>
              <w:t>-0.08%</w:t>
            </w:r>
          </w:p>
        </w:tc>
      </w:tr>
      <w:tr w:rsidR="00F74E60">
        <w:trPr>
          <w:jc w:val="center"/>
        </w:trPr>
        <w:tc>
          <w:tcPr>
            <w:tcW w:w="1266" w:type="dxa"/>
            <w:vAlign w:val="center"/>
          </w:tcPr>
          <w:p w:rsidR="00F74E60" w:rsidRDefault="00804CD9">
            <w:pPr>
              <w:jc w:val="left"/>
            </w:pPr>
            <w:r>
              <w:rPr>
                <w:color w:val="000000"/>
                <w:sz w:val="24"/>
              </w:rPr>
              <w:t>过去一年</w:t>
            </w:r>
          </w:p>
        </w:tc>
        <w:tc>
          <w:tcPr>
            <w:tcW w:w="1267" w:type="dxa"/>
            <w:vAlign w:val="center"/>
          </w:tcPr>
          <w:p w:rsidR="00F74E60" w:rsidRDefault="00804CD9">
            <w:pPr>
              <w:jc w:val="center"/>
            </w:pPr>
            <w:r>
              <w:rPr>
                <w:color w:val="000000"/>
                <w:sz w:val="24"/>
              </w:rPr>
              <w:t>4.23%</w:t>
            </w:r>
          </w:p>
        </w:tc>
        <w:tc>
          <w:tcPr>
            <w:tcW w:w="1267" w:type="dxa"/>
            <w:vAlign w:val="center"/>
          </w:tcPr>
          <w:p w:rsidR="00F74E60" w:rsidRDefault="00804CD9">
            <w:pPr>
              <w:jc w:val="center"/>
            </w:pPr>
            <w:r>
              <w:rPr>
                <w:color w:val="000000"/>
                <w:sz w:val="24"/>
              </w:rPr>
              <w:t>0.04%</w:t>
            </w:r>
          </w:p>
        </w:tc>
        <w:tc>
          <w:tcPr>
            <w:tcW w:w="1267" w:type="dxa"/>
            <w:vAlign w:val="center"/>
          </w:tcPr>
          <w:p w:rsidR="00F74E60" w:rsidRDefault="00804CD9">
            <w:pPr>
              <w:jc w:val="center"/>
            </w:pPr>
            <w:r>
              <w:rPr>
                <w:color w:val="000000"/>
                <w:sz w:val="24"/>
              </w:rPr>
              <w:t>1.87%</w:t>
            </w:r>
          </w:p>
        </w:tc>
        <w:tc>
          <w:tcPr>
            <w:tcW w:w="1267" w:type="dxa"/>
            <w:vAlign w:val="center"/>
          </w:tcPr>
          <w:p w:rsidR="00F74E60" w:rsidRDefault="00804CD9">
            <w:pPr>
              <w:jc w:val="center"/>
            </w:pPr>
            <w:r>
              <w:rPr>
                <w:color w:val="000000"/>
                <w:sz w:val="24"/>
              </w:rPr>
              <w:t>0.08%</w:t>
            </w:r>
          </w:p>
        </w:tc>
        <w:tc>
          <w:tcPr>
            <w:tcW w:w="1267" w:type="dxa"/>
            <w:vAlign w:val="center"/>
          </w:tcPr>
          <w:p w:rsidR="00F74E60" w:rsidRDefault="00804CD9">
            <w:pPr>
              <w:jc w:val="center"/>
            </w:pPr>
            <w:r>
              <w:rPr>
                <w:color w:val="000000"/>
                <w:sz w:val="24"/>
              </w:rPr>
              <w:t>2.36%</w:t>
            </w:r>
          </w:p>
        </w:tc>
        <w:tc>
          <w:tcPr>
            <w:tcW w:w="1267" w:type="dxa"/>
            <w:vAlign w:val="center"/>
          </w:tcPr>
          <w:p w:rsidR="00F74E60" w:rsidRDefault="00804CD9">
            <w:pPr>
              <w:jc w:val="center"/>
            </w:pPr>
            <w:r>
              <w:rPr>
                <w:color w:val="000000"/>
                <w:sz w:val="24"/>
              </w:rPr>
              <w:t>-0.04%</w:t>
            </w:r>
          </w:p>
        </w:tc>
      </w:tr>
      <w:tr w:rsidR="00F74E60">
        <w:trPr>
          <w:jc w:val="center"/>
        </w:trPr>
        <w:tc>
          <w:tcPr>
            <w:tcW w:w="1266" w:type="dxa"/>
            <w:vAlign w:val="center"/>
          </w:tcPr>
          <w:p w:rsidR="00F74E60" w:rsidRDefault="00804CD9">
            <w:pPr>
              <w:jc w:val="left"/>
            </w:pPr>
            <w:r>
              <w:rPr>
                <w:color w:val="000000"/>
                <w:sz w:val="24"/>
              </w:rPr>
              <w:t>自基金合同生效起至今</w:t>
            </w:r>
          </w:p>
        </w:tc>
        <w:tc>
          <w:tcPr>
            <w:tcW w:w="1267" w:type="dxa"/>
            <w:vAlign w:val="center"/>
          </w:tcPr>
          <w:p w:rsidR="00F74E60" w:rsidRDefault="00804CD9">
            <w:pPr>
              <w:jc w:val="center"/>
            </w:pPr>
            <w:r>
              <w:rPr>
                <w:color w:val="000000"/>
                <w:sz w:val="24"/>
              </w:rPr>
              <w:t>14.90%</w:t>
            </w:r>
          </w:p>
        </w:tc>
        <w:tc>
          <w:tcPr>
            <w:tcW w:w="1267" w:type="dxa"/>
            <w:vAlign w:val="center"/>
          </w:tcPr>
          <w:p w:rsidR="00F74E60" w:rsidRDefault="00804CD9">
            <w:pPr>
              <w:jc w:val="center"/>
            </w:pPr>
            <w:r>
              <w:rPr>
                <w:color w:val="000000"/>
                <w:sz w:val="24"/>
              </w:rPr>
              <w:t>0.08%</w:t>
            </w:r>
          </w:p>
        </w:tc>
        <w:tc>
          <w:tcPr>
            <w:tcW w:w="1267" w:type="dxa"/>
            <w:vAlign w:val="center"/>
          </w:tcPr>
          <w:p w:rsidR="00F74E60" w:rsidRDefault="00804CD9">
            <w:pPr>
              <w:jc w:val="center"/>
            </w:pPr>
            <w:r>
              <w:rPr>
                <w:color w:val="000000"/>
                <w:sz w:val="24"/>
              </w:rPr>
              <w:t>5.21%</w:t>
            </w:r>
          </w:p>
        </w:tc>
        <w:tc>
          <w:tcPr>
            <w:tcW w:w="1267" w:type="dxa"/>
            <w:vAlign w:val="center"/>
          </w:tcPr>
          <w:p w:rsidR="00F74E60" w:rsidRDefault="00804CD9">
            <w:pPr>
              <w:jc w:val="center"/>
            </w:pPr>
            <w:r>
              <w:rPr>
                <w:color w:val="000000"/>
                <w:sz w:val="24"/>
              </w:rPr>
              <w:t>0.07%</w:t>
            </w:r>
          </w:p>
        </w:tc>
        <w:tc>
          <w:tcPr>
            <w:tcW w:w="1267" w:type="dxa"/>
            <w:vAlign w:val="center"/>
          </w:tcPr>
          <w:p w:rsidR="00F74E60" w:rsidRDefault="00804CD9">
            <w:pPr>
              <w:jc w:val="center"/>
            </w:pPr>
            <w:r>
              <w:rPr>
                <w:color w:val="000000"/>
                <w:sz w:val="24"/>
              </w:rPr>
              <w:t>9.69%</w:t>
            </w:r>
          </w:p>
        </w:tc>
        <w:tc>
          <w:tcPr>
            <w:tcW w:w="1267" w:type="dxa"/>
            <w:vAlign w:val="center"/>
          </w:tcPr>
          <w:p w:rsidR="00F74E60" w:rsidRDefault="00804CD9">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交银丰晟收益债券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74E60">
        <w:trPr>
          <w:jc w:val="center"/>
        </w:trPr>
        <w:tc>
          <w:tcPr>
            <w:tcW w:w="1266" w:type="dxa"/>
            <w:vAlign w:val="center"/>
          </w:tcPr>
          <w:p w:rsidR="00F74E60" w:rsidRDefault="00804CD9">
            <w:pPr>
              <w:jc w:val="left"/>
            </w:pPr>
            <w:r>
              <w:rPr>
                <w:color w:val="000000"/>
                <w:sz w:val="24"/>
              </w:rPr>
              <w:t>过去三个月</w:t>
            </w:r>
          </w:p>
        </w:tc>
        <w:tc>
          <w:tcPr>
            <w:tcW w:w="1267" w:type="dxa"/>
            <w:vAlign w:val="center"/>
          </w:tcPr>
          <w:p w:rsidR="00F74E60" w:rsidRDefault="00804CD9">
            <w:pPr>
              <w:jc w:val="center"/>
            </w:pPr>
            <w:r>
              <w:rPr>
                <w:color w:val="000000"/>
                <w:sz w:val="24"/>
              </w:rPr>
              <w:t>0.38%</w:t>
            </w:r>
          </w:p>
        </w:tc>
        <w:tc>
          <w:tcPr>
            <w:tcW w:w="1267" w:type="dxa"/>
            <w:vAlign w:val="center"/>
          </w:tcPr>
          <w:p w:rsidR="00F74E60" w:rsidRDefault="00804CD9">
            <w:pPr>
              <w:jc w:val="center"/>
            </w:pPr>
            <w:r>
              <w:rPr>
                <w:color w:val="000000"/>
                <w:sz w:val="24"/>
              </w:rPr>
              <w:t>0.03%</w:t>
            </w:r>
          </w:p>
        </w:tc>
        <w:tc>
          <w:tcPr>
            <w:tcW w:w="1267" w:type="dxa"/>
            <w:vAlign w:val="center"/>
          </w:tcPr>
          <w:p w:rsidR="00F74E60" w:rsidRDefault="00804CD9">
            <w:pPr>
              <w:jc w:val="center"/>
            </w:pPr>
            <w:r>
              <w:rPr>
                <w:color w:val="000000"/>
                <w:sz w:val="24"/>
              </w:rPr>
              <w:t>-1.04%</w:t>
            </w:r>
          </w:p>
        </w:tc>
        <w:tc>
          <w:tcPr>
            <w:tcW w:w="1267" w:type="dxa"/>
            <w:vAlign w:val="center"/>
          </w:tcPr>
          <w:p w:rsidR="00F74E60" w:rsidRDefault="00804CD9">
            <w:pPr>
              <w:jc w:val="center"/>
            </w:pPr>
            <w:r>
              <w:rPr>
                <w:color w:val="000000"/>
                <w:sz w:val="24"/>
              </w:rPr>
              <w:t>0.12%</w:t>
            </w:r>
          </w:p>
        </w:tc>
        <w:tc>
          <w:tcPr>
            <w:tcW w:w="1267" w:type="dxa"/>
            <w:vAlign w:val="center"/>
          </w:tcPr>
          <w:p w:rsidR="00F74E60" w:rsidRDefault="00804CD9">
            <w:pPr>
              <w:jc w:val="center"/>
            </w:pPr>
            <w:r>
              <w:rPr>
                <w:color w:val="000000"/>
                <w:sz w:val="24"/>
              </w:rPr>
              <w:t>1.42%</w:t>
            </w:r>
          </w:p>
        </w:tc>
        <w:tc>
          <w:tcPr>
            <w:tcW w:w="1267" w:type="dxa"/>
            <w:vAlign w:val="center"/>
          </w:tcPr>
          <w:p w:rsidR="00F74E60" w:rsidRDefault="00804CD9">
            <w:pPr>
              <w:jc w:val="center"/>
            </w:pPr>
            <w:r>
              <w:rPr>
                <w:color w:val="000000"/>
                <w:sz w:val="24"/>
              </w:rPr>
              <w:t>-0.09%</w:t>
            </w:r>
          </w:p>
        </w:tc>
      </w:tr>
      <w:tr w:rsidR="00F74E60">
        <w:trPr>
          <w:jc w:val="center"/>
        </w:trPr>
        <w:tc>
          <w:tcPr>
            <w:tcW w:w="1266" w:type="dxa"/>
            <w:vAlign w:val="center"/>
          </w:tcPr>
          <w:p w:rsidR="00F74E60" w:rsidRDefault="00804CD9">
            <w:pPr>
              <w:jc w:val="left"/>
            </w:pPr>
            <w:r>
              <w:rPr>
                <w:color w:val="000000"/>
                <w:sz w:val="24"/>
              </w:rPr>
              <w:t>过去六个月</w:t>
            </w:r>
          </w:p>
        </w:tc>
        <w:tc>
          <w:tcPr>
            <w:tcW w:w="1267" w:type="dxa"/>
            <w:vAlign w:val="center"/>
          </w:tcPr>
          <w:p w:rsidR="00F74E60" w:rsidRDefault="00804CD9">
            <w:pPr>
              <w:jc w:val="center"/>
            </w:pPr>
            <w:r>
              <w:rPr>
                <w:color w:val="000000"/>
                <w:sz w:val="24"/>
              </w:rPr>
              <w:t>1.71%</w:t>
            </w:r>
          </w:p>
        </w:tc>
        <w:tc>
          <w:tcPr>
            <w:tcW w:w="1267" w:type="dxa"/>
            <w:vAlign w:val="center"/>
          </w:tcPr>
          <w:p w:rsidR="00F74E60" w:rsidRDefault="00804CD9">
            <w:pPr>
              <w:jc w:val="center"/>
            </w:pPr>
            <w:r>
              <w:rPr>
                <w:color w:val="000000"/>
                <w:sz w:val="24"/>
              </w:rPr>
              <w:t>0.03%</w:t>
            </w:r>
          </w:p>
        </w:tc>
        <w:tc>
          <w:tcPr>
            <w:tcW w:w="1267" w:type="dxa"/>
            <w:vAlign w:val="center"/>
          </w:tcPr>
          <w:p w:rsidR="00F74E60" w:rsidRDefault="00804CD9">
            <w:pPr>
              <w:jc w:val="center"/>
            </w:pPr>
            <w:r>
              <w:rPr>
                <w:color w:val="000000"/>
                <w:sz w:val="24"/>
              </w:rPr>
              <w:t>0.79%</w:t>
            </w:r>
          </w:p>
        </w:tc>
        <w:tc>
          <w:tcPr>
            <w:tcW w:w="1267" w:type="dxa"/>
            <w:vAlign w:val="center"/>
          </w:tcPr>
          <w:p w:rsidR="00F74E60" w:rsidRDefault="00804CD9">
            <w:pPr>
              <w:jc w:val="center"/>
            </w:pPr>
            <w:r>
              <w:rPr>
                <w:color w:val="000000"/>
                <w:sz w:val="24"/>
              </w:rPr>
              <w:t>0.11%</w:t>
            </w:r>
          </w:p>
        </w:tc>
        <w:tc>
          <w:tcPr>
            <w:tcW w:w="1267" w:type="dxa"/>
            <w:vAlign w:val="center"/>
          </w:tcPr>
          <w:p w:rsidR="00F74E60" w:rsidRDefault="00804CD9">
            <w:pPr>
              <w:jc w:val="center"/>
            </w:pPr>
            <w:r>
              <w:rPr>
                <w:color w:val="000000"/>
                <w:sz w:val="24"/>
              </w:rPr>
              <w:t>0.92%</w:t>
            </w:r>
          </w:p>
        </w:tc>
        <w:tc>
          <w:tcPr>
            <w:tcW w:w="1267" w:type="dxa"/>
            <w:vAlign w:val="center"/>
          </w:tcPr>
          <w:p w:rsidR="00F74E60" w:rsidRDefault="00804CD9">
            <w:pPr>
              <w:jc w:val="center"/>
            </w:pPr>
            <w:r>
              <w:rPr>
                <w:color w:val="000000"/>
                <w:sz w:val="24"/>
              </w:rPr>
              <w:t>-0.08%</w:t>
            </w:r>
          </w:p>
        </w:tc>
      </w:tr>
      <w:tr w:rsidR="00F74E60">
        <w:trPr>
          <w:jc w:val="center"/>
        </w:trPr>
        <w:tc>
          <w:tcPr>
            <w:tcW w:w="1266" w:type="dxa"/>
            <w:vAlign w:val="center"/>
          </w:tcPr>
          <w:p w:rsidR="00F74E60" w:rsidRDefault="00804CD9">
            <w:pPr>
              <w:jc w:val="left"/>
            </w:pPr>
            <w:r>
              <w:rPr>
                <w:color w:val="000000"/>
                <w:sz w:val="24"/>
              </w:rPr>
              <w:t>过去一年</w:t>
            </w:r>
          </w:p>
        </w:tc>
        <w:tc>
          <w:tcPr>
            <w:tcW w:w="1267" w:type="dxa"/>
            <w:vAlign w:val="center"/>
          </w:tcPr>
          <w:p w:rsidR="00F74E60" w:rsidRDefault="00804CD9">
            <w:pPr>
              <w:jc w:val="center"/>
            </w:pPr>
            <w:r>
              <w:rPr>
                <w:color w:val="000000"/>
                <w:sz w:val="24"/>
              </w:rPr>
              <w:t>3.62%</w:t>
            </w:r>
          </w:p>
        </w:tc>
        <w:tc>
          <w:tcPr>
            <w:tcW w:w="1267" w:type="dxa"/>
            <w:vAlign w:val="center"/>
          </w:tcPr>
          <w:p w:rsidR="00F74E60" w:rsidRDefault="00804CD9">
            <w:pPr>
              <w:jc w:val="center"/>
            </w:pPr>
            <w:r>
              <w:rPr>
                <w:color w:val="000000"/>
                <w:sz w:val="24"/>
              </w:rPr>
              <w:t>0.04%</w:t>
            </w:r>
          </w:p>
        </w:tc>
        <w:tc>
          <w:tcPr>
            <w:tcW w:w="1267" w:type="dxa"/>
            <w:vAlign w:val="center"/>
          </w:tcPr>
          <w:p w:rsidR="00F74E60" w:rsidRDefault="00804CD9">
            <w:pPr>
              <w:jc w:val="center"/>
            </w:pPr>
            <w:r>
              <w:rPr>
                <w:color w:val="000000"/>
                <w:sz w:val="24"/>
              </w:rPr>
              <w:t>1.87%</w:t>
            </w:r>
          </w:p>
        </w:tc>
        <w:tc>
          <w:tcPr>
            <w:tcW w:w="1267" w:type="dxa"/>
            <w:vAlign w:val="center"/>
          </w:tcPr>
          <w:p w:rsidR="00F74E60" w:rsidRDefault="00804CD9">
            <w:pPr>
              <w:jc w:val="center"/>
            </w:pPr>
            <w:r>
              <w:rPr>
                <w:color w:val="000000"/>
                <w:sz w:val="24"/>
              </w:rPr>
              <w:t>0.08%</w:t>
            </w:r>
          </w:p>
        </w:tc>
        <w:tc>
          <w:tcPr>
            <w:tcW w:w="1267" w:type="dxa"/>
            <w:vAlign w:val="center"/>
          </w:tcPr>
          <w:p w:rsidR="00F74E60" w:rsidRDefault="00804CD9">
            <w:pPr>
              <w:jc w:val="center"/>
            </w:pPr>
            <w:r>
              <w:rPr>
                <w:color w:val="000000"/>
                <w:sz w:val="24"/>
              </w:rPr>
              <w:t>1.75%</w:t>
            </w:r>
          </w:p>
        </w:tc>
        <w:tc>
          <w:tcPr>
            <w:tcW w:w="1267" w:type="dxa"/>
            <w:vAlign w:val="center"/>
          </w:tcPr>
          <w:p w:rsidR="00F74E60" w:rsidRDefault="00804CD9">
            <w:pPr>
              <w:jc w:val="center"/>
            </w:pPr>
            <w:r>
              <w:rPr>
                <w:color w:val="000000"/>
                <w:sz w:val="24"/>
              </w:rPr>
              <w:t>-0.04%</w:t>
            </w:r>
          </w:p>
        </w:tc>
      </w:tr>
      <w:tr w:rsidR="00F74E60">
        <w:trPr>
          <w:jc w:val="center"/>
        </w:trPr>
        <w:tc>
          <w:tcPr>
            <w:tcW w:w="1266" w:type="dxa"/>
            <w:vAlign w:val="center"/>
          </w:tcPr>
          <w:p w:rsidR="00F74E60" w:rsidRDefault="00804CD9">
            <w:pPr>
              <w:jc w:val="left"/>
            </w:pPr>
            <w:r>
              <w:rPr>
                <w:color w:val="000000"/>
                <w:sz w:val="24"/>
              </w:rPr>
              <w:t>自基金合同生效起至今</w:t>
            </w:r>
          </w:p>
        </w:tc>
        <w:tc>
          <w:tcPr>
            <w:tcW w:w="1267" w:type="dxa"/>
            <w:vAlign w:val="center"/>
          </w:tcPr>
          <w:p w:rsidR="00F74E60" w:rsidRDefault="00804CD9">
            <w:pPr>
              <w:jc w:val="center"/>
            </w:pPr>
            <w:r>
              <w:rPr>
                <w:color w:val="000000"/>
                <w:sz w:val="24"/>
              </w:rPr>
              <w:t>13.46%</w:t>
            </w:r>
          </w:p>
        </w:tc>
        <w:tc>
          <w:tcPr>
            <w:tcW w:w="1267" w:type="dxa"/>
            <w:vAlign w:val="center"/>
          </w:tcPr>
          <w:p w:rsidR="00F74E60" w:rsidRDefault="00804CD9">
            <w:pPr>
              <w:jc w:val="center"/>
            </w:pPr>
            <w:r>
              <w:rPr>
                <w:color w:val="000000"/>
                <w:sz w:val="24"/>
              </w:rPr>
              <w:t>0.08%</w:t>
            </w:r>
          </w:p>
        </w:tc>
        <w:tc>
          <w:tcPr>
            <w:tcW w:w="1267" w:type="dxa"/>
            <w:vAlign w:val="center"/>
          </w:tcPr>
          <w:p w:rsidR="00F74E60" w:rsidRDefault="00804CD9">
            <w:pPr>
              <w:jc w:val="center"/>
            </w:pPr>
            <w:r>
              <w:rPr>
                <w:color w:val="000000"/>
                <w:sz w:val="24"/>
              </w:rPr>
              <w:t>5.21%</w:t>
            </w:r>
          </w:p>
        </w:tc>
        <w:tc>
          <w:tcPr>
            <w:tcW w:w="1267" w:type="dxa"/>
            <w:vAlign w:val="center"/>
          </w:tcPr>
          <w:p w:rsidR="00F74E60" w:rsidRDefault="00804CD9">
            <w:pPr>
              <w:jc w:val="center"/>
            </w:pPr>
            <w:r>
              <w:rPr>
                <w:color w:val="000000"/>
                <w:sz w:val="24"/>
              </w:rPr>
              <w:t>0.07%</w:t>
            </w:r>
          </w:p>
        </w:tc>
        <w:tc>
          <w:tcPr>
            <w:tcW w:w="1267" w:type="dxa"/>
            <w:vAlign w:val="center"/>
          </w:tcPr>
          <w:p w:rsidR="00F74E60" w:rsidRDefault="00804CD9">
            <w:pPr>
              <w:jc w:val="center"/>
            </w:pPr>
            <w:r>
              <w:rPr>
                <w:color w:val="000000"/>
                <w:sz w:val="24"/>
              </w:rPr>
              <w:t>8.25%</w:t>
            </w:r>
          </w:p>
        </w:tc>
        <w:tc>
          <w:tcPr>
            <w:tcW w:w="1267" w:type="dxa"/>
            <w:vAlign w:val="center"/>
          </w:tcPr>
          <w:p w:rsidR="00F74E60" w:rsidRDefault="00804CD9">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交银施罗德丰晟收益债券型证券投资基金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lastRenderedPageBreak/>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交银丰晟收益债券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74E60">
        <w:trPr>
          <w:jc w:val="center"/>
        </w:trPr>
        <w:tc>
          <w:tcPr>
            <w:tcW w:w="946" w:type="dxa"/>
            <w:vAlign w:val="center"/>
          </w:tcPr>
          <w:p w:rsidR="00F74E60" w:rsidRDefault="00804CD9">
            <w:pPr>
              <w:jc w:val="center"/>
            </w:pPr>
            <w:r>
              <w:rPr>
                <w:color w:val="000000"/>
                <w:sz w:val="24"/>
              </w:rPr>
              <w:t>于海颖</w:t>
            </w:r>
          </w:p>
        </w:tc>
        <w:tc>
          <w:tcPr>
            <w:tcW w:w="924" w:type="dxa"/>
            <w:vAlign w:val="center"/>
          </w:tcPr>
          <w:p w:rsidR="00F74E60" w:rsidRDefault="00804CD9">
            <w:pPr>
              <w:jc w:val="center"/>
            </w:pPr>
            <w:r>
              <w:rPr>
                <w:color w:val="000000"/>
                <w:sz w:val="24"/>
              </w:rPr>
              <w:t>交银增利债券、交银纯债债券发起、交银丰盈收益债券、交银丰晟收益债券、交银裕如纯债债券、交银裕泰两年定期开放债券、交银裕坤纯债一年定期开放</w:t>
            </w:r>
            <w:r>
              <w:rPr>
                <w:color w:val="000000"/>
                <w:sz w:val="24"/>
              </w:rPr>
              <w:lastRenderedPageBreak/>
              <w:t>债券的基金经理，公司固定收益（公募）投资总监</w:t>
            </w:r>
          </w:p>
        </w:tc>
        <w:tc>
          <w:tcPr>
            <w:tcW w:w="1202" w:type="dxa"/>
            <w:vAlign w:val="center"/>
          </w:tcPr>
          <w:p w:rsidR="00F74E60" w:rsidRDefault="00804CD9">
            <w:pPr>
              <w:jc w:val="center"/>
            </w:pPr>
            <w:r>
              <w:rPr>
                <w:color w:val="000000"/>
                <w:sz w:val="24"/>
              </w:rPr>
              <w:lastRenderedPageBreak/>
              <w:t>2018-05-23</w:t>
            </w:r>
          </w:p>
        </w:tc>
        <w:tc>
          <w:tcPr>
            <w:tcW w:w="1300" w:type="dxa"/>
            <w:vAlign w:val="center"/>
          </w:tcPr>
          <w:p w:rsidR="00F74E60" w:rsidRDefault="00804CD9">
            <w:pPr>
              <w:jc w:val="center"/>
            </w:pPr>
            <w:r>
              <w:rPr>
                <w:color w:val="000000"/>
                <w:sz w:val="24"/>
              </w:rPr>
              <w:t>-</w:t>
            </w:r>
          </w:p>
        </w:tc>
        <w:tc>
          <w:tcPr>
            <w:tcW w:w="1245" w:type="dxa"/>
            <w:vAlign w:val="center"/>
          </w:tcPr>
          <w:p w:rsidR="00F74E60" w:rsidRDefault="00804CD9">
            <w:pPr>
              <w:jc w:val="center"/>
            </w:pPr>
            <w:r>
              <w:rPr>
                <w:color w:val="000000"/>
                <w:sz w:val="24"/>
              </w:rPr>
              <w:t>14</w:t>
            </w:r>
            <w:r>
              <w:rPr>
                <w:color w:val="000000"/>
                <w:sz w:val="24"/>
              </w:rPr>
              <w:t>年</w:t>
            </w:r>
          </w:p>
        </w:tc>
        <w:tc>
          <w:tcPr>
            <w:tcW w:w="3251" w:type="dxa"/>
            <w:vAlign w:val="center"/>
          </w:tcPr>
          <w:p w:rsidR="00F74E60" w:rsidRDefault="00804CD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lastRenderedPageBreak/>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F74E60">
        <w:trPr>
          <w:jc w:val="center"/>
        </w:trPr>
        <w:tc>
          <w:tcPr>
            <w:tcW w:w="946" w:type="dxa"/>
            <w:vAlign w:val="center"/>
          </w:tcPr>
          <w:p w:rsidR="00F74E60" w:rsidRDefault="00804CD9">
            <w:pPr>
              <w:jc w:val="center"/>
            </w:pPr>
            <w:r>
              <w:rPr>
                <w:color w:val="000000"/>
                <w:sz w:val="24"/>
              </w:rPr>
              <w:lastRenderedPageBreak/>
              <w:t>魏玉敏</w:t>
            </w:r>
          </w:p>
        </w:tc>
        <w:tc>
          <w:tcPr>
            <w:tcW w:w="924" w:type="dxa"/>
            <w:vAlign w:val="center"/>
          </w:tcPr>
          <w:p w:rsidR="00F74E60" w:rsidRDefault="00804CD9">
            <w:pPr>
              <w:jc w:val="center"/>
            </w:pPr>
            <w:r>
              <w:rPr>
                <w:color w:val="000000"/>
                <w:sz w:val="24"/>
              </w:rPr>
              <w:t>交银增利债券、交银纯债债券发起、交银丰润收益债券、交银增利增强债券、交银丰晟收益债券、交银裕如</w:t>
            </w:r>
            <w:r>
              <w:rPr>
                <w:color w:val="000000"/>
                <w:sz w:val="24"/>
              </w:rPr>
              <w:lastRenderedPageBreak/>
              <w:t>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F74E60" w:rsidRDefault="00804CD9">
            <w:pPr>
              <w:jc w:val="center"/>
            </w:pPr>
            <w:r>
              <w:rPr>
                <w:color w:val="000000"/>
                <w:sz w:val="24"/>
              </w:rPr>
              <w:lastRenderedPageBreak/>
              <w:t>2018-08-29</w:t>
            </w:r>
          </w:p>
        </w:tc>
        <w:tc>
          <w:tcPr>
            <w:tcW w:w="1300" w:type="dxa"/>
            <w:vAlign w:val="center"/>
          </w:tcPr>
          <w:p w:rsidR="00F74E60" w:rsidRDefault="00804CD9">
            <w:pPr>
              <w:jc w:val="center"/>
            </w:pPr>
            <w:r>
              <w:rPr>
                <w:color w:val="000000"/>
                <w:sz w:val="24"/>
              </w:rPr>
              <w:t>-</w:t>
            </w:r>
          </w:p>
        </w:tc>
        <w:tc>
          <w:tcPr>
            <w:tcW w:w="1245" w:type="dxa"/>
            <w:vAlign w:val="center"/>
          </w:tcPr>
          <w:p w:rsidR="00F74E60" w:rsidRDefault="00804CD9">
            <w:pPr>
              <w:jc w:val="center"/>
            </w:pPr>
            <w:r>
              <w:rPr>
                <w:color w:val="000000"/>
                <w:sz w:val="24"/>
              </w:rPr>
              <w:t>8</w:t>
            </w:r>
            <w:r>
              <w:rPr>
                <w:color w:val="000000"/>
                <w:sz w:val="24"/>
              </w:rPr>
              <w:t>年</w:t>
            </w:r>
          </w:p>
        </w:tc>
        <w:tc>
          <w:tcPr>
            <w:tcW w:w="3251" w:type="dxa"/>
            <w:vAlign w:val="center"/>
          </w:tcPr>
          <w:p w:rsidR="00F74E60" w:rsidRDefault="00804CD9">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F74E60" w:rsidRDefault="00804CD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74E60" w:rsidRDefault="00804CD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74E60" w:rsidRDefault="00804CD9">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74E60" w:rsidRDefault="00804CD9">
      <w:pPr>
        <w:spacing w:before="29" w:line="288" w:lineRule="auto"/>
        <w:ind w:firstLineChars="200" w:firstLine="480"/>
        <w:rPr>
          <w:color w:val="000000"/>
          <w:sz w:val="24"/>
        </w:rPr>
      </w:pPr>
      <w:r>
        <w:rPr>
          <w:color w:val="000000"/>
          <w:sz w:val="24"/>
        </w:rPr>
        <w:t>2020</w:t>
      </w:r>
      <w:r>
        <w:rPr>
          <w:color w:val="000000"/>
          <w:sz w:val="24"/>
        </w:rPr>
        <w:t>年二季度债券市场经历从牛陡到熊平的大幅波动，四月在应对国内外疫情，货币政策持续宽松的背景下，债券收益率大幅下行，由于资金持续宽松，短端利率下行幅度大于长端，曲线呈现明显陡峭化。进入五月，受到债券</w:t>
      </w:r>
      <w:r>
        <w:rPr>
          <w:color w:val="000000"/>
          <w:sz w:val="24"/>
        </w:rPr>
        <w:t>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F74E60" w:rsidRDefault="00804CD9">
      <w:pPr>
        <w:spacing w:before="29" w:line="288" w:lineRule="auto"/>
        <w:ind w:firstLineChars="200" w:firstLine="480"/>
        <w:rPr>
          <w:color w:val="000000"/>
          <w:sz w:val="24"/>
        </w:rPr>
      </w:pPr>
      <w:r>
        <w:rPr>
          <w:color w:val="000000"/>
          <w:sz w:val="24"/>
        </w:rPr>
        <w:t>报告期内，本基金封闭期结束，转为开放式债券基金运行，精选信用个券作为组合基本配置。</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操作策略方面，我们关注信用债的票息机会，进一步挖掘信用债投资机会，并维持中等的杠杆水平，以提升组合整体静态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86,003,050.00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86,003,050.00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12,686,287.91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12.62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1,861,468.11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100,550,806.02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4,102,050.00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5,122,000.00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5,024,000.00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71,755,000.00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91.18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86,003,050.00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74E60">
        <w:trPr>
          <w:jc w:val="center"/>
        </w:trPr>
        <w:tc>
          <w:tcPr>
            <w:tcW w:w="1075" w:type="dxa"/>
            <w:vAlign w:val="center"/>
          </w:tcPr>
          <w:p w:rsidR="00F74E60" w:rsidRDefault="00804CD9">
            <w:pPr>
              <w:jc w:val="center"/>
            </w:pPr>
            <w:r>
              <w:rPr>
                <w:color w:val="000000"/>
                <w:sz w:val="24"/>
              </w:rPr>
              <w:t>1</w:t>
            </w:r>
          </w:p>
        </w:tc>
        <w:tc>
          <w:tcPr>
            <w:tcW w:w="1533" w:type="dxa"/>
            <w:vAlign w:val="center"/>
          </w:tcPr>
          <w:p w:rsidR="00F74E60" w:rsidRDefault="00804CD9">
            <w:pPr>
              <w:jc w:val="center"/>
            </w:pPr>
            <w:r>
              <w:rPr>
                <w:color w:val="000000"/>
                <w:sz w:val="24"/>
              </w:rPr>
              <w:t>101762032</w:t>
            </w:r>
          </w:p>
        </w:tc>
        <w:tc>
          <w:tcPr>
            <w:tcW w:w="1533" w:type="dxa"/>
            <w:vAlign w:val="center"/>
          </w:tcPr>
          <w:p w:rsidR="00F74E60" w:rsidRDefault="00804CD9">
            <w:pPr>
              <w:jc w:val="center"/>
            </w:pPr>
            <w:r>
              <w:rPr>
                <w:color w:val="000000"/>
                <w:sz w:val="24"/>
              </w:rPr>
              <w:t>17</w:t>
            </w:r>
            <w:r>
              <w:rPr>
                <w:color w:val="000000"/>
                <w:sz w:val="24"/>
              </w:rPr>
              <w:t>武进经发</w:t>
            </w:r>
            <w:r>
              <w:rPr>
                <w:color w:val="000000"/>
                <w:sz w:val="24"/>
              </w:rPr>
              <w:t>MTN001</w:t>
            </w:r>
          </w:p>
        </w:tc>
        <w:tc>
          <w:tcPr>
            <w:tcW w:w="1394" w:type="dxa"/>
            <w:vAlign w:val="center"/>
          </w:tcPr>
          <w:p w:rsidR="00F74E60" w:rsidRDefault="00804CD9">
            <w:pPr>
              <w:jc w:val="right"/>
            </w:pPr>
            <w:r>
              <w:rPr>
                <w:color w:val="000000"/>
                <w:sz w:val="24"/>
              </w:rPr>
              <w:t>50,000</w:t>
            </w:r>
          </w:p>
        </w:tc>
        <w:tc>
          <w:tcPr>
            <w:tcW w:w="1944" w:type="dxa"/>
            <w:vAlign w:val="center"/>
          </w:tcPr>
          <w:p w:rsidR="00F74E60" w:rsidRDefault="00804CD9">
            <w:pPr>
              <w:jc w:val="right"/>
            </w:pPr>
            <w:r>
              <w:rPr>
                <w:color w:val="000000"/>
                <w:sz w:val="24"/>
              </w:rPr>
              <w:t>5,309,500.00</w:t>
            </w:r>
          </w:p>
        </w:tc>
        <w:tc>
          <w:tcPr>
            <w:tcW w:w="1389" w:type="dxa"/>
            <w:vAlign w:val="center"/>
          </w:tcPr>
          <w:p w:rsidR="00F74E60" w:rsidRDefault="00804CD9">
            <w:pPr>
              <w:jc w:val="right"/>
            </w:pPr>
            <w:r>
              <w:rPr>
                <w:color w:val="000000"/>
                <w:sz w:val="24"/>
              </w:rPr>
              <w:t>6.75</w:t>
            </w:r>
          </w:p>
        </w:tc>
      </w:tr>
      <w:tr w:rsidR="00F74E60">
        <w:trPr>
          <w:jc w:val="center"/>
        </w:trPr>
        <w:tc>
          <w:tcPr>
            <w:tcW w:w="1075" w:type="dxa"/>
            <w:vAlign w:val="center"/>
          </w:tcPr>
          <w:p w:rsidR="00F74E60" w:rsidRDefault="00804CD9">
            <w:pPr>
              <w:jc w:val="center"/>
            </w:pPr>
            <w:r>
              <w:rPr>
                <w:color w:val="000000"/>
                <w:sz w:val="24"/>
              </w:rPr>
              <w:t>2</w:t>
            </w:r>
          </w:p>
        </w:tc>
        <w:tc>
          <w:tcPr>
            <w:tcW w:w="1533" w:type="dxa"/>
            <w:vAlign w:val="center"/>
          </w:tcPr>
          <w:p w:rsidR="00F74E60" w:rsidRDefault="00804CD9">
            <w:pPr>
              <w:jc w:val="center"/>
            </w:pPr>
            <w:r>
              <w:rPr>
                <w:color w:val="000000"/>
                <w:sz w:val="24"/>
              </w:rPr>
              <w:t>101761029</w:t>
            </w:r>
          </w:p>
        </w:tc>
        <w:tc>
          <w:tcPr>
            <w:tcW w:w="1533" w:type="dxa"/>
            <w:vAlign w:val="center"/>
          </w:tcPr>
          <w:p w:rsidR="00F74E60" w:rsidRDefault="00804CD9">
            <w:pPr>
              <w:jc w:val="center"/>
            </w:pPr>
            <w:r>
              <w:rPr>
                <w:color w:val="000000"/>
                <w:sz w:val="24"/>
              </w:rPr>
              <w:t>17</w:t>
            </w:r>
            <w:r>
              <w:rPr>
                <w:color w:val="000000"/>
                <w:sz w:val="24"/>
              </w:rPr>
              <w:t>徐州经开</w:t>
            </w:r>
            <w:r>
              <w:rPr>
                <w:color w:val="000000"/>
                <w:sz w:val="24"/>
              </w:rPr>
              <w:t>MTN005</w:t>
            </w:r>
          </w:p>
        </w:tc>
        <w:tc>
          <w:tcPr>
            <w:tcW w:w="1394" w:type="dxa"/>
            <w:vAlign w:val="center"/>
          </w:tcPr>
          <w:p w:rsidR="00F74E60" w:rsidRDefault="00804CD9">
            <w:pPr>
              <w:jc w:val="right"/>
            </w:pPr>
            <w:r>
              <w:rPr>
                <w:color w:val="000000"/>
                <w:sz w:val="24"/>
              </w:rPr>
              <w:t>50,000</w:t>
            </w:r>
          </w:p>
        </w:tc>
        <w:tc>
          <w:tcPr>
            <w:tcW w:w="1944" w:type="dxa"/>
            <w:vAlign w:val="center"/>
          </w:tcPr>
          <w:p w:rsidR="00F74E60" w:rsidRDefault="00804CD9">
            <w:pPr>
              <w:jc w:val="right"/>
            </w:pPr>
            <w:r>
              <w:rPr>
                <w:color w:val="000000"/>
                <w:sz w:val="24"/>
              </w:rPr>
              <w:t>5,245,500.00</w:t>
            </w:r>
          </w:p>
        </w:tc>
        <w:tc>
          <w:tcPr>
            <w:tcW w:w="1389" w:type="dxa"/>
            <w:vAlign w:val="center"/>
          </w:tcPr>
          <w:p w:rsidR="00F74E60" w:rsidRDefault="00804CD9">
            <w:pPr>
              <w:jc w:val="right"/>
            </w:pPr>
            <w:r>
              <w:rPr>
                <w:color w:val="000000"/>
                <w:sz w:val="24"/>
              </w:rPr>
              <w:t>6.67</w:t>
            </w:r>
          </w:p>
        </w:tc>
      </w:tr>
      <w:tr w:rsidR="00F74E60">
        <w:trPr>
          <w:jc w:val="center"/>
        </w:trPr>
        <w:tc>
          <w:tcPr>
            <w:tcW w:w="1075" w:type="dxa"/>
            <w:vAlign w:val="center"/>
          </w:tcPr>
          <w:p w:rsidR="00F74E60" w:rsidRDefault="00804CD9">
            <w:pPr>
              <w:jc w:val="center"/>
            </w:pPr>
            <w:r>
              <w:rPr>
                <w:color w:val="000000"/>
                <w:sz w:val="24"/>
              </w:rPr>
              <w:t>3</w:t>
            </w:r>
          </w:p>
        </w:tc>
        <w:tc>
          <w:tcPr>
            <w:tcW w:w="1533" w:type="dxa"/>
            <w:vAlign w:val="center"/>
          </w:tcPr>
          <w:p w:rsidR="00F74E60" w:rsidRDefault="00804CD9">
            <w:pPr>
              <w:jc w:val="center"/>
            </w:pPr>
            <w:r>
              <w:rPr>
                <w:color w:val="000000"/>
                <w:sz w:val="24"/>
              </w:rPr>
              <w:t>101800946</w:t>
            </w:r>
          </w:p>
        </w:tc>
        <w:tc>
          <w:tcPr>
            <w:tcW w:w="1533" w:type="dxa"/>
            <w:vAlign w:val="center"/>
          </w:tcPr>
          <w:p w:rsidR="00F74E60" w:rsidRDefault="00804CD9">
            <w:pPr>
              <w:jc w:val="center"/>
            </w:pPr>
            <w:r>
              <w:rPr>
                <w:color w:val="000000"/>
                <w:sz w:val="24"/>
              </w:rPr>
              <w:t>18</w:t>
            </w:r>
            <w:r>
              <w:rPr>
                <w:color w:val="000000"/>
                <w:sz w:val="24"/>
              </w:rPr>
              <w:t>台州金融</w:t>
            </w:r>
            <w:r>
              <w:rPr>
                <w:color w:val="000000"/>
                <w:sz w:val="24"/>
              </w:rPr>
              <w:t>MTN002</w:t>
            </w:r>
          </w:p>
        </w:tc>
        <w:tc>
          <w:tcPr>
            <w:tcW w:w="1394" w:type="dxa"/>
            <w:vAlign w:val="center"/>
          </w:tcPr>
          <w:p w:rsidR="00F74E60" w:rsidRDefault="00804CD9">
            <w:pPr>
              <w:jc w:val="right"/>
            </w:pPr>
            <w:r>
              <w:rPr>
                <w:color w:val="000000"/>
                <w:sz w:val="24"/>
              </w:rPr>
              <w:t>50,000</w:t>
            </w:r>
          </w:p>
        </w:tc>
        <w:tc>
          <w:tcPr>
            <w:tcW w:w="1944" w:type="dxa"/>
            <w:vAlign w:val="center"/>
          </w:tcPr>
          <w:p w:rsidR="00F74E60" w:rsidRDefault="00804CD9">
            <w:pPr>
              <w:jc w:val="right"/>
            </w:pPr>
            <w:r>
              <w:rPr>
                <w:color w:val="000000"/>
                <w:sz w:val="24"/>
              </w:rPr>
              <w:t>5,161,500.00</w:t>
            </w:r>
          </w:p>
        </w:tc>
        <w:tc>
          <w:tcPr>
            <w:tcW w:w="1389" w:type="dxa"/>
            <w:vAlign w:val="center"/>
          </w:tcPr>
          <w:p w:rsidR="00F74E60" w:rsidRDefault="00804CD9">
            <w:pPr>
              <w:jc w:val="right"/>
            </w:pPr>
            <w:r>
              <w:rPr>
                <w:color w:val="000000"/>
                <w:sz w:val="24"/>
              </w:rPr>
              <w:t>6.56</w:t>
            </w:r>
          </w:p>
        </w:tc>
      </w:tr>
      <w:tr w:rsidR="00F74E60">
        <w:trPr>
          <w:jc w:val="center"/>
        </w:trPr>
        <w:tc>
          <w:tcPr>
            <w:tcW w:w="1075" w:type="dxa"/>
            <w:vAlign w:val="center"/>
          </w:tcPr>
          <w:p w:rsidR="00F74E60" w:rsidRDefault="00804CD9">
            <w:pPr>
              <w:jc w:val="center"/>
            </w:pPr>
            <w:r>
              <w:rPr>
                <w:color w:val="000000"/>
                <w:sz w:val="24"/>
              </w:rPr>
              <w:t>4</w:t>
            </w:r>
          </w:p>
        </w:tc>
        <w:tc>
          <w:tcPr>
            <w:tcW w:w="1533" w:type="dxa"/>
            <w:vAlign w:val="center"/>
          </w:tcPr>
          <w:p w:rsidR="00F74E60" w:rsidRDefault="00804CD9">
            <w:pPr>
              <w:jc w:val="center"/>
            </w:pPr>
            <w:r>
              <w:rPr>
                <w:color w:val="000000"/>
                <w:sz w:val="24"/>
              </w:rPr>
              <w:t>101754025</w:t>
            </w:r>
          </w:p>
        </w:tc>
        <w:tc>
          <w:tcPr>
            <w:tcW w:w="1533" w:type="dxa"/>
            <w:vAlign w:val="center"/>
          </w:tcPr>
          <w:p w:rsidR="00F74E60" w:rsidRDefault="00804CD9">
            <w:pPr>
              <w:jc w:val="center"/>
            </w:pPr>
            <w:r>
              <w:rPr>
                <w:color w:val="000000"/>
                <w:sz w:val="24"/>
              </w:rPr>
              <w:t>17</w:t>
            </w:r>
            <w:r>
              <w:rPr>
                <w:color w:val="000000"/>
                <w:sz w:val="24"/>
              </w:rPr>
              <w:t>苏州高新</w:t>
            </w:r>
            <w:r>
              <w:rPr>
                <w:color w:val="000000"/>
                <w:sz w:val="24"/>
              </w:rPr>
              <w:t>MTN001</w:t>
            </w:r>
          </w:p>
        </w:tc>
        <w:tc>
          <w:tcPr>
            <w:tcW w:w="1394" w:type="dxa"/>
            <w:vAlign w:val="center"/>
          </w:tcPr>
          <w:p w:rsidR="00F74E60" w:rsidRDefault="00804CD9">
            <w:pPr>
              <w:jc w:val="right"/>
            </w:pPr>
            <w:r>
              <w:rPr>
                <w:color w:val="000000"/>
                <w:sz w:val="24"/>
              </w:rPr>
              <w:t>50,000</w:t>
            </w:r>
          </w:p>
        </w:tc>
        <w:tc>
          <w:tcPr>
            <w:tcW w:w="1944" w:type="dxa"/>
            <w:vAlign w:val="center"/>
          </w:tcPr>
          <w:p w:rsidR="00F74E60" w:rsidRDefault="00804CD9">
            <w:pPr>
              <w:jc w:val="right"/>
            </w:pPr>
            <w:r>
              <w:rPr>
                <w:color w:val="000000"/>
                <w:sz w:val="24"/>
              </w:rPr>
              <w:t>5,158,000.00</w:t>
            </w:r>
          </w:p>
        </w:tc>
        <w:tc>
          <w:tcPr>
            <w:tcW w:w="1389" w:type="dxa"/>
            <w:vAlign w:val="center"/>
          </w:tcPr>
          <w:p w:rsidR="00F74E60" w:rsidRDefault="00804CD9">
            <w:pPr>
              <w:jc w:val="right"/>
            </w:pPr>
            <w:r>
              <w:rPr>
                <w:color w:val="000000"/>
                <w:sz w:val="24"/>
              </w:rPr>
              <w:t>6.55</w:t>
            </w:r>
          </w:p>
        </w:tc>
      </w:tr>
      <w:tr w:rsidR="00F74E60">
        <w:trPr>
          <w:jc w:val="center"/>
        </w:trPr>
        <w:tc>
          <w:tcPr>
            <w:tcW w:w="1075" w:type="dxa"/>
            <w:vAlign w:val="center"/>
          </w:tcPr>
          <w:p w:rsidR="00F74E60" w:rsidRDefault="00804CD9">
            <w:pPr>
              <w:jc w:val="center"/>
            </w:pPr>
            <w:r>
              <w:rPr>
                <w:color w:val="000000"/>
                <w:sz w:val="24"/>
              </w:rPr>
              <w:t>5</w:t>
            </w:r>
          </w:p>
        </w:tc>
        <w:tc>
          <w:tcPr>
            <w:tcW w:w="1533" w:type="dxa"/>
            <w:vAlign w:val="center"/>
          </w:tcPr>
          <w:p w:rsidR="00F74E60" w:rsidRDefault="00804CD9">
            <w:pPr>
              <w:jc w:val="center"/>
            </w:pPr>
            <w:r>
              <w:rPr>
                <w:color w:val="000000"/>
                <w:sz w:val="24"/>
              </w:rPr>
              <w:t>101800721</w:t>
            </w:r>
          </w:p>
        </w:tc>
        <w:tc>
          <w:tcPr>
            <w:tcW w:w="1533" w:type="dxa"/>
            <w:vAlign w:val="center"/>
          </w:tcPr>
          <w:p w:rsidR="00F74E60" w:rsidRDefault="00804CD9">
            <w:pPr>
              <w:jc w:val="center"/>
            </w:pPr>
            <w:r>
              <w:rPr>
                <w:color w:val="000000"/>
                <w:sz w:val="24"/>
              </w:rPr>
              <w:t>18</w:t>
            </w:r>
            <w:r>
              <w:rPr>
                <w:color w:val="000000"/>
                <w:sz w:val="24"/>
              </w:rPr>
              <w:t>盐城资产</w:t>
            </w:r>
            <w:r>
              <w:rPr>
                <w:color w:val="000000"/>
                <w:sz w:val="24"/>
              </w:rPr>
              <w:t>MTN002</w:t>
            </w:r>
          </w:p>
        </w:tc>
        <w:tc>
          <w:tcPr>
            <w:tcW w:w="1394" w:type="dxa"/>
            <w:vAlign w:val="center"/>
          </w:tcPr>
          <w:p w:rsidR="00F74E60" w:rsidRDefault="00804CD9">
            <w:pPr>
              <w:jc w:val="right"/>
            </w:pPr>
            <w:r>
              <w:rPr>
                <w:color w:val="000000"/>
                <w:sz w:val="24"/>
              </w:rPr>
              <w:t>50,000</w:t>
            </w:r>
          </w:p>
        </w:tc>
        <w:tc>
          <w:tcPr>
            <w:tcW w:w="1944" w:type="dxa"/>
            <w:vAlign w:val="center"/>
          </w:tcPr>
          <w:p w:rsidR="00F74E60" w:rsidRDefault="00804CD9">
            <w:pPr>
              <w:jc w:val="right"/>
            </w:pPr>
            <w:r>
              <w:rPr>
                <w:color w:val="000000"/>
                <w:sz w:val="24"/>
              </w:rPr>
              <w:t>5,157,500.00</w:t>
            </w:r>
          </w:p>
        </w:tc>
        <w:tc>
          <w:tcPr>
            <w:tcW w:w="1389" w:type="dxa"/>
            <w:vAlign w:val="center"/>
          </w:tcPr>
          <w:p w:rsidR="00F74E60" w:rsidRDefault="00804CD9">
            <w:pPr>
              <w:jc w:val="right"/>
            </w:pPr>
            <w:r>
              <w:rPr>
                <w:color w:val="000000"/>
                <w:sz w:val="24"/>
              </w:rPr>
              <w:t>6.55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21,990.81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1,833,970.92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5,506.38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1,861,468.11</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交银丰晟收益债券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交银丰晟收益债券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330,813,244.80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776,663.43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244,667.80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22,156.33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256,816,289.99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513,487.01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74,241,622.61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285,332.75</w:t>
            </w:r>
          </w:p>
        </w:tc>
      </w:tr>
    </w:tbl>
    <w:p w:rsidR="00F74E60" w:rsidRDefault="00804CD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根据本基金基金合同的规定，本基金在基金合同生效之日起两年（含两年）的期间内封闭式运作，封闭期结束后转为开放式运作。封闭期在本基金的基金合同中如无特别指明即为自基金合同生</w:t>
      </w:r>
      <w:r>
        <w:rPr>
          <w:rFonts w:ascii="宋体" w:hAnsi="宋体" w:hint="eastAsia"/>
          <w:color w:val="000000"/>
          <w:szCs w:val="21"/>
        </w:rPr>
        <w:lastRenderedPageBreak/>
        <w:t>效之日起至两个公历年后对应日止，若两年后对应日为非工作日的，相应顺延。本基金的封闭期自2018年5月23日开始至2020年5月25日止，自2020年5月26日起转为开放式运作。本基金在转为开放式运作后，自2020年5月26日开始办理日常申购、赎回、定期定额投资等业务，并适用基金合同中关于转为开放式运作后的有关规定。详情请查阅本基金管理人于2020年5月18日发布的《交银施罗德基金管理有限公司关于交银施罗德丰晟收益债券型证券投资基金封闭期结束转为开放式运作的提示性公告》以及2020年5月20日发布的《交银施罗德基金管理有限公司关于交银施罗德丰晟收益债券型证券投资基金封闭期结束转为开放式运作暨开放基金日常申购、赎回、定期定额投资业务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、中国证监会准予交银施罗德丰晟收益债券型证券投资基金募集注册的文件；</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、《交银施罗德丰晟收益债券型证券投资基金基金合同》；</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、《交银施罗德丰晟收益债券型证券投资基金招募说明书》；</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、《交银施罗德丰晟收益债券型证券投资基金托管协议》；</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、关于申请募集注册交银施罗德丰晟收益债券型证券投资基金的法律意见书；</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、报告期内交银施罗德丰晟收益债券型证券投资基金在指定报刊上各项公告的原稿。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F74E60" w:rsidRDefault="00804CD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CD9" w:rsidRDefault="00804CD9">
      <w:r>
        <w:separator/>
      </w:r>
    </w:p>
  </w:endnote>
  <w:endnote w:type="continuationSeparator" w:id="0">
    <w:p w:rsidR="00804CD9" w:rsidRDefault="0080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13695">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13695">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CD9" w:rsidRDefault="00804CD9">
      <w:r>
        <w:separator/>
      </w:r>
    </w:p>
  </w:footnote>
  <w:footnote w:type="continuationSeparator" w:id="0">
    <w:p w:rsidR="00804CD9" w:rsidRDefault="0080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交银施罗德丰晟收益债券型证券投资基金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4CD9"/>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695"/>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4E60"/>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DE97-FA12-44C1-9CFF-7FD369B3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14</Pages>
  <Words>1219</Words>
  <Characters>6953</Characters>
  <Application>Microsoft Office Word</Application>
  <DocSecurity>0</DocSecurity>
  <Lines>57</Lines>
  <Paragraphs>16</Paragraphs>
  <ScaleCrop>false</ScaleCrop>
  <Company>TRT. Ltd. Co.</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405</cp:revision>
  <cp:lastPrinted>2007-07-19T00:46:00Z</cp:lastPrinted>
  <dcterms:created xsi:type="dcterms:W3CDTF">2014-01-17T06:19:00Z</dcterms:created>
  <dcterms:modified xsi:type="dcterms:W3CDTF">2020-07-17T05:39:00Z</dcterms:modified>
</cp:coreProperties>
</file>