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交银施罗德内核驱动混合型证券投资基金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交银内核驱动混合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008507</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008507</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2020年1月13日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5,986,023,801.41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在严格控制风险的前提下，追求超越业绩比较基准的投资回报，力争实现基金资产的长期稳健增值。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本基金股票投资重点关注以企业核心经营理念为驱动力，追求质量型发展的优质企业。本基金主要采用定性的方法对企业核心经营理念进行综合评估，采用定量的方法遴选优质个股。</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沪深300指数收益率×70%+中证综合债券指数收益率×30%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-11,130,671.90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1,271,962,773.61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0.1832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6,996,318,000.74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1.1688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19.27%</w:t>
            </w:r>
          </w:p>
        </w:tc>
        <w:tc>
          <w:tcPr>
            <w:vAlign w:val="center"/>
          </w:tcPr>
          <w:p>
            <w:pPr>
              <w:jc w:val="center"/>
            </w:pPr>
            <w:r>
              <w:rPr>
                <w:color w:val="000000"/>
                <w:sz w:val="24"/>
                <w:szCs w:val="24"/>
              </w:rPr>
              <w:t>0.88%</w:t>
            </w:r>
          </w:p>
        </w:tc>
        <w:tc>
          <w:tcPr>
            <w:vAlign w:val="center"/>
          </w:tcPr>
          <w:p>
            <w:pPr>
              <w:jc w:val="center"/>
            </w:pPr>
            <w:r>
              <w:rPr>
                <w:color w:val="000000"/>
                <w:sz w:val="24"/>
                <w:szCs w:val="24"/>
              </w:rPr>
              <w:t>8.88%</w:t>
            </w:r>
          </w:p>
        </w:tc>
        <w:tc>
          <w:tcPr>
            <w:vAlign w:val="center"/>
          </w:tcPr>
          <w:p>
            <w:pPr>
              <w:jc w:val="center"/>
            </w:pPr>
            <w:r>
              <w:rPr>
                <w:color w:val="000000"/>
                <w:sz w:val="24"/>
                <w:szCs w:val="24"/>
              </w:rPr>
              <w:t>0.63%</w:t>
            </w:r>
          </w:p>
        </w:tc>
        <w:tc>
          <w:tcPr>
            <w:vAlign w:val="center"/>
          </w:tcPr>
          <w:p>
            <w:pPr>
              <w:jc w:val="center"/>
            </w:pPr>
            <w:r>
              <w:rPr>
                <w:color w:val="000000"/>
                <w:sz w:val="24"/>
                <w:szCs w:val="24"/>
              </w:rPr>
              <w:t>10.39%</w:t>
            </w:r>
          </w:p>
        </w:tc>
        <w:tc>
          <w:tcPr>
            <w:vAlign w:val="center"/>
          </w:tcPr>
          <w:p>
            <w:pPr>
              <w:jc w:val="center"/>
            </w:pPr>
            <w:r>
              <w:rPr>
                <w:color w:val="000000"/>
                <w:sz w:val="24"/>
                <w:szCs w:val="24"/>
              </w:rPr>
              <w:t>0.25%</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16.88%</w:t>
            </w:r>
          </w:p>
        </w:tc>
        <w:tc>
          <w:tcPr>
            <w:vAlign w:val="center"/>
          </w:tcPr>
          <w:p>
            <w:pPr>
              <w:jc w:val="center"/>
            </w:pPr>
            <w:r>
              <w:rPr>
                <w:color w:val="000000"/>
                <w:sz w:val="24"/>
                <w:szCs w:val="24"/>
              </w:rPr>
              <w:t>1.00%</w:t>
            </w:r>
          </w:p>
        </w:tc>
        <w:tc>
          <w:tcPr>
            <w:vAlign w:val="center"/>
          </w:tcPr>
          <w:p>
            <w:pPr>
              <w:jc w:val="center"/>
            </w:pPr>
            <w:r>
              <w:rPr>
                <w:color w:val="000000"/>
                <w:sz w:val="24"/>
                <w:szCs w:val="24"/>
              </w:rPr>
              <w:t>0.95%</w:t>
            </w:r>
          </w:p>
        </w:tc>
        <w:tc>
          <w:tcPr>
            <w:vAlign w:val="center"/>
          </w:tcPr>
          <w:p>
            <w:pPr>
              <w:jc w:val="center"/>
            </w:pPr>
            <w:r>
              <w:rPr>
                <w:color w:val="000000"/>
                <w:sz w:val="24"/>
                <w:szCs w:val="24"/>
              </w:rPr>
              <w:t>1.08%</w:t>
            </w:r>
          </w:p>
        </w:tc>
        <w:tc>
          <w:tcPr>
            <w:vAlign w:val="center"/>
          </w:tcPr>
          <w:p>
            <w:pPr>
              <w:jc w:val="center"/>
            </w:pPr>
            <w:r>
              <w:rPr>
                <w:color w:val="000000"/>
                <w:sz w:val="24"/>
                <w:szCs w:val="24"/>
              </w:rPr>
              <w:t>15.93%</w:t>
            </w:r>
          </w:p>
        </w:tc>
        <w:tc>
          <w:tcPr>
            <w:vAlign w:val="center"/>
          </w:tcPr>
          <w:p>
            <w:pPr>
              <w:jc w:val="center"/>
            </w:pPr>
            <w:r>
              <w:rPr>
                <w:color w:val="000000"/>
                <w:sz w:val="24"/>
                <w:szCs w:val="24"/>
              </w:rPr>
              <w:t>-0.08%</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交银施罗德内核驱动混合型证券投资基金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2020年1月13日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注：本基金基金合同生效日为2020年1月13日，基金合同生效日至报告期期末，本基金运作时间未满一年。本基金建仓期为自基金合同生效日起的6个月。截至2020年6月30日，本基金尚处于建仓期。</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杨浩</w:t>
            </w:r>
          </w:p>
        </w:tc>
        <w:tc>
          <w:tcPr>
            <w:vAlign w:val="center"/>
          </w:tcPr>
          <w:p>
            <w:pPr>
              <w:jc w:val="center"/>
            </w:pPr>
            <w:r>
              <w:rPr>
                <w:color w:val="000000"/>
                <w:sz w:val="24"/>
                <w:szCs w:val="24"/>
              </w:rPr>
              <w:t>交银定期支付双息平衡混合、交银新生活力灵活配置混合、交银内核驱动混合、交银科锐科技创新混合的基金经理</w:t>
            </w:r>
          </w:p>
        </w:tc>
        <w:tc>
          <w:tcPr>
            <w:vAlign w:val="center"/>
          </w:tcPr>
          <w:p>
            <w:pPr>
              <w:jc w:val="center"/>
            </w:pPr>
            <w:r>
              <w:rPr>
                <w:color w:val="000000"/>
                <w:sz w:val="24"/>
                <w:szCs w:val="24"/>
              </w:rPr>
              <w:t>2020-01-13</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杨浩先生，北京邮电大学通信与信息系统专业硕士。2010年加入交银施罗德基金管理有限公司，历任行业分析师。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第二季度，上证指数上涨8.52%，创业板指数上涨30.25%，市场呈现出较为极端的成长股风格偏好，与当下流动性宽松低利率环境有较大关系。同时因为疫情对全球经济的负面影响和中美贸易摩擦，成长股板块中的相对逆经济周期品种表现更为突出，比如医药、半导体、食品饮料、基建等。</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本报告期跑赢业绩比较基准，主要是我们在线上娱乐与办公、新零售与供应链物流、可穿戴设备、云计算等领域上投资的个股获得不错的收益。我们的基金产品重视个股研究，追求平衡和稳健。在纷繁的成长股牛市中，我们一方面警惕风格化资金对于热门行业的疯狂追逐导致的估值泡沫，一方面也在积极的去体会社会经济的深层次变化，努力不错过这个革新的时代。商业社会在供给侧改革、科技赋能、消费升级三重作用下带来的投资机会是接下来我们最关注的。随着产业的发展，商业革新的变化更为清晰。我们特别关注一些具备平台化能力的公司而不是大单品公司，我们相信这些有能力把产品做得规整，甚至具备多产品类别能力的公司将会创造更多增量价值。</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5,995,180,479.66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84.01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5,995,180,479.66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84.01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10,357,214.70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0.15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10,357,214.70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0.15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1,061,702,015.47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14.88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68,766,742.19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0.96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7,136,006,452.02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263,384,287.11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3.76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3,293,777,316.90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47.08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12,766.32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512,466,728.30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7.32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835,520,877.97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11.94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118,005,553.38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82,532,777.08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82,628,288.40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286,674,483.00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520,177,401.20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7.44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5,995,180,479.66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85.69</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7,978,181</w:t>
            </w:r>
          </w:p>
        </w:tc>
        <w:tc>
          <w:tcPr>
            <w:vAlign w:val="center"/>
          </w:tcPr>
          <w:p>
            <w:pPr>
              <w:jc w:val="right"/>
            </w:pPr>
            <w:r>
              <w:rPr>
                <w:color w:val="000000"/>
                <w:sz w:val="24"/>
                <w:szCs w:val="24"/>
              </w:rPr>
              <w:t>520,177,401.20</w:t>
            </w:r>
          </w:p>
        </w:tc>
        <w:tc>
          <w:tcPr>
            <w:vAlign w:val="center"/>
          </w:tcPr>
          <w:p>
            <w:pPr>
              <w:jc w:val="right"/>
            </w:pPr>
            <w:r>
              <w:rPr>
                <w:color w:val="000000"/>
                <w:sz w:val="24"/>
                <w:szCs w:val="24"/>
              </w:rPr>
              <w:t>7.44</w:t>
            </w:r>
          </w:p>
        </w:tc>
      </w:tr>
      <w:tr>
        <w:tc>
          <w:tcPr>
            <w:vAlign w:val="center"/>
          </w:tcPr>
          <w:p>
            <w:pPr>
              <w:jc w:val="center"/>
            </w:pPr>
            <w:r>
              <w:rPr>
                <w:color w:val="000000"/>
                <w:sz w:val="24"/>
                <w:szCs w:val="24"/>
              </w:rPr>
              <w:t>2</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9,383,889</w:t>
            </w:r>
          </w:p>
        </w:tc>
        <w:tc>
          <w:tcPr>
            <w:vAlign w:val="center"/>
          </w:tcPr>
          <w:p>
            <w:pPr>
              <w:jc w:val="right"/>
            </w:pPr>
            <w:r>
              <w:rPr>
                <w:color w:val="000000"/>
                <w:sz w:val="24"/>
                <w:szCs w:val="24"/>
              </w:rPr>
              <w:t>512,466,728.30</w:t>
            </w:r>
          </w:p>
        </w:tc>
        <w:tc>
          <w:tcPr>
            <w:vAlign w:val="center"/>
          </w:tcPr>
          <w:p>
            <w:pPr>
              <w:jc w:val="right"/>
            </w:pPr>
            <w:r>
              <w:rPr>
                <w:color w:val="000000"/>
                <w:sz w:val="24"/>
                <w:szCs w:val="24"/>
              </w:rPr>
              <w:t>7.32</w:t>
            </w:r>
          </w:p>
        </w:tc>
      </w:tr>
      <w:tr>
        <w:tc>
          <w:tcPr>
            <w:vAlign w:val="center"/>
          </w:tcPr>
          <w:p>
            <w:pPr>
              <w:jc w:val="center"/>
            </w:pPr>
            <w:r>
              <w:rPr>
                <w:color w:val="000000"/>
                <w:sz w:val="24"/>
                <w:szCs w:val="24"/>
              </w:rPr>
              <w:t>3</w:t>
            </w:r>
          </w:p>
        </w:tc>
        <w:tc>
          <w:tcPr>
            <w:vAlign w:val="center"/>
          </w:tcPr>
          <w:p>
            <w:pPr>
              <w:jc w:val="center"/>
            </w:pPr>
            <w:r>
              <w:rPr>
                <w:color w:val="000000"/>
                <w:sz w:val="24"/>
                <w:szCs w:val="24"/>
              </w:rPr>
              <w:t>002841</w:t>
            </w:r>
          </w:p>
        </w:tc>
        <w:tc>
          <w:tcPr>
            <w:vAlign w:val="center"/>
          </w:tcPr>
          <w:p>
            <w:pPr>
              <w:jc w:val="center"/>
            </w:pPr>
            <w:r>
              <w:rPr>
                <w:color w:val="000000"/>
                <w:sz w:val="24"/>
                <w:szCs w:val="24"/>
              </w:rPr>
              <w:t>视源股份</w:t>
            </w:r>
          </w:p>
        </w:tc>
        <w:tc>
          <w:tcPr>
            <w:vAlign w:val="center"/>
          </w:tcPr>
          <w:p>
            <w:pPr>
              <w:jc w:val="right"/>
            </w:pPr>
            <w:r>
              <w:rPr>
                <w:color w:val="000000"/>
                <w:sz w:val="24"/>
                <w:szCs w:val="24"/>
              </w:rPr>
              <w:t>4,474,260</w:t>
            </w:r>
          </w:p>
        </w:tc>
        <w:tc>
          <w:tcPr>
            <w:vAlign w:val="center"/>
          </w:tcPr>
          <w:p>
            <w:pPr>
              <w:jc w:val="right"/>
            </w:pPr>
            <w:r>
              <w:rPr>
                <w:color w:val="000000"/>
                <w:sz w:val="24"/>
                <w:szCs w:val="24"/>
              </w:rPr>
              <w:t>436,016,355.20</w:t>
            </w:r>
          </w:p>
        </w:tc>
        <w:tc>
          <w:tcPr>
            <w:vAlign w:val="center"/>
          </w:tcPr>
          <w:p>
            <w:pPr>
              <w:jc w:val="right"/>
            </w:pPr>
            <w:r>
              <w:rPr>
                <w:color w:val="000000"/>
                <w:sz w:val="24"/>
                <w:szCs w:val="24"/>
              </w:rPr>
              <w:t>6.23</w:t>
            </w:r>
          </w:p>
        </w:tc>
      </w:tr>
      <w:tr>
        <w:tc>
          <w:tcPr>
            <w:vAlign w:val="center"/>
          </w:tcPr>
          <w:p>
            <w:pPr>
              <w:jc w:val="center"/>
            </w:pPr>
            <w:r>
              <w:rPr>
                <w:color w:val="000000"/>
                <w:sz w:val="24"/>
                <w:szCs w:val="24"/>
              </w:rPr>
              <w:t>4</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19,414,301</w:t>
            </w:r>
          </w:p>
        </w:tc>
        <w:tc>
          <w:tcPr>
            <w:vAlign w:val="center"/>
          </w:tcPr>
          <w:p>
            <w:pPr>
              <w:jc w:val="right"/>
            </w:pPr>
            <w:r>
              <w:rPr>
                <w:color w:val="000000"/>
                <w:sz w:val="24"/>
                <w:szCs w:val="24"/>
              </w:rPr>
              <w:t>425,173,191.90</w:t>
            </w:r>
          </w:p>
        </w:tc>
        <w:tc>
          <w:tcPr>
            <w:vAlign w:val="center"/>
          </w:tcPr>
          <w:p>
            <w:pPr>
              <w:jc w:val="right"/>
            </w:pPr>
            <w:r>
              <w:rPr>
                <w:color w:val="000000"/>
                <w:sz w:val="24"/>
                <w:szCs w:val="24"/>
              </w:rPr>
              <w:t>6.08</w:t>
            </w:r>
          </w:p>
        </w:tc>
      </w:tr>
      <w:tr>
        <w:tc>
          <w:tcPr>
            <w:vAlign w:val="center"/>
          </w:tcPr>
          <w:p>
            <w:pPr>
              <w:jc w:val="center"/>
            </w:pPr>
            <w:r>
              <w:rPr>
                <w:color w:val="000000"/>
                <w:sz w:val="24"/>
                <w:szCs w:val="24"/>
              </w:rPr>
              <w:t>5</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5,387,578</w:t>
            </w:r>
          </w:p>
        </w:tc>
        <w:tc>
          <w:tcPr>
            <w:vAlign w:val="center"/>
          </w:tcPr>
          <w:p>
            <w:pPr>
              <w:jc w:val="right"/>
            </w:pPr>
            <w:r>
              <w:rPr>
                <w:color w:val="000000"/>
                <w:sz w:val="24"/>
                <w:szCs w:val="24"/>
              </w:rPr>
              <w:t>381,117,267.72</w:t>
            </w:r>
          </w:p>
        </w:tc>
        <w:tc>
          <w:tcPr>
            <w:vAlign w:val="center"/>
          </w:tcPr>
          <w:p>
            <w:pPr>
              <w:jc w:val="right"/>
            </w:pPr>
            <w:r>
              <w:rPr>
                <w:color w:val="000000"/>
                <w:sz w:val="24"/>
                <w:szCs w:val="24"/>
              </w:rPr>
              <w:t>5.45</w:t>
            </w:r>
          </w:p>
        </w:tc>
      </w:tr>
      <w:tr>
        <w:tc>
          <w:tcPr>
            <w:vAlign w:val="center"/>
          </w:tcPr>
          <w:p>
            <w:pPr>
              <w:jc w:val="center"/>
            </w:pPr>
            <w:r>
              <w:rPr>
                <w:color w:val="000000"/>
                <w:sz w:val="24"/>
                <w:szCs w:val="24"/>
              </w:rPr>
              <w:t>6</w:t>
            </w:r>
          </w:p>
        </w:tc>
        <w:tc>
          <w:tcPr>
            <w:vAlign w:val="center"/>
          </w:tcPr>
          <w:p>
            <w:pPr>
              <w:jc w:val="center"/>
            </w:pPr>
            <w:r>
              <w:rPr>
                <w:color w:val="000000"/>
                <w:sz w:val="24"/>
                <w:szCs w:val="24"/>
              </w:rPr>
              <w:t>600690</w:t>
            </w:r>
          </w:p>
        </w:tc>
        <w:tc>
          <w:tcPr>
            <w:vAlign w:val="center"/>
          </w:tcPr>
          <w:p>
            <w:pPr>
              <w:jc w:val="center"/>
            </w:pPr>
            <w:r>
              <w:rPr>
                <w:color w:val="000000"/>
                <w:sz w:val="24"/>
                <w:szCs w:val="24"/>
              </w:rPr>
              <w:t>海尔智家</w:t>
            </w:r>
          </w:p>
        </w:tc>
        <w:tc>
          <w:tcPr>
            <w:vAlign w:val="center"/>
          </w:tcPr>
          <w:p>
            <w:pPr>
              <w:jc w:val="right"/>
            </w:pPr>
            <w:r>
              <w:rPr>
                <w:color w:val="000000"/>
                <w:sz w:val="24"/>
                <w:szCs w:val="24"/>
              </w:rPr>
              <w:t>20,868,060</w:t>
            </w:r>
          </w:p>
        </w:tc>
        <w:tc>
          <w:tcPr>
            <w:vAlign w:val="center"/>
          </w:tcPr>
          <w:p>
            <w:pPr>
              <w:jc w:val="right"/>
            </w:pPr>
            <w:r>
              <w:rPr>
                <w:color w:val="000000"/>
                <w:sz w:val="24"/>
                <w:szCs w:val="24"/>
              </w:rPr>
              <w:t>369,364,662.00</w:t>
            </w:r>
          </w:p>
        </w:tc>
        <w:tc>
          <w:tcPr>
            <w:vAlign w:val="center"/>
          </w:tcPr>
          <w:p>
            <w:pPr>
              <w:jc w:val="right"/>
            </w:pPr>
            <w:r>
              <w:rPr>
                <w:color w:val="000000"/>
                <w:sz w:val="24"/>
                <w:szCs w:val="24"/>
              </w:rPr>
              <w:t>5.28</w:t>
            </w:r>
          </w:p>
        </w:tc>
      </w:tr>
      <w:tr>
        <w:tc>
          <w:tcPr>
            <w:vAlign w:val="center"/>
          </w:tcPr>
          <w:p>
            <w:pPr>
              <w:jc w:val="center"/>
            </w:pPr>
            <w:r>
              <w:rPr>
                <w:color w:val="000000"/>
                <w:sz w:val="24"/>
                <w:szCs w:val="24"/>
              </w:rPr>
              <w:t>7</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8,973,192</w:t>
            </w:r>
          </w:p>
        </w:tc>
        <w:tc>
          <w:tcPr>
            <w:vAlign w:val="center"/>
          </w:tcPr>
          <w:p>
            <w:pPr>
              <w:jc w:val="right"/>
            </w:pPr>
            <w:r>
              <w:rPr>
                <w:color w:val="000000"/>
                <w:sz w:val="24"/>
                <w:szCs w:val="24"/>
              </w:rPr>
              <w:t>364,580,790.96</w:t>
            </w:r>
          </w:p>
        </w:tc>
        <w:tc>
          <w:tcPr>
            <w:vAlign w:val="center"/>
          </w:tcPr>
          <w:p>
            <w:pPr>
              <w:jc w:val="right"/>
            </w:pPr>
            <w:r>
              <w:rPr>
                <w:color w:val="000000"/>
                <w:sz w:val="24"/>
                <w:szCs w:val="24"/>
              </w:rPr>
              <w:t>5.21</w:t>
            </w:r>
          </w:p>
        </w:tc>
      </w:tr>
      <w:tr>
        <w:tc>
          <w:tcPr>
            <w:vAlign w:val="center"/>
          </w:tcPr>
          <w:p>
            <w:pPr>
              <w:jc w:val="center"/>
            </w:pPr>
            <w:r>
              <w:rPr>
                <w:color w:val="000000"/>
                <w:sz w:val="24"/>
                <w:szCs w:val="24"/>
              </w:rPr>
              <w:t>8</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7,452,863</w:t>
            </w:r>
          </w:p>
        </w:tc>
        <w:tc>
          <w:tcPr>
            <w:vAlign w:val="center"/>
          </w:tcPr>
          <w:p>
            <w:pPr>
              <w:jc w:val="right"/>
            </w:pPr>
            <w:r>
              <w:rPr>
                <w:color w:val="000000"/>
                <w:sz w:val="24"/>
                <w:szCs w:val="24"/>
              </w:rPr>
              <w:t>345,543,988.40</w:t>
            </w:r>
          </w:p>
        </w:tc>
        <w:tc>
          <w:tcPr>
            <w:vAlign w:val="center"/>
          </w:tcPr>
          <w:p>
            <w:pPr>
              <w:jc w:val="right"/>
            </w:pPr>
            <w:r>
              <w:rPr>
                <w:color w:val="000000"/>
                <w:sz w:val="24"/>
                <w:szCs w:val="24"/>
              </w:rPr>
              <w:t>4.94</w:t>
            </w:r>
          </w:p>
        </w:tc>
      </w:tr>
      <w:tr>
        <w:tc>
          <w:tcPr>
            <w:vAlign w:val="center"/>
          </w:tcPr>
          <w:p>
            <w:pPr>
              <w:jc w:val="center"/>
            </w:pPr>
            <w:r>
              <w:rPr>
                <w:color w:val="000000"/>
                <w:sz w:val="24"/>
                <w:szCs w:val="24"/>
              </w:rPr>
              <w:t>9</w:t>
            </w:r>
          </w:p>
        </w:tc>
        <w:tc>
          <w:tcPr>
            <w:vAlign w:val="center"/>
          </w:tcPr>
          <w:p>
            <w:pPr>
              <w:jc w:val="center"/>
            </w:pPr>
            <w:r>
              <w:rPr>
                <w:color w:val="000000"/>
                <w:sz w:val="24"/>
                <w:szCs w:val="24"/>
              </w:rPr>
              <w:t>600522</w:t>
            </w:r>
          </w:p>
        </w:tc>
        <w:tc>
          <w:tcPr>
            <w:vAlign w:val="center"/>
          </w:tcPr>
          <w:p>
            <w:pPr>
              <w:jc w:val="center"/>
            </w:pPr>
            <w:r>
              <w:rPr>
                <w:color w:val="000000"/>
                <w:sz w:val="24"/>
                <w:szCs w:val="24"/>
              </w:rPr>
              <w:t>中天科技</w:t>
            </w:r>
          </w:p>
        </w:tc>
        <w:tc>
          <w:tcPr>
            <w:vAlign w:val="center"/>
          </w:tcPr>
          <w:p>
            <w:pPr>
              <w:jc w:val="right"/>
            </w:pPr>
            <w:r>
              <w:rPr>
                <w:color w:val="000000"/>
                <w:sz w:val="24"/>
                <w:szCs w:val="24"/>
              </w:rPr>
              <w:t>29,550,724</w:t>
            </w:r>
          </w:p>
        </w:tc>
        <w:tc>
          <w:tcPr>
            <w:vAlign w:val="center"/>
          </w:tcPr>
          <w:p>
            <w:pPr>
              <w:jc w:val="right"/>
            </w:pPr>
            <w:r>
              <w:rPr>
                <w:color w:val="000000"/>
                <w:sz w:val="24"/>
                <w:szCs w:val="24"/>
              </w:rPr>
              <w:t>338,355,789.80</w:t>
            </w:r>
          </w:p>
        </w:tc>
        <w:tc>
          <w:tcPr>
            <w:vAlign w:val="center"/>
          </w:tcPr>
          <w:p>
            <w:pPr>
              <w:jc w:val="right"/>
            </w:pPr>
            <w:r>
              <w:rPr>
                <w:color w:val="000000"/>
                <w:sz w:val="24"/>
                <w:szCs w:val="24"/>
              </w:rPr>
              <w:t>4.84</w:t>
            </w:r>
          </w:p>
        </w:tc>
      </w:tr>
      <w:tr>
        <w:tc>
          <w:tcPr>
            <w:vAlign w:val="center"/>
          </w:tcPr>
          <w:p>
            <w:pPr>
              <w:jc w:val="center"/>
            </w:pPr>
            <w:r>
              <w:rPr>
                <w:color w:val="000000"/>
                <w:sz w:val="24"/>
                <w:szCs w:val="24"/>
              </w:rPr>
              <w:t>10</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10,330,612</w:t>
            </w:r>
          </w:p>
        </w:tc>
        <w:tc>
          <w:tcPr>
            <w:vAlign w:val="center"/>
          </w:tcPr>
          <w:p>
            <w:pPr>
              <w:jc w:val="right"/>
            </w:pPr>
            <w:r>
              <w:rPr>
                <w:color w:val="000000"/>
                <w:sz w:val="24"/>
                <w:szCs w:val="24"/>
              </w:rPr>
              <w:t>286,674,483.00</w:t>
            </w:r>
          </w:p>
        </w:tc>
        <w:tc>
          <w:tcPr>
            <w:vAlign w:val="center"/>
          </w:tcPr>
          <w:p>
            <w:pPr>
              <w:jc w:val="right"/>
            </w:pPr>
            <w:r>
              <w:rPr>
                <w:color w:val="000000"/>
                <w:sz w:val="24"/>
                <w:szCs w:val="24"/>
              </w:rPr>
              <w:t>4.10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10,357,214.70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0.15</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10,357,214.70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0.15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110069</w:t>
            </w:r>
          </w:p>
        </w:tc>
        <w:tc>
          <w:tcPr>
            <w:vAlign w:val="center"/>
          </w:tcPr>
          <w:p>
            <w:pPr>
              <w:jc w:val="center"/>
            </w:pPr>
            <w:r>
              <w:rPr>
                <w:color w:val="000000"/>
                <w:sz w:val="24"/>
                <w:szCs w:val="24"/>
              </w:rPr>
              <w:t>瀚蓝转债</w:t>
            </w:r>
          </w:p>
        </w:tc>
        <w:tc>
          <w:tcPr>
            <w:vAlign w:val="center"/>
          </w:tcPr>
          <w:p>
            <w:pPr>
              <w:jc w:val="right"/>
            </w:pPr>
            <w:r>
              <w:rPr>
                <w:color w:val="000000"/>
                <w:sz w:val="24"/>
                <w:szCs w:val="24"/>
              </w:rPr>
              <w:t>46,520</w:t>
            </w:r>
          </w:p>
        </w:tc>
        <w:tc>
          <w:tcPr>
            <w:vAlign w:val="center"/>
          </w:tcPr>
          <w:p>
            <w:pPr>
              <w:jc w:val="right"/>
            </w:pPr>
            <w:r>
              <w:rPr>
                <w:color w:val="000000"/>
                <w:sz w:val="24"/>
                <w:szCs w:val="24"/>
              </w:rPr>
              <w:t>5,823,373.60</w:t>
            </w:r>
          </w:p>
        </w:tc>
        <w:tc>
          <w:tcPr>
            <w:vAlign w:val="center"/>
          </w:tcPr>
          <w:p>
            <w:pPr>
              <w:jc w:val="right"/>
            </w:pPr>
            <w:r>
              <w:rPr>
                <w:color w:val="000000"/>
                <w:sz w:val="24"/>
                <w:szCs w:val="24"/>
              </w:rPr>
              <w:t>0.08</w:t>
            </w:r>
          </w:p>
        </w:tc>
      </w:tr>
      <w:tr>
        <w:tc>
          <w:tcPr>
            <w:vAlign w:val="center"/>
          </w:tcPr>
          <w:p>
            <w:pPr>
              <w:jc w:val="center"/>
            </w:pPr>
            <w:r>
              <w:rPr>
                <w:color w:val="000000"/>
                <w:sz w:val="24"/>
                <w:szCs w:val="24"/>
              </w:rPr>
              <w:t>2</w:t>
            </w:r>
          </w:p>
        </w:tc>
        <w:tc>
          <w:tcPr>
            <w:vAlign w:val="center"/>
          </w:tcPr>
          <w:p>
            <w:pPr>
              <w:jc w:val="center"/>
            </w:pPr>
            <w:r>
              <w:rPr>
                <w:color w:val="000000"/>
                <w:sz w:val="24"/>
                <w:szCs w:val="24"/>
              </w:rPr>
              <w:t>128102</w:t>
            </w:r>
          </w:p>
        </w:tc>
        <w:tc>
          <w:tcPr>
            <w:vAlign w:val="center"/>
          </w:tcPr>
          <w:p>
            <w:pPr>
              <w:jc w:val="center"/>
            </w:pPr>
            <w:r>
              <w:rPr>
                <w:color w:val="000000"/>
                <w:sz w:val="24"/>
                <w:szCs w:val="24"/>
              </w:rPr>
              <w:t>海大转债</w:t>
            </w:r>
          </w:p>
        </w:tc>
        <w:tc>
          <w:tcPr>
            <w:vAlign w:val="center"/>
          </w:tcPr>
          <w:p>
            <w:pPr>
              <w:jc w:val="right"/>
            </w:pPr>
            <w:r>
              <w:rPr>
                <w:color w:val="000000"/>
                <w:sz w:val="24"/>
                <w:szCs w:val="24"/>
              </w:rPr>
              <w:t>22,265</w:t>
            </w:r>
          </w:p>
        </w:tc>
        <w:tc>
          <w:tcPr>
            <w:vAlign w:val="center"/>
          </w:tcPr>
          <w:p>
            <w:pPr>
              <w:jc w:val="right"/>
            </w:pPr>
            <w:r>
              <w:rPr>
                <w:color w:val="000000"/>
                <w:sz w:val="24"/>
                <w:szCs w:val="24"/>
              </w:rPr>
              <w:t>3,155,841.10</w:t>
            </w:r>
          </w:p>
        </w:tc>
        <w:tc>
          <w:tcPr>
            <w:vAlign w:val="center"/>
          </w:tcPr>
          <w:p>
            <w:pPr>
              <w:jc w:val="right"/>
            </w:pPr>
            <w:r>
              <w:rPr>
                <w:color w:val="000000"/>
                <w:sz w:val="24"/>
                <w:szCs w:val="24"/>
              </w:rPr>
              <w:t>0.05</w:t>
            </w:r>
          </w:p>
        </w:tc>
      </w:tr>
      <w:tr>
        <w:tc>
          <w:tcPr>
            <w:vAlign w:val="center"/>
          </w:tcPr>
          <w:p>
            <w:pPr>
              <w:jc w:val="center"/>
            </w:pPr>
            <w:r>
              <w:rPr>
                <w:color w:val="000000"/>
                <w:sz w:val="24"/>
                <w:szCs w:val="24"/>
              </w:rPr>
              <w:t>3</w:t>
            </w:r>
          </w:p>
        </w:tc>
        <w:tc>
          <w:tcPr>
            <w:vAlign w:val="center"/>
          </w:tcPr>
          <w:p>
            <w:pPr>
              <w:jc w:val="center"/>
            </w:pPr>
            <w:r>
              <w:rPr>
                <w:color w:val="000000"/>
                <w:sz w:val="24"/>
                <w:szCs w:val="24"/>
              </w:rPr>
              <w:t>113587</w:t>
            </w:r>
          </w:p>
        </w:tc>
        <w:tc>
          <w:tcPr>
            <w:vAlign w:val="center"/>
          </w:tcPr>
          <w:p>
            <w:pPr>
              <w:jc w:val="center"/>
            </w:pPr>
            <w:r>
              <w:rPr>
                <w:color w:val="000000"/>
                <w:sz w:val="24"/>
                <w:szCs w:val="24"/>
              </w:rPr>
              <w:t>泛微转债</w:t>
            </w:r>
          </w:p>
        </w:tc>
        <w:tc>
          <w:tcPr>
            <w:vAlign w:val="center"/>
          </w:tcPr>
          <w:p>
            <w:pPr>
              <w:jc w:val="right"/>
            </w:pPr>
            <w:r>
              <w:rPr>
                <w:color w:val="000000"/>
                <w:sz w:val="24"/>
                <w:szCs w:val="24"/>
              </w:rPr>
              <w:t>13,780</w:t>
            </w:r>
          </w:p>
        </w:tc>
        <w:tc>
          <w:tcPr>
            <w:vAlign w:val="center"/>
          </w:tcPr>
          <w:p>
            <w:pPr>
              <w:jc w:val="right"/>
            </w:pPr>
            <w:r>
              <w:rPr>
                <w:color w:val="000000"/>
                <w:sz w:val="24"/>
                <w:szCs w:val="24"/>
              </w:rPr>
              <w:t>1,378,000.00</w:t>
            </w:r>
          </w:p>
        </w:tc>
        <w:tc>
          <w:tcPr>
            <w:vAlign w:val="center"/>
          </w:tcPr>
          <w:p>
            <w:pPr>
              <w:jc w:val="right"/>
            </w:pPr>
            <w:r>
              <w:rPr>
                <w:color w:val="000000"/>
                <w:sz w:val="24"/>
                <w:szCs w:val="24"/>
              </w:rPr>
              <w:t>0.02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2,053,819.73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24,473,859.79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204,181.02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42,034,881.65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68,766,742.19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002841</w:t>
            </w:r>
          </w:p>
        </w:tc>
        <w:tc>
          <w:tcPr>
            <w:vAlign w:val="center"/>
          </w:tcPr>
          <w:p>
            <w:pPr>
              <w:jc w:val="center"/>
            </w:pPr>
            <w:r>
              <w:rPr>
                <w:color w:val="000000"/>
                <w:sz w:val="24"/>
                <w:szCs w:val="24"/>
              </w:rPr>
              <w:t>视源股份</w:t>
            </w:r>
          </w:p>
        </w:tc>
        <w:tc>
          <w:tcPr>
            <w:vAlign w:val="center"/>
          </w:tcPr>
          <w:p>
            <w:pPr>
              <w:jc w:val="right"/>
            </w:pPr>
            <w:r>
              <w:rPr>
                <w:color w:val="000000"/>
                <w:sz w:val="24"/>
                <w:szCs w:val="24"/>
              </w:rPr>
              <w:t>140,018,000.00</w:t>
            </w:r>
          </w:p>
        </w:tc>
        <w:tc>
          <w:tcPr>
            <w:vAlign w:val="center"/>
          </w:tcPr>
          <w:p>
            <w:pPr>
              <w:jc w:val="right"/>
            </w:pPr>
            <w:r>
              <w:rPr>
                <w:color w:val="000000"/>
                <w:sz w:val="24"/>
                <w:szCs w:val="24"/>
              </w:rPr>
              <w:t>2.00</w:t>
            </w:r>
          </w:p>
        </w:tc>
        <w:tc>
          <w:tcPr>
            <w:vAlign w:val="center"/>
          </w:tcPr>
          <w:p>
            <w:pPr>
              <w:jc w:val="right"/>
            </w:pPr>
            <w:r>
              <w:rPr>
                <w:color w:val="000000"/>
                <w:sz w:val="24"/>
                <w:szCs w:val="24"/>
              </w:rPr>
              <w:t>限售股</w:t>
            </w:r>
          </w:p>
        </w:tc>
      </w:tr>
      <w:tr>
        <w:tc>
          <w:tcPr>
            <w:vAlign w:val="center"/>
          </w:tcPr>
          <w:p>
            <w:pPr>
              <w:jc w:val="center"/>
            </w:pPr>
            <w:r>
              <w:rPr>
                <w:color w:val="000000"/>
                <w:sz w:val="24"/>
                <w:szCs w:val="24"/>
              </w:rPr>
              <w:t>2</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43,550,000.00</w:t>
            </w:r>
          </w:p>
        </w:tc>
        <w:tc>
          <w:tcPr>
            <w:vAlign w:val="center"/>
          </w:tcPr>
          <w:p>
            <w:pPr>
              <w:jc w:val="right"/>
            </w:pPr>
            <w:r>
              <w:rPr>
                <w:color w:val="000000"/>
                <w:sz w:val="24"/>
                <w:szCs w:val="24"/>
              </w:rPr>
              <w:t>0.62</w:t>
            </w:r>
          </w:p>
        </w:tc>
        <w:tc>
          <w:tcPr>
            <w:vAlign w:val="center"/>
          </w:tcPr>
          <w:p>
            <w:pPr>
              <w:jc w:val="right"/>
            </w:pPr>
            <w:r>
              <w:rPr>
                <w:color w:val="000000"/>
                <w:sz w:val="24"/>
                <w:szCs w:val="24"/>
              </w:rPr>
              <w:t>限售股</w:t>
            </w:r>
          </w:p>
        </w:tc>
      </w:tr>
      <w:tr>
        <w:tc>
          <w:tcPr>
            <w:vAlign w:val="center"/>
          </w:tcPr>
          <w:p>
            <w:pPr>
              <w:jc w:val="center"/>
            </w:pPr>
            <w:r>
              <w:rPr>
                <w:color w:val="000000"/>
                <w:sz w:val="24"/>
                <w:szCs w:val="24"/>
              </w:rPr>
              <w:t>3</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42,928,000.00</w:t>
            </w:r>
          </w:p>
        </w:tc>
        <w:tc>
          <w:tcPr>
            <w:vAlign w:val="center"/>
          </w:tcPr>
          <w:p>
            <w:pPr>
              <w:jc w:val="right"/>
            </w:pPr>
            <w:r>
              <w:rPr>
                <w:color w:val="000000"/>
                <w:sz w:val="24"/>
                <w:szCs w:val="24"/>
              </w:rPr>
              <w:t>0.61</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7,298,717,329.15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534,334,686.99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1,847,028,214.73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5,986,023,801.41</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1、中国证监会准予交银施罗德内核驱动混合型证券投资基金募集注册的文件；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2、《交银施罗德内核驱动混合型证券投资基金基金合同》；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3、《交银施罗德内核驱动混合型证券投资基金招募说明书》；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4、《交银施罗德内核驱动混合型证券投资基金托管协议》；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5、关于申请募集注册交银施罗德内核驱动混合型证券投资基金的法律意见书；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8、报告期内交银施罗德内核驱动混合型证券投资基金在指定报刊上各项公告的原稿。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交银施罗德内核驱动混合型证券投资基金2020年第2季度报告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