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交银施罗德策略回报灵活配置混合型证券投资基金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2020年第2季度报告</w:t>
      </w:r>
    </w:p>
    <w:p w:rsidP="00C15CAC" w:rsidR="004061AC" w:rsidRDefault="00655CD8" w:rsidRPr="0081286B">
      <w:pPr>
        <w:spacing w:before="29" w:line="288" w:lineRule="auto"/>
        <w:jc w:val="center"/>
        <w:rPr>
          <w:b/>
          <w:sz w:val="36"/>
          <w:szCs w:val="36"/>
        </w:rPr>
      </w:pPr>
      <w:r w:rsidRPr="0081286B">
        <w:rPr>
          <w:b/>
          <w:sz w:val="36"/>
          <w:szCs w:val="36"/>
        </w:rPr>
        <w:t>2020年6月30日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中信银行股份有限公司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二〇二〇年七月二十一日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基金托管人中信银行股份有限公司根据本基金合同规定，于2020年7月20日复核了本报告中的财务指标、净值表现和投资组合报告等内容，保证复核内容不存在虚假记载、误导性陈述或者重大遗漏。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本报告期自2020年4月1日起至6月30日止。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交银策略回报灵活配置混合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519710</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519710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2015年6月27日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286,258,652.85</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本基金根据对宏观经济周期和市场环境的分析研究，自上而下配置资产，并通过对类属资产灵活运用多种投资策略，力争实现基金资产的长期稳定增值。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将通过“自上而下”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60%×沪深300指数收益率+40%×中证综合债券指数收益率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本基金为混合型证券投资基金，其预期收益和风险高于货币市场基金、债券型基金，而低于股票型基金，属于证券投资基金中的中高风险品种。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(2020年4月1日-2020年6月30日)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102,108,912.95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152,905,753.01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0.3541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403,918,201.78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1.411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34.77%</w:t>
            </w:r>
          </w:p>
        </w:tc>
        <w:tc>
          <w:tcPr>
            <w:vAlign w:val="center"/>
          </w:tcPr>
          <w:p>
            <w:pPr>
              <w:jc w:val="center"/>
            </w:pPr>
            <w:r>
              <w:rPr>
                <w:color w:val="000000"/>
                <w:sz w:val="24"/>
                <w:szCs w:val="24"/>
              </w:rPr>
              <w:t>1.04%</w:t>
            </w:r>
          </w:p>
        </w:tc>
        <w:tc>
          <w:tcPr>
            <w:vAlign w:val="center"/>
          </w:tcPr>
          <w:p>
            <w:pPr>
              <w:jc w:val="center"/>
            </w:pPr>
            <w:r>
              <w:rPr>
                <w:color w:val="000000"/>
                <w:sz w:val="24"/>
                <w:szCs w:val="24"/>
              </w:rPr>
              <w:t>7.54%</w:t>
            </w:r>
          </w:p>
        </w:tc>
        <w:tc>
          <w:tcPr>
            <w:vAlign w:val="center"/>
          </w:tcPr>
          <w:p>
            <w:pPr>
              <w:jc w:val="center"/>
            </w:pPr>
            <w:r>
              <w:rPr>
                <w:color w:val="000000"/>
                <w:sz w:val="24"/>
                <w:szCs w:val="24"/>
              </w:rPr>
              <w:t>0.54%</w:t>
            </w:r>
          </w:p>
        </w:tc>
        <w:tc>
          <w:tcPr>
            <w:vAlign w:val="center"/>
          </w:tcPr>
          <w:p>
            <w:pPr>
              <w:jc w:val="center"/>
            </w:pPr>
            <w:r>
              <w:rPr>
                <w:color w:val="000000"/>
                <w:sz w:val="24"/>
                <w:szCs w:val="24"/>
              </w:rPr>
              <w:t>27.23%</w:t>
            </w:r>
          </w:p>
        </w:tc>
        <w:tc>
          <w:tcPr>
            <w:vAlign w:val="center"/>
          </w:tcPr>
          <w:p>
            <w:pPr>
              <w:jc w:val="center"/>
            </w:pPr>
            <w:r>
              <w:rPr>
                <w:color w:val="000000"/>
                <w:sz w:val="24"/>
                <w:szCs w:val="24"/>
              </w:rPr>
              <w:t>0.50%</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28.16%</w:t>
            </w:r>
          </w:p>
        </w:tc>
        <w:tc>
          <w:tcPr>
            <w:vAlign w:val="center"/>
          </w:tcPr>
          <w:p>
            <w:pPr>
              <w:jc w:val="center"/>
            </w:pPr>
            <w:r>
              <w:rPr>
                <w:color w:val="000000"/>
                <w:sz w:val="24"/>
                <w:szCs w:val="24"/>
              </w:rPr>
              <w:t>1.47%</w:t>
            </w:r>
          </w:p>
        </w:tc>
        <w:tc>
          <w:tcPr>
            <w:vAlign w:val="center"/>
          </w:tcPr>
          <w:p>
            <w:pPr>
              <w:jc w:val="center"/>
            </w:pPr>
            <w:r>
              <w:rPr>
                <w:color w:val="000000"/>
                <w:sz w:val="24"/>
                <w:szCs w:val="24"/>
              </w:rPr>
              <w:t>2.27%</w:t>
            </w:r>
          </w:p>
        </w:tc>
        <w:tc>
          <w:tcPr>
            <w:vAlign w:val="center"/>
          </w:tcPr>
          <w:p>
            <w:pPr>
              <w:jc w:val="center"/>
            </w:pPr>
            <w:r>
              <w:rPr>
                <w:color w:val="000000"/>
                <w:sz w:val="24"/>
                <w:szCs w:val="24"/>
              </w:rPr>
              <w:t>0.90%</w:t>
            </w:r>
          </w:p>
        </w:tc>
        <w:tc>
          <w:tcPr>
            <w:vAlign w:val="center"/>
          </w:tcPr>
          <w:p>
            <w:pPr>
              <w:jc w:val="center"/>
            </w:pPr>
            <w:r>
              <w:rPr>
                <w:color w:val="000000"/>
                <w:sz w:val="24"/>
                <w:szCs w:val="24"/>
              </w:rPr>
              <w:t>25.89%</w:t>
            </w:r>
          </w:p>
        </w:tc>
        <w:tc>
          <w:tcPr>
            <w:vAlign w:val="center"/>
          </w:tcPr>
          <w:p>
            <w:pPr>
              <w:jc w:val="center"/>
            </w:pPr>
            <w:r>
              <w:rPr>
                <w:color w:val="000000"/>
                <w:sz w:val="24"/>
                <w:szCs w:val="24"/>
              </w:rPr>
              <w:t>0.57%</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35.78%</w:t>
            </w:r>
          </w:p>
        </w:tc>
        <w:tc>
          <w:tcPr>
            <w:vAlign w:val="center"/>
          </w:tcPr>
          <w:p>
            <w:pPr>
              <w:jc w:val="center"/>
            </w:pPr>
            <w:r>
              <w:rPr>
                <w:color w:val="000000"/>
                <w:sz w:val="24"/>
                <w:szCs w:val="24"/>
              </w:rPr>
              <w:t>1.22%</w:t>
            </w:r>
          </w:p>
        </w:tc>
        <w:tc>
          <w:tcPr>
            <w:vAlign w:val="center"/>
          </w:tcPr>
          <w:p>
            <w:pPr>
              <w:jc w:val="center"/>
            </w:pPr>
            <w:r>
              <w:rPr>
                <w:color w:val="000000"/>
                <w:sz w:val="24"/>
                <w:szCs w:val="24"/>
              </w:rPr>
              <w:t>7.78%</w:t>
            </w:r>
          </w:p>
        </w:tc>
        <w:tc>
          <w:tcPr>
            <w:vAlign w:val="center"/>
          </w:tcPr>
          <w:p>
            <w:pPr>
              <w:jc w:val="center"/>
            </w:pPr>
            <w:r>
              <w:rPr>
                <w:color w:val="000000"/>
                <w:sz w:val="24"/>
                <w:szCs w:val="24"/>
              </w:rPr>
              <w:t>0.72%</w:t>
            </w:r>
          </w:p>
        </w:tc>
        <w:tc>
          <w:tcPr>
            <w:vAlign w:val="center"/>
          </w:tcPr>
          <w:p>
            <w:pPr>
              <w:jc w:val="center"/>
            </w:pPr>
            <w:r>
              <w:rPr>
                <w:color w:val="000000"/>
                <w:sz w:val="24"/>
                <w:szCs w:val="24"/>
              </w:rPr>
              <w:t>28.00%</w:t>
            </w:r>
          </w:p>
        </w:tc>
        <w:tc>
          <w:tcPr>
            <w:vAlign w:val="center"/>
          </w:tcPr>
          <w:p>
            <w:pPr>
              <w:jc w:val="center"/>
            </w:pPr>
            <w:r>
              <w:rPr>
                <w:color w:val="000000"/>
                <w:sz w:val="24"/>
                <w:szCs w:val="24"/>
              </w:rPr>
              <w:t>0.50%</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47.00%</w:t>
            </w:r>
          </w:p>
        </w:tc>
        <w:tc>
          <w:tcPr>
            <w:vAlign w:val="center"/>
          </w:tcPr>
          <w:p>
            <w:pPr>
              <w:jc w:val="center"/>
            </w:pPr>
            <w:r>
              <w:rPr>
                <w:color w:val="000000"/>
                <w:sz w:val="24"/>
                <w:szCs w:val="24"/>
              </w:rPr>
              <w:t>1.28%</w:t>
            </w:r>
          </w:p>
        </w:tc>
        <w:tc>
          <w:tcPr>
            <w:vAlign w:val="center"/>
          </w:tcPr>
          <w:p>
            <w:pPr>
              <w:jc w:val="center"/>
            </w:pPr>
            <w:r>
              <w:rPr>
                <w:color w:val="000000"/>
                <w:sz w:val="24"/>
                <w:szCs w:val="24"/>
              </w:rPr>
              <w:t>16.18%</w:t>
            </w:r>
          </w:p>
        </w:tc>
        <w:tc>
          <w:tcPr>
            <w:vAlign w:val="center"/>
          </w:tcPr>
          <w:p>
            <w:pPr>
              <w:jc w:val="center"/>
            </w:pPr>
            <w:r>
              <w:rPr>
                <w:color w:val="000000"/>
                <w:sz w:val="24"/>
                <w:szCs w:val="24"/>
              </w:rPr>
              <w:t>0.75%</w:t>
            </w:r>
          </w:p>
        </w:tc>
        <w:tc>
          <w:tcPr>
            <w:vAlign w:val="center"/>
          </w:tcPr>
          <w:p>
            <w:pPr>
              <w:jc w:val="center"/>
            </w:pPr>
            <w:r>
              <w:rPr>
                <w:color w:val="000000"/>
                <w:sz w:val="24"/>
                <w:szCs w:val="24"/>
              </w:rPr>
              <w:t>30.82%</w:t>
            </w:r>
          </w:p>
        </w:tc>
        <w:tc>
          <w:tcPr>
            <w:vAlign w:val="center"/>
          </w:tcPr>
          <w:p>
            <w:pPr>
              <w:jc w:val="center"/>
            </w:pPr>
            <w:r>
              <w:rPr>
                <w:color w:val="000000"/>
                <w:sz w:val="24"/>
                <w:szCs w:val="24"/>
              </w:rPr>
              <w:t>0.53%</w:t>
            </w:r>
          </w:p>
        </w:tc>
      </w:tr>
      <w:tr>
        <w:tc>
          <w:tcPr>
            <w:vAlign w:val="center"/>
          </w:tcPr>
          <w:p>
            <w:pPr>
              <w:jc w:val="left"/>
            </w:pPr>
            <w:r>
              <w:rPr>
                <w:color w:val="000000"/>
                <w:sz w:val="24"/>
                <w:szCs w:val="24"/>
              </w:rPr>
              <w:t>过去五年</w:t>
            </w:r>
          </w:p>
        </w:tc>
        <w:tc>
          <w:tcPr>
            <w:vAlign w:val="center"/>
          </w:tcPr>
          <w:p>
            <w:pPr>
              <w:jc w:val="center"/>
            </w:pPr>
            <w:r>
              <w:rPr>
                <w:color w:val="000000"/>
                <w:sz w:val="24"/>
                <w:szCs w:val="24"/>
              </w:rPr>
              <w:t>70.79%</w:t>
            </w:r>
          </w:p>
        </w:tc>
        <w:tc>
          <w:tcPr>
            <w:vAlign w:val="center"/>
          </w:tcPr>
          <w:p>
            <w:pPr>
              <w:jc w:val="center"/>
            </w:pPr>
            <w:r>
              <w:rPr>
                <w:color w:val="000000"/>
                <w:sz w:val="24"/>
                <w:szCs w:val="24"/>
              </w:rPr>
              <w:t>1.46%</w:t>
            </w:r>
          </w:p>
        </w:tc>
        <w:tc>
          <w:tcPr>
            <w:vAlign w:val="center"/>
          </w:tcPr>
          <w:p>
            <w:pPr>
              <w:jc w:val="center"/>
            </w:pPr>
            <w:r>
              <w:rPr>
                <w:color w:val="000000"/>
                <w:sz w:val="24"/>
                <w:szCs w:val="24"/>
              </w:rPr>
              <w:t>7.63%</w:t>
            </w:r>
          </w:p>
        </w:tc>
        <w:tc>
          <w:tcPr>
            <w:vAlign w:val="center"/>
          </w:tcPr>
          <w:p>
            <w:pPr>
              <w:jc w:val="center"/>
            </w:pPr>
            <w:r>
              <w:rPr>
                <w:color w:val="000000"/>
                <w:sz w:val="24"/>
                <w:szCs w:val="24"/>
              </w:rPr>
              <w:t>0.87%</w:t>
            </w:r>
          </w:p>
        </w:tc>
        <w:tc>
          <w:tcPr>
            <w:vAlign w:val="center"/>
          </w:tcPr>
          <w:p>
            <w:pPr>
              <w:jc w:val="center"/>
            </w:pPr>
            <w:r>
              <w:rPr>
                <w:color w:val="000000"/>
                <w:sz w:val="24"/>
                <w:szCs w:val="24"/>
              </w:rPr>
              <w:t>63.16%</w:t>
            </w:r>
          </w:p>
        </w:tc>
        <w:tc>
          <w:tcPr>
            <w:vAlign w:val="center"/>
          </w:tcPr>
          <w:p>
            <w:pPr>
              <w:jc w:val="center"/>
            </w:pPr>
            <w:r>
              <w:rPr>
                <w:color w:val="000000"/>
                <w:sz w:val="24"/>
                <w:szCs w:val="24"/>
              </w:rPr>
              <w:t>0.59%</w:t>
            </w:r>
          </w:p>
        </w:tc>
      </w:tr>
      <w:tr>
        <w:tc>
          <w:tcPr>
            <w:vAlign w:val="center"/>
          </w:tcPr>
          <w:p>
            <w:pPr>
              <w:jc w:val="left"/>
            </w:pPr>
            <w:r>
              <w:rPr>
                <w:color w:val="000000"/>
                <w:sz w:val="24"/>
                <w:szCs w:val="24"/>
              </w:rPr>
              <w:t>自基金合同生效起至今</w:t>
            </w:r>
          </w:p>
        </w:tc>
        <w:tc>
          <w:tcPr>
            <w:vAlign w:val="center"/>
          </w:tcPr>
          <w:p>
            <w:pPr>
              <w:jc w:val="center"/>
            </w:pPr>
            <w:r>
              <w:rPr>
                <w:color w:val="000000"/>
                <w:sz w:val="24"/>
                <w:szCs w:val="24"/>
              </w:rPr>
              <w:t>68.44%</w:t>
            </w:r>
          </w:p>
        </w:tc>
        <w:tc>
          <w:tcPr>
            <w:vAlign w:val="center"/>
          </w:tcPr>
          <w:p>
            <w:pPr>
              <w:jc w:val="center"/>
            </w:pPr>
            <w:r>
              <w:rPr>
                <w:color w:val="000000"/>
                <w:sz w:val="24"/>
                <w:szCs w:val="24"/>
              </w:rPr>
              <w:t>1.46%</w:t>
            </w:r>
          </w:p>
        </w:tc>
        <w:tc>
          <w:tcPr>
            <w:vAlign w:val="center"/>
          </w:tcPr>
          <w:p>
            <w:pPr>
              <w:jc w:val="center"/>
            </w:pPr>
            <w:r>
              <w:rPr>
                <w:color w:val="000000"/>
                <w:sz w:val="24"/>
                <w:szCs w:val="24"/>
              </w:rPr>
              <w:t>9.75%</w:t>
            </w:r>
          </w:p>
        </w:tc>
        <w:tc>
          <w:tcPr>
            <w:vAlign w:val="center"/>
          </w:tcPr>
          <w:p>
            <w:pPr>
              <w:jc w:val="center"/>
            </w:pPr>
            <w:r>
              <w:rPr>
                <w:color w:val="000000"/>
                <w:sz w:val="24"/>
                <w:szCs w:val="24"/>
              </w:rPr>
              <w:t>0.88%</w:t>
            </w:r>
          </w:p>
        </w:tc>
        <w:tc>
          <w:tcPr>
            <w:vAlign w:val="center"/>
          </w:tcPr>
          <w:p>
            <w:pPr>
              <w:jc w:val="center"/>
            </w:pPr>
            <w:r>
              <w:rPr>
                <w:color w:val="000000"/>
                <w:sz w:val="24"/>
                <w:szCs w:val="24"/>
              </w:rPr>
              <w:t>58.69%</w:t>
            </w:r>
          </w:p>
        </w:tc>
        <w:tc>
          <w:tcPr>
            <w:vAlign w:val="center"/>
          </w:tcPr>
          <w:p>
            <w:pPr>
              <w:jc w:val="center"/>
            </w:pPr>
            <w:r>
              <w:rPr>
                <w:color w:val="000000"/>
                <w:sz w:val="24"/>
                <w:szCs w:val="24"/>
              </w:rPr>
              <w:t>0.58%</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60%×沪深300指数收益率+40%×中信标普全债指数收益率”变更为“60%×沪深300指数收益率+40%×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交银施罗德策略回报灵活配置混合型证券投资基金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2015年6月27日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2020年6月30日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由交银施罗德荣安保本混合型证券投资基金转型而来。基金转型日为2015年6月27日。本基金的投资转型期为交银施罗德荣安保本混合型证券投资基金保本周期到期选择期截止日次日（即2015年6月27日）起的3个月。截至投资转型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韩威俊</w:t>
            </w:r>
          </w:p>
        </w:tc>
        <w:tc>
          <w:tcPr>
            <w:vAlign w:val="center"/>
          </w:tcPr>
          <w:p>
            <w:pPr>
              <w:jc w:val="center"/>
            </w:pPr>
            <w:r>
              <w:rPr>
                <w:color w:val="000000"/>
                <w:sz w:val="24"/>
                <w:szCs w:val="24"/>
              </w:rPr>
              <w:t>交银策略回报灵活配置混合、交银消费新驱动股票、交银股息优化混合、交银品质升级混合的基金经理</w:t>
            </w:r>
          </w:p>
        </w:tc>
        <w:tc>
          <w:tcPr>
            <w:vAlign w:val="center"/>
          </w:tcPr>
          <w:p>
            <w:pPr>
              <w:jc w:val="center"/>
            </w:pPr>
            <w:r>
              <w:rPr>
                <w:color w:val="000000"/>
                <w:sz w:val="24"/>
                <w:szCs w:val="24"/>
              </w:rPr>
              <w:t>2016-01-20</w:t>
            </w:r>
          </w:p>
        </w:tc>
        <w:tc>
          <w:tcPr>
            <w:vAlign w:val="center"/>
          </w:tcPr>
          <w:p>
            <w:pPr>
              <w:jc w:val="center"/>
            </w:pPr>
            <w:r>
              <w:rPr>
                <w:color w:val="000000"/>
                <w:sz w:val="24"/>
                <w:szCs w:val="24"/>
              </w:rPr>
              <w:t>-</w:t>
            </w:r>
          </w:p>
        </w:tc>
        <w:tc>
          <w:tcPr>
            <w:vAlign w:val="center"/>
          </w:tcPr>
          <w:p>
            <w:pPr>
              <w:jc w:val="center"/>
            </w:pPr>
            <w:r>
              <w:rPr>
                <w:color w:val="000000"/>
                <w:sz w:val="24"/>
                <w:szCs w:val="24"/>
              </w:rPr>
              <w:t>14年</w:t>
            </w:r>
          </w:p>
        </w:tc>
        <w:tc>
          <w:tcPr>
            <w:vAlign w:val="center"/>
          </w:tcPr>
          <w:p>
            <w:pPr>
              <w:jc w:val="both"/>
            </w:pPr>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2013年加入交银施罗德基金管理有限公司，历任行业分析师。2017年6月3日至2020年5月26日担任交银施罗德趋势优先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回顾2020年二季度，新冠疫情对国内影响开始弱化，经济出现比较明显的弱复苏。海外市场流动性泛滥，导致全球资本市场溢价率快速提升。A股市场在5-6月份出现了比较明显的持续上涨，各行业龙头公司在风险偏好提升和流动性推动下，出现了比较明显的估值溢价。从目前情况来看，海外疫情出现反复，中国经济逐步恢复以后，中国资产（包括货币、债券、股票）在全球市场的吸引力大幅提升，海外资金或将继续快速流入中国，带动国内利率水平进一步回落以及债券价格和股票价格上升。</w:t>
      </w:r>
    </w:p>
    <w:p>
      <w:pPr>
        <w:spacing w:before="29" w:line="288" w:lineRule="auto"/>
        <w:ind w:firstLine="480" w:firstLineChars="200"/>
        <w:rPr>
          <w:color w:val="000000"/>
          <w:sz w:val="24"/>
          <w:szCs w:val="24"/>
        </w:rPr>
      </w:pPr>
      <w:r>
        <w:rPr>
          <w:color w:val="000000"/>
          <w:sz w:val="24"/>
          <w:szCs w:val="24"/>
        </w:rPr>
        <w:t>本基金在2020年二季度主要以消费白马龙头作为底仓的配置思路，持仓上适当做了一些微调，集中到中报较好而且后续增速较快的公司上，整体集中度略微下降。二季度整个消费医药明显跑赢市场，后续随着中秋国庆来临，国内消费行业有望全面复苏，全年绝对收益或将仍然值得期待。</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三季度：（1）结合疫情后消费复苏的节奏，适当做一些重仓股的结构调整。在追求全年绝对收益的前提下，逐步布局市值相对低估，长期空间巨大的消费服务类龙头公司；（2）海外疫情持续，与海外需求高度相关的制造业等龙头企业，可能在三季度存在一定机会，特别是目前渗透率较低的新能源汽车和光伏等产业。</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321,986,353.51</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62.02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321,986,353.51</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62.02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3,830,703.80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0.74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3,830,703.80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0.74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123,899,708.72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23.86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69,483,672.21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13.38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519,200,438.24</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274,430,094.73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67.94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12,766.32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944,461.76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0.23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11,216,646.52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2.78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12,057,612.00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5,178,895.68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18,145,876.50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4.49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321,986,353.51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79.72</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24,993</w:t>
            </w:r>
          </w:p>
        </w:tc>
        <w:tc>
          <w:tcPr>
            <w:vAlign w:val="center"/>
          </w:tcPr>
          <w:p>
            <w:pPr>
              <w:jc w:val="right"/>
            </w:pPr>
            <w:r>
              <w:rPr>
                <w:color w:val="000000"/>
                <w:sz w:val="24"/>
                <w:szCs w:val="24"/>
              </w:rPr>
              <w:t>36,561,759.84</w:t>
            </w:r>
          </w:p>
        </w:tc>
        <w:tc>
          <w:tcPr>
            <w:vAlign w:val="center"/>
          </w:tcPr>
          <w:p>
            <w:pPr>
              <w:jc w:val="right"/>
            </w:pPr>
            <w:r>
              <w:rPr>
                <w:color w:val="000000"/>
                <w:sz w:val="24"/>
                <w:szCs w:val="24"/>
              </w:rPr>
              <w:t>9.05</w:t>
            </w:r>
          </w:p>
        </w:tc>
      </w:tr>
      <w:tr>
        <w:tc>
          <w:tcPr>
            <w:vAlign w:val="center"/>
          </w:tcPr>
          <w:p>
            <w:pPr>
              <w:jc w:val="center"/>
            </w:pPr>
            <w:r>
              <w:rPr>
                <w:color w:val="000000"/>
                <w:sz w:val="24"/>
                <w:szCs w:val="24"/>
              </w:rPr>
              <w:t>2</w:t>
            </w:r>
          </w:p>
        </w:tc>
        <w:tc>
          <w:tcPr>
            <w:vAlign w:val="center"/>
          </w:tcPr>
          <w:p>
            <w:pPr>
              <w:jc w:val="center"/>
            </w:pPr>
            <w:r>
              <w:rPr>
                <w:color w:val="000000"/>
                <w:sz w:val="24"/>
                <w:szCs w:val="24"/>
              </w:rPr>
              <w:t>000858</w:t>
            </w:r>
          </w:p>
        </w:tc>
        <w:tc>
          <w:tcPr>
            <w:vAlign w:val="center"/>
          </w:tcPr>
          <w:p>
            <w:pPr>
              <w:jc w:val="center"/>
            </w:pPr>
            <w:r>
              <w:rPr>
                <w:color w:val="000000"/>
                <w:sz w:val="24"/>
                <w:szCs w:val="24"/>
              </w:rPr>
              <w:t>五粮液</w:t>
            </w:r>
          </w:p>
        </w:tc>
        <w:tc>
          <w:tcPr>
            <w:vAlign w:val="center"/>
          </w:tcPr>
          <w:p>
            <w:pPr>
              <w:jc w:val="right"/>
            </w:pPr>
            <w:r>
              <w:rPr>
                <w:color w:val="000000"/>
                <w:sz w:val="24"/>
                <w:szCs w:val="24"/>
              </w:rPr>
              <w:t>212,575</w:t>
            </w:r>
          </w:p>
        </w:tc>
        <w:tc>
          <w:tcPr>
            <w:vAlign w:val="center"/>
          </w:tcPr>
          <w:p>
            <w:pPr>
              <w:jc w:val="right"/>
            </w:pPr>
            <w:r>
              <w:rPr>
                <w:color w:val="000000"/>
                <w:sz w:val="24"/>
                <w:szCs w:val="24"/>
              </w:rPr>
              <w:t>36,375,834.00</w:t>
            </w:r>
          </w:p>
        </w:tc>
        <w:tc>
          <w:tcPr>
            <w:vAlign w:val="center"/>
          </w:tcPr>
          <w:p>
            <w:pPr>
              <w:jc w:val="right"/>
            </w:pPr>
            <w:r>
              <w:rPr>
                <w:color w:val="000000"/>
                <w:sz w:val="24"/>
                <w:szCs w:val="24"/>
              </w:rPr>
              <w:t>9.01</w:t>
            </w:r>
          </w:p>
        </w:tc>
      </w:tr>
      <w:tr>
        <w:tc>
          <w:tcPr>
            <w:vAlign w:val="center"/>
          </w:tcPr>
          <w:p>
            <w:pPr>
              <w:jc w:val="center"/>
            </w:pPr>
            <w:r>
              <w:rPr>
                <w:color w:val="000000"/>
                <w:sz w:val="24"/>
                <w:szCs w:val="24"/>
              </w:rPr>
              <w:t>3</w:t>
            </w:r>
          </w:p>
        </w:tc>
        <w:tc>
          <w:tcPr>
            <w:vAlign w:val="center"/>
          </w:tcPr>
          <w:p>
            <w:pPr>
              <w:jc w:val="center"/>
            </w:pPr>
            <w:r>
              <w:rPr>
                <w:color w:val="000000"/>
                <w:sz w:val="24"/>
                <w:szCs w:val="24"/>
              </w:rPr>
              <w:t>300146</w:t>
            </w:r>
          </w:p>
        </w:tc>
        <w:tc>
          <w:tcPr>
            <w:vAlign w:val="center"/>
          </w:tcPr>
          <w:p>
            <w:pPr>
              <w:jc w:val="center"/>
            </w:pPr>
            <w:r>
              <w:rPr>
                <w:color w:val="000000"/>
                <w:sz w:val="24"/>
                <w:szCs w:val="24"/>
              </w:rPr>
              <w:t>汤臣倍健</w:t>
            </w:r>
          </w:p>
        </w:tc>
        <w:tc>
          <w:tcPr>
            <w:vAlign w:val="center"/>
          </w:tcPr>
          <w:p>
            <w:pPr>
              <w:jc w:val="right"/>
            </w:pPr>
            <w:r>
              <w:rPr>
                <w:color w:val="000000"/>
                <w:sz w:val="24"/>
                <w:szCs w:val="24"/>
              </w:rPr>
              <w:t>1,821,709</w:t>
            </w:r>
          </w:p>
        </w:tc>
        <w:tc>
          <w:tcPr>
            <w:vAlign w:val="center"/>
          </w:tcPr>
          <w:p>
            <w:pPr>
              <w:jc w:val="right"/>
            </w:pPr>
            <w:r>
              <w:rPr>
                <w:color w:val="000000"/>
                <w:sz w:val="24"/>
                <w:szCs w:val="24"/>
              </w:rPr>
              <w:t>35,869,450.21</w:t>
            </w:r>
          </w:p>
        </w:tc>
        <w:tc>
          <w:tcPr>
            <w:vAlign w:val="center"/>
          </w:tcPr>
          <w:p>
            <w:pPr>
              <w:jc w:val="right"/>
            </w:pPr>
            <w:r>
              <w:rPr>
                <w:color w:val="000000"/>
                <w:sz w:val="24"/>
                <w:szCs w:val="24"/>
              </w:rPr>
              <w:t>8.88</w:t>
            </w:r>
          </w:p>
        </w:tc>
      </w:tr>
      <w:tr>
        <w:tc>
          <w:tcPr>
            <w:vAlign w:val="center"/>
          </w:tcPr>
          <w:p>
            <w:pPr>
              <w:jc w:val="center"/>
            </w:pPr>
            <w:r>
              <w:rPr>
                <w:color w:val="000000"/>
                <w:sz w:val="24"/>
                <w:szCs w:val="24"/>
              </w:rPr>
              <w:t>4</w:t>
            </w:r>
          </w:p>
        </w:tc>
        <w:tc>
          <w:tcPr>
            <w:vAlign w:val="center"/>
          </w:tcPr>
          <w:p>
            <w:pPr>
              <w:jc w:val="center"/>
            </w:pPr>
            <w:r>
              <w:rPr>
                <w:color w:val="000000"/>
                <w:sz w:val="24"/>
                <w:szCs w:val="24"/>
              </w:rPr>
              <w:t>002304</w:t>
            </w:r>
          </w:p>
        </w:tc>
        <w:tc>
          <w:tcPr>
            <w:vAlign w:val="center"/>
          </w:tcPr>
          <w:p>
            <w:pPr>
              <w:jc w:val="center"/>
            </w:pPr>
            <w:r>
              <w:rPr>
                <w:color w:val="000000"/>
                <w:sz w:val="24"/>
                <w:szCs w:val="24"/>
              </w:rPr>
              <w:t>洋河股份</w:t>
            </w:r>
          </w:p>
        </w:tc>
        <w:tc>
          <w:tcPr>
            <w:vAlign w:val="center"/>
          </w:tcPr>
          <w:p>
            <w:pPr>
              <w:jc w:val="right"/>
            </w:pPr>
            <w:r>
              <w:rPr>
                <w:color w:val="000000"/>
                <w:sz w:val="24"/>
                <w:szCs w:val="24"/>
              </w:rPr>
              <w:t>239,047</w:t>
            </w:r>
          </w:p>
        </w:tc>
        <w:tc>
          <w:tcPr>
            <w:vAlign w:val="center"/>
          </w:tcPr>
          <w:p>
            <w:pPr>
              <w:jc w:val="right"/>
            </w:pPr>
            <w:r>
              <w:rPr>
                <w:color w:val="000000"/>
                <w:sz w:val="24"/>
                <w:szCs w:val="24"/>
              </w:rPr>
              <w:t>25,133,401.58</w:t>
            </w:r>
          </w:p>
        </w:tc>
        <w:tc>
          <w:tcPr>
            <w:vAlign w:val="center"/>
          </w:tcPr>
          <w:p>
            <w:pPr>
              <w:jc w:val="right"/>
            </w:pPr>
            <w:r>
              <w:rPr>
                <w:color w:val="000000"/>
                <w:sz w:val="24"/>
                <w:szCs w:val="24"/>
              </w:rPr>
              <w:t>6.22</w:t>
            </w:r>
          </w:p>
        </w:tc>
      </w:tr>
      <w:tr>
        <w:tc>
          <w:tcPr>
            <w:vAlign w:val="center"/>
          </w:tcPr>
          <w:p>
            <w:pPr>
              <w:jc w:val="center"/>
            </w:pPr>
            <w:r>
              <w:rPr>
                <w:color w:val="000000"/>
                <w:sz w:val="24"/>
                <w:szCs w:val="24"/>
              </w:rPr>
              <w:t>5</w:t>
            </w:r>
          </w:p>
        </w:tc>
        <w:tc>
          <w:tcPr>
            <w:vAlign w:val="center"/>
          </w:tcPr>
          <w:p>
            <w:pPr>
              <w:jc w:val="center"/>
            </w:pPr>
            <w:r>
              <w:rPr>
                <w:color w:val="000000"/>
                <w:sz w:val="24"/>
                <w:szCs w:val="24"/>
              </w:rPr>
              <w:t>600276</w:t>
            </w:r>
          </w:p>
        </w:tc>
        <w:tc>
          <w:tcPr>
            <w:vAlign w:val="center"/>
          </w:tcPr>
          <w:p>
            <w:pPr>
              <w:jc w:val="center"/>
            </w:pPr>
            <w:r>
              <w:rPr>
                <w:color w:val="000000"/>
                <w:sz w:val="24"/>
                <w:szCs w:val="24"/>
              </w:rPr>
              <w:t>恒瑞医药</w:t>
            </w:r>
          </w:p>
        </w:tc>
        <w:tc>
          <w:tcPr>
            <w:vAlign w:val="center"/>
          </w:tcPr>
          <w:p>
            <w:pPr>
              <w:jc w:val="right"/>
            </w:pPr>
            <w:r>
              <w:rPr>
                <w:color w:val="000000"/>
                <w:sz w:val="24"/>
                <w:szCs w:val="24"/>
              </w:rPr>
              <w:t>217,603</w:t>
            </w:r>
          </w:p>
        </w:tc>
        <w:tc>
          <w:tcPr>
            <w:vAlign w:val="center"/>
          </w:tcPr>
          <w:p>
            <w:pPr>
              <w:jc w:val="right"/>
            </w:pPr>
            <w:r>
              <w:rPr>
                <w:color w:val="000000"/>
                <w:sz w:val="24"/>
                <w:szCs w:val="24"/>
              </w:rPr>
              <w:t>20,084,756.90</w:t>
            </w:r>
          </w:p>
        </w:tc>
        <w:tc>
          <w:tcPr>
            <w:vAlign w:val="center"/>
          </w:tcPr>
          <w:p>
            <w:pPr>
              <w:jc w:val="right"/>
            </w:pPr>
            <w:r>
              <w:rPr>
                <w:color w:val="000000"/>
                <w:sz w:val="24"/>
                <w:szCs w:val="24"/>
              </w:rPr>
              <w:t>4.97</w:t>
            </w:r>
          </w:p>
        </w:tc>
      </w:tr>
      <w:tr>
        <w:tc>
          <w:tcPr>
            <w:vAlign w:val="center"/>
          </w:tcPr>
          <w:p>
            <w:pPr>
              <w:jc w:val="center"/>
            </w:pPr>
            <w:r>
              <w:rPr>
                <w:color w:val="000000"/>
                <w:sz w:val="24"/>
                <w:szCs w:val="24"/>
              </w:rPr>
              <w:t>6</w:t>
            </w:r>
          </w:p>
        </w:tc>
        <w:tc>
          <w:tcPr>
            <w:vAlign w:val="center"/>
          </w:tcPr>
          <w:p>
            <w:pPr>
              <w:jc w:val="center"/>
            </w:pPr>
            <w:r>
              <w:rPr>
                <w:color w:val="000000"/>
                <w:sz w:val="24"/>
                <w:szCs w:val="24"/>
              </w:rPr>
              <w:t>000799</w:t>
            </w:r>
          </w:p>
        </w:tc>
        <w:tc>
          <w:tcPr>
            <w:vAlign w:val="center"/>
          </w:tcPr>
          <w:p>
            <w:pPr>
              <w:jc w:val="center"/>
            </w:pPr>
            <w:r>
              <w:rPr>
                <w:color w:val="000000"/>
                <w:sz w:val="24"/>
                <w:szCs w:val="24"/>
              </w:rPr>
              <w:t>酒鬼酒</w:t>
            </w:r>
          </w:p>
        </w:tc>
        <w:tc>
          <w:tcPr>
            <w:vAlign w:val="center"/>
          </w:tcPr>
          <w:p>
            <w:pPr>
              <w:jc w:val="right"/>
            </w:pPr>
            <w:r>
              <w:rPr>
                <w:color w:val="000000"/>
                <w:sz w:val="24"/>
                <w:szCs w:val="24"/>
              </w:rPr>
              <w:t>233,817</w:t>
            </w:r>
          </w:p>
        </w:tc>
        <w:tc>
          <w:tcPr>
            <w:vAlign w:val="center"/>
          </w:tcPr>
          <w:p>
            <w:pPr>
              <w:jc w:val="right"/>
            </w:pPr>
            <w:r>
              <w:rPr>
                <w:color w:val="000000"/>
                <w:sz w:val="24"/>
                <w:szCs w:val="24"/>
              </w:rPr>
              <w:t>17,889,338.67</w:t>
            </w:r>
          </w:p>
        </w:tc>
        <w:tc>
          <w:tcPr>
            <w:vAlign w:val="center"/>
          </w:tcPr>
          <w:p>
            <w:pPr>
              <w:jc w:val="right"/>
            </w:pPr>
            <w:r>
              <w:rPr>
                <w:color w:val="000000"/>
                <w:sz w:val="24"/>
                <w:szCs w:val="24"/>
              </w:rPr>
              <w:t>4.43</w:t>
            </w:r>
          </w:p>
        </w:tc>
      </w:tr>
      <w:tr>
        <w:tc>
          <w:tcPr>
            <w:vAlign w:val="center"/>
          </w:tcPr>
          <w:p>
            <w:pPr>
              <w:jc w:val="center"/>
            </w:pPr>
            <w:r>
              <w:rPr>
                <w:color w:val="000000"/>
                <w:sz w:val="24"/>
                <w:szCs w:val="24"/>
              </w:rPr>
              <w:t>7</w:t>
            </w:r>
          </w:p>
        </w:tc>
        <w:tc>
          <w:tcPr>
            <w:vAlign w:val="center"/>
          </w:tcPr>
          <w:p>
            <w:pPr>
              <w:jc w:val="center"/>
            </w:pPr>
            <w:r>
              <w:rPr>
                <w:color w:val="000000"/>
                <w:sz w:val="24"/>
                <w:szCs w:val="24"/>
              </w:rPr>
              <w:t>600600</w:t>
            </w:r>
          </w:p>
        </w:tc>
        <w:tc>
          <w:tcPr>
            <w:vAlign w:val="center"/>
          </w:tcPr>
          <w:p>
            <w:pPr>
              <w:jc w:val="center"/>
            </w:pPr>
            <w:r>
              <w:rPr>
                <w:color w:val="000000"/>
                <w:sz w:val="24"/>
                <w:szCs w:val="24"/>
              </w:rPr>
              <w:t>青岛啤酒</w:t>
            </w:r>
          </w:p>
        </w:tc>
        <w:tc>
          <w:tcPr>
            <w:vAlign w:val="center"/>
          </w:tcPr>
          <w:p>
            <w:pPr>
              <w:jc w:val="right"/>
            </w:pPr>
            <w:r>
              <w:rPr>
                <w:color w:val="000000"/>
                <w:sz w:val="24"/>
                <w:szCs w:val="24"/>
              </w:rPr>
              <w:t>229,800</w:t>
            </w:r>
          </w:p>
        </w:tc>
        <w:tc>
          <w:tcPr>
            <w:vAlign w:val="center"/>
          </w:tcPr>
          <w:p>
            <w:pPr>
              <w:jc w:val="right"/>
            </w:pPr>
            <w:r>
              <w:rPr>
                <w:color w:val="000000"/>
                <w:sz w:val="24"/>
                <w:szCs w:val="24"/>
              </w:rPr>
              <w:t>17,579,700.00</w:t>
            </w:r>
          </w:p>
        </w:tc>
        <w:tc>
          <w:tcPr>
            <w:vAlign w:val="center"/>
          </w:tcPr>
          <w:p>
            <w:pPr>
              <w:jc w:val="right"/>
            </w:pPr>
            <w:r>
              <w:rPr>
                <w:color w:val="000000"/>
                <w:sz w:val="24"/>
                <w:szCs w:val="24"/>
              </w:rPr>
              <w:t>4.35</w:t>
            </w:r>
          </w:p>
        </w:tc>
      </w:tr>
      <w:tr>
        <w:tc>
          <w:tcPr>
            <w:vAlign w:val="center"/>
          </w:tcPr>
          <w:p>
            <w:pPr>
              <w:jc w:val="center"/>
            </w:pPr>
            <w:r>
              <w:rPr>
                <w:color w:val="000000"/>
                <w:sz w:val="24"/>
                <w:szCs w:val="24"/>
              </w:rPr>
              <w:t>8</w:t>
            </w:r>
          </w:p>
        </w:tc>
        <w:tc>
          <w:tcPr>
            <w:vAlign w:val="center"/>
          </w:tcPr>
          <w:p>
            <w:pPr>
              <w:jc w:val="center"/>
            </w:pPr>
            <w:r>
              <w:rPr>
                <w:color w:val="000000"/>
                <w:sz w:val="24"/>
                <w:szCs w:val="24"/>
              </w:rPr>
              <w:t>603882</w:t>
            </w:r>
          </w:p>
        </w:tc>
        <w:tc>
          <w:tcPr>
            <w:vAlign w:val="center"/>
          </w:tcPr>
          <w:p>
            <w:pPr>
              <w:jc w:val="center"/>
            </w:pPr>
            <w:r>
              <w:rPr>
                <w:color w:val="000000"/>
                <w:sz w:val="24"/>
                <w:szCs w:val="24"/>
              </w:rPr>
              <w:t>金域医学</w:t>
            </w:r>
          </w:p>
        </w:tc>
        <w:tc>
          <w:tcPr>
            <w:vAlign w:val="center"/>
          </w:tcPr>
          <w:p>
            <w:pPr>
              <w:jc w:val="right"/>
            </w:pPr>
            <w:r>
              <w:rPr>
                <w:color w:val="000000"/>
                <w:sz w:val="24"/>
                <w:szCs w:val="24"/>
              </w:rPr>
              <w:t>158,302</w:t>
            </w:r>
          </w:p>
        </w:tc>
        <w:tc>
          <w:tcPr>
            <w:vAlign w:val="center"/>
          </w:tcPr>
          <w:p>
            <w:pPr>
              <w:jc w:val="right"/>
            </w:pPr>
            <w:r>
              <w:rPr>
                <w:color w:val="000000"/>
                <w:sz w:val="24"/>
                <w:szCs w:val="24"/>
              </w:rPr>
              <w:t>14,168,029.00</w:t>
            </w:r>
          </w:p>
        </w:tc>
        <w:tc>
          <w:tcPr>
            <w:vAlign w:val="center"/>
          </w:tcPr>
          <w:p>
            <w:pPr>
              <w:jc w:val="right"/>
            </w:pPr>
            <w:r>
              <w:rPr>
                <w:color w:val="000000"/>
                <w:sz w:val="24"/>
                <w:szCs w:val="24"/>
              </w:rPr>
              <w:t>3.51</w:t>
            </w:r>
          </w:p>
        </w:tc>
      </w:tr>
      <w:tr>
        <w:tc>
          <w:tcPr>
            <w:vAlign w:val="center"/>
          </w:tcPr>
          <w:p>
            <w:pPr>
              <w:jc w:val="center"/>
            </w:pPr>
            <w:r>
              <w:rPr>
                <w:color w:val="000000"/>
                <w:sz w:val="24"/>
                <w:szCs w:val="24"/>
              </w:rPr>
              <w:t>9</w:t>
            </w:r>
          </w:p>
        </w:tc>
        <w:tc>
          <w:tcPr>
            <w:vAlign w:val="center"/>
          </w:tcPr>
          <w:p>
            <w:pPr>
              <w:jc w:val="center"/>
            </w:pPr>
            <w:r>
              <w:rPr>
                <w:color w:val="000000"/>
                <w:sz w:val="24"/>
                <w:szCs w:val="24"/>
              </w:rPr>
              <w:t>000651</w:t>
            </w:r>
          </w:p>
        </w:tc>
        <w:tc>
          <w:tcPr>
            <w:vAlign w:val="center"/>
          </w:tcPr>
          <w:p>
            <w:pPr>
              <w:jc w:val="center"/>
            </w:pPr>
            <w:r>
              <w:rPr>
                <w:color w:val="000000"/>
                <w:sz w:val="24"/>
                <w:szCs w:val="24"/>
              </w:rPr>
              <w:t>格力电器</w:t>
            </w:r>
          </w:p>
        </w:tc>
        <w:tc>
          <w:tcPr>
            <w:vAlign w:val="center"/>
          </w:tcPr>
          <w:p>
            <w:pPr>
              <w:jc w:val="right"/>
            </w:pPr>
            <w:r>
              <w:rPr>
                <w:color w:val="000000"/>
                <w:sz w:val="24"/>
                <w:szCs w:val="24"/>
              </w:rPr>
              <w:t>249,927</w:t>
            </w:r>
          </w:p>
        </w:tc>
        <w:tc>
          <w:tcPr>
            <w:vAlign w:val="center"/>
          </w:tcPr>
          <w:p>
            <w:pPr>
              <w:jc w:val="right"/>
            </w:pPr>
            <w:r>
              <w:rPr>
                <w:color w:val="000000"/>
                <w:sz w:val="24"/>
                <w:szCs w:val="24"/>
              </w:rPr>
              <w:t>14,138,370.39</w:t>
            </w:r>
          </w:p>
        </w:tc>
        <w:tc>
          <w:tcPr>
            <w:vAlign w:val="center"/>
          </w:tcPr>
          <w:p>
            <w:pPr>
              <w:jc w:val="right"/>
            </w:pPr>
            <w:r>
              <w:rPr>
                <w:color w:val="000000"/>
                <w:sz w:val="24"/>
                <w:szCs w:val="24"/>
              </w:rPr>
              <w:t>3.50</w:t>
            </w:r>
          </w:p>
        </w:tc>
      </w:tr>
      <w:tr>
        <w:tc>
          <w:tcPr>
            <w:vAlign w:val="center"/>
          </w:tcPr>
          <w:p>
            <w:pPr>
              <w:jc w:val="center"/>
            </w:pPr>
            <w:r>
              <w:rPr>
                <w:color w:val="000000"/>
                <w:sz w:val="24"/>
                <w:szCs w:val="24"/>
              </w:rPr>
              <w:t>10</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215,300</w:t>
            </w:r>
          </w:p>
        </w:tc>
        <w:tc>
          <w:tcPr>
            <w:vAlign w:val="center"/>
          </w:tcPr>
          <w:p>
            <w:pPr>
              <w:jc w:val="right"/>
            </w:pPr>
            <w:r>
              <w:rPr>
                <w:color w:val="000000"/>
                <w:sz w:val="24"/>
                <w:szCs w:val="24"/>
              </w:rPr>
              <w:t>12,487,400.00</w:t>
            </w:r>
          </w:p>
        </w:tc>
        <w:tc>
          <w:tcPr>
            <w:vAlign w:val="center"/>
          </w:tcPr>
          <w:p>
            <w:pPr>
              <w:jc w:val="right"/>
            </w:pPr>
            <w:r>
              <w:rPr>
                <w:color w:val="000000"/>
                <w:sz w:val="24"/>
                <w:szCs w:val="24"/>
              </w:rPr>
              <w:t>3.09</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3,830,703.80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0.95</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3,830,703.80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0.95</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110055</w:t>
            </w:r>
          </w:p>
        </w:tc>
        <w:tc>
          <w:tcPr>
            <w:vAlign w:val="center"/>
          </w:tcPr>
          <w:p>
            <w:pPr>
              <w:jc w:val="center"/>
            </w:pPr>
            <w:r>
              <w:rPr>
                <w:color w:val="000000"/>
                <w:sz w:val="24"/>
                <w:szCs w:val="24"/>
              </w:rPr>
              <w:t>伊力转债</w:t>
            </w:r>
          </w:p>
        </w:tc>
        <w:tc>
          <w:tcPr>
            <w:vAlign w:val="center"/>
          </w:tcPr>
          <w:p>
            <w:pPr>
              <w:jc w:val="right"/>
            </w:pPr>
            <w:r>
              <w:rPr>
                <w:color w:val="000000"/>
                <w:sz w:val="24"/>
                <w:szCs w:val="24"/>
              </w:rPr>
              <w:t>31,570</w:t>
            </w:r>
          </w:p>
        </w:tc>
        <w:tc>
          <w:tcPr>
            <w:vAlign w:val="center"/>
          </w:tcPr>
          <w:p>
            <w:pPr>
              <w:jc w:val="right"/>
            </w:pPr>
            <w:r>
              <w:rPr>
                <w:color w:val="000000"/>
                <w:sz w:val="24"/>
                <w:szCs w:val="24"/>
              </w:rPr>
              <w:t>3,830,703.80</w:t>
            </w:r>
          </w:p>
        </w:tc>
        <w:tc>
          <w:tcPr>
            <w:vAlign w:val="center"/>
          </w:tcPr>
          <w:p>
            <w:pPr>
              <w:jc w:val="right"/>
            </w:pPr>
            <w:r>
              <w:rPr>
                <w:color w:val="000000"/>
                <w:sz w:val="24"/>
                <w:szCs w:val="24"/>
              </w:rPr>
              <w:t>0.95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296,465.57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67,772,744.39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26,606.43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1,387,855.82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69,483,672.21</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173B44" w:rsidR="00173B44" w:rsidRDefault="00173B44"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110055</w:t>
            </w:r>
          </w:p>
        </w:tc>
        <w:tc>
          <w:tcPr>
            <w:vAlign w:val="center"/>
          </w:tcPr>
          <w:p>
            <w:pPr>
              <w:jc w:val="center"/>
            </w:pPr>
            <w:r>
              <w:rPr>
                <w:color w:val="000000"/>
                <w:sz w:val="24"/>
                <w:szCs w:val="24"/>
              </w:rPr>
              <w:t>伊力转债</w:t>
            </w:r>
          </w:p>
        </w:tc>
        <w:tc>
          <w:tcPr>
            <w:vAlign w:val="center"/>
          </w:tcPr>
          <w:p>
            <w:pPr>
              <w:jc w:val="right"/>
            </w:pPr>
            <w:r>
              <w:rPr>
                <w:color w:val="000000"/>
                <w:sz w:val="24"/>
                <w:szCs w:val="24"/>
              </w:rPr>
              <w:t>3,830,703.80</w:t>
            </w:r>
          </w:p>
        </w:tc>
        <w:tc>
          <w:tcPr>
            <w:vAlign w:val="center"/>
          </w:tcPr>
          <w:p>
            <w:pPr>
              <w:jc w:val="right"/>
            </w:pPr>
            <w:r>
              <w:rPr>
                <w:color w:val="000000"/>
                <w:sz w:val="24"/>
                <w:szCs w:val="24"/>
              </w:rPr>
              <w:t>0.95</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486,720,694.41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27,889,808.65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228,351,850.21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286,258,652.85</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2020/4/1-2020/6/30</w:t>
            </w:r>
          </w:p>
        </w:tc>
        <w:tc>
          <w:tcPr>
            <w:vAlign w:val="center"/>
          </w:tcPr>
          <w:p>
            <w:pPr>
              <w:jc w:val="center"/>
            </w:pPr>
            <w:r>
              <w:rPr>
                <w:rFonts w:ascii="宋体" w:hAnsi="宋体"/>
                <w:color w:val="000000"/>
                <w:kern w:val="0"/>
              </w:rPr>
              <w:t>128,557,147.72</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80,000,000.00</w:t>
            </w:r>
          </w:p>
        </w:tc>
        <w:tc>
          <w:tcPr>
            <w:vAlign w:val="center"/>
          </w:tcPr>
          <w:p>
            <w:pPr>
              <w:jc w:val="center"/>
            </w:pPr>
            <w:r>
              <w:rPr>
                <w:rFonts w:ascii="宋体" w:hAnsi="宋体"/>
                <w:color w:val="000000"/>
                <w:kern w:val="0"/>
              </w:rPr>
              <w:t>48,557,147.72</w:t>
            </w:r>
          </w:p>
        </w:tc>
        <w:tc>
          <w:tcPr>
            <w:vAlign w:val="center"/>
          </w:tcPr>
          <w:p>
            <w:pPr>
              <w:jc w:val="center"/>
            </w:pPr>
            <w:r>
              <w:rPr>
                <w:rFonts w:ascii="宋体" w:hAnsi="宋体"/>
                <w:color w:val="000000"/>
                <w:kern w:val="0"/>
              </w:rPr>
              <w:t>16.96%</w:t>
            </w:r>
          </w:p>
        </w:tc>
      </w:tr>
      <w:tr>
        <w:tc>
          <w:tcPr>
            <w:vMerge/>
          </w:tcPr>
          <w:p/>
        </w:tc>
        <w:tc>
          <w:tcPr>
            <w:vAlign w:val="center"/>
          </w:tcPr>
          <w:p>
            <w:pPr>
              <w:jc w:val="center"/>
            </w:pPr>
            <w:r>
              <w:rPr>
                <w:rFonts w:ascii="宋体" w:hAnsi="宋体"/>
                <w:color w:val="000000"/>
                <w:kern w:val="0"/>
              </w:rPr>
              <w:t>2</w:t>
            </w:r>
          </w:p>
        </w:tc>
        <w:tc>
          <w:tcPr>
            <w:vAlign w:val="center"/>
          </w:tcPr>
          <w:p>
            <w:pPr>
              <w:jc w:val="center"/>
            </w:pPr>
            <w:r>
              <w:rPr>
                <w:rFonts w:ascii="宋体" w:hAnsi="宋体"/>
                <w:color w:val="000000"/>
                <w:kern w:val="0"/>
              </w:rPr>
              <w:t>2020/4/1-2020/6/30</w:t>
            </w:r>
          </w:p>
        </w:tc>
        <w:tc>
          <w:tcPr>
            <w:vAlign w:val="center"/>
          </w:tcPr>
          <w:p>
            <w:pPr>
              <w:jc w:val="center"/>
            </w:pPr>
            <w:r>
              <w:rPr>
                <w:rFonts w:ascii="宋体" w:hAnsi="宋体"/>
                <w:color w:val="000000"/>
                <w:kern w:val="0"/>
              </w:rPr>
              <w:t>95,683,849.95</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95,683,849.95</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1、中国证监会批准交银施罗德荣安保本混合型证券投资基金募集的文件；</w:t>
      </w:r>
    </w:p>
    <w:p>
      <w:pPr>
        <w:spacing w:before="29" w:line="288" w:lineRule="auto"/>
        <w:ind w:firstLine="480" w:firstLineChars="200"/>
        <w:rPr>
          <w:color w:val="000000"/>
          <w:sz w:val="24"/>
          <w:szCs w:val="24"/>
        </w:rPr>
      </w:pPr>
      <w:r>
        <w:rPr>
          <w:color w:val="000000"/>
          <w:sz w:val="24"/>
          <w:szCs w:val="24"/>
        </w:rPr>
        <w:t>2、《交银施罗德策略回报灵活配置混合型证券投资基金基金合同》；</w:t>
      </w:r>
    </w:p>
    <w:p>
      <w:pPr>
        <w:spacing w:before="29" w:line="288" w:lineRule="auto"/>
        <w:ind w:firstLine="480" w:firstLineChars="200"/>
        <w:rPr>
          <w:color w:val="000000"/>
          <w:sz w:val="24"/>
          <w:szCs w:val="24"/>
        </w:rPr>
      </w:pPr>
      <w:r>
        <w:rPr>
          <w:color w:val="000000"/>
          <w:sz w:val="24"/>
          <w:szCs w:val="24"/>
        </w:rPr>
        <w:t>3、《交银施罗德策略回报灵活配置混合型证券投资基金招募说明书》；</w:t>
      </w:r>
    </w:p>
    <w:p>
      <w:pPr>
        <w:spacing w:before="29" w:line="288" w:lineRule="auto"/>
        <w:ind w:firstLine="480" w:firstLineChars="200"/>
        <w:rPr>
          <w:color w:val="000000"/>
          <w:sz w:val="24"/>
          <w:szCs w:val="24"/>
        </w:rPr>
      </w:pPr>
      <w:r>
        <w:rPr>
          <w:color w:val="000000"/>
          <w:sz w:val="24"/>
          <w:szCs w:val="24"/>
        </w:rPr>
        <w:t>4、《交银施罗德策略回报灵活配置混合型证券投资基金托管协议》；</w:t>
      </w:r>
    </w:p>
    <w:p>
      <w:pPr>
        <w:spacing w:before="29" w:line="288" w:lineRule="auto"/>
        <w:ind w:firstLine="480" w:firstLineChars="200"/>
        <w:rPr>
          <w:color w:val="000000"/>
          <w:sz w:val="24"/>
          <w:szCs w:val="24"/>
        </w:rPr>
      </w:pPr>
      <w:r>
        <w:rPr>
          <w:color w:val="000000"/>
          <w:sz w:val="24"/>
          <w:szCs w:val="24"/>
        </w:rPr>
        <w:t>5、《交银施罗德荣安保本混合型证券投资基金基金合同》；</w:t>
      </w:r>
    </w:p>
    <w:p>
      <w:pPr>
        <w:spacing w:before="29" w:line="288" w:lineRule="auto"/>
        <w:ind w:firstLine="480" w:firstLineChars="200"/>
        <w:rPr>
          <w:color w:val="000000"/>
          <w:sz w:val="24"/>
          <w:szCs w:val="24"/>
        </w:rPr>
      </w:pPr>
      <w:r>
        <w:rPr>
          <w:color w:val="000000"/>
          <w:sz w:val="24"/>
          <w:szCs w:val="24"/>
        </w:rPr>
        <w:t>6、《交银施罗德荣安保本混合型证券投资基金招募说明书》；</w:t>
      </w:r>
    </w:p>
    <w:p>
      <w:pPr>
        <w:spacing w:before="29" w:line="288" w:lineRule="auto"/>
        <w:ind w:firstLine="480" w:firstLineChars="200"/>
        <w:rPr>
          <w:color w:val="000000"/>
          <w:sz w:val="24"/>
          <w:szCs w:val="24"/>
        </w:rPr>
      </w:pPr>
      <w:r>
        <w:rPr>
          <w:color w:val="000000"/>
          <w:sz w:val="24"/>
          <w:szCs w:val="24"/>
        </w:rPr>
        <w:t>7、《交银施罗德荣安保本混合型证券投资基金托管协议》；</w:t>
      </w:r>
    </w:p>
    <w:p>
      <w:pPr>
        <w:spacing w:before="29" w:line="288" w:lineRule="auto"/>
        <w:ind w:firstLine="480" w:firstLineChars="200"/>
        <w:rPr>
          <w:color w:val="000000"/>
          <w:sz w:val="24"/>
          <w:szCs w:val="24"/>
        </w:rPr>
      </w:pPr>
      <w:r>
        <w:rPr>
          <w:color w:val="000000"/>
          <w:sz w:val="24"/>
          <w:szCs w:val="24"/>
        </w:rPr>
        <w:t xml:space="preserve">8、《交银施罗德荣安保本混合型证券投资基金保证合同》； </w:t>
      </w:r>
    </w:p>
    <w:p>
      <w:pPr>
        <w:spacing w:before="29" w:line="288" w:lineRule="auto"/>
        <w:ind w:firstLine="480" w:firstLineChars="200"/>
        <w:rPr>
          <w:color w:val="000000"/>
          <w:sz w:val="24"/>
          <w:szCs w:val="24"/>
        </w:rPr>
      </w:pPr>
      <w:r>
        <w:rPr>
          <w:color w:val="000000"/>
          <w:sz w:val="24"/>
          <w:szCs w:val="24"/>
        </w:rPr>
        <w:t>9、基金管理人业务资格批件、营业执照；</w:t>
      </w:r>
    </w:p>
    <w:p>
      <w:pPr>
        <w:spacing w:before="29" w:line="288" w:lineRule="auto"/>
        <w:ind w:firstLine="480" w:firstLineChars="200"/>
        <w:rPr>
          <w:color w:val="000000"/>
          <w:sz w:val="24"/>
          <w:szCs w:val="24"/>
        </w:rPr>
      </w:pPr>
      <w:r>
        <w:rPr>
          <w:color w:val="000000"/>
          <w:sz w:val="24"/>
          <w:szCs w:val="24"/>
        </w:rPr>
        <w:t>10、基金托管人业务资格批件、营业执照；</w:t>
      </w:r>
    </w:p>
    <w:p>
      <w:pPr>
        <w:spacing w:before="29" w:line="288" w:lineRule="auto"/>
        <w:ind w:firstLine="480" w:firstLineChars="200"/>
        <w:rPr>
          <w:color w:val="000000"/>
          <w:sz w:val="24"/>
          <w:szCs w:val="24"/>
        </w:rPr>
      </w:pPr>
      <w:r>
        <w:rPr>
          <w:color w:val="000000"/>
          <w:sz w:val="24"/>
          <w:szCs w:val="24"/>
        </w:rPr>
        <w:t>11、关于申请募集交银施罗德荣安保本混合型证券投资基金之法律意见书；</w:t>
      </w:r>
    </w:p>
    <w:p>
      <w:pPr>
        <w:spacing w:before="29" w:line="288" w:lineRule="auto"/>
        <w:ind w:firstLine="480" w:firstLineChars="200"/>
        <w:rPr>
          <w:color w:val="000000"/>
          <w:sz w:val="24"/>
          <w:szCs w:val="24"/>
        </w:rPr>
      </w:pPr>
      <w:r>
        <w:rPr>
          <w:color w:val="000000"/>
          <w:sz w:val="24"/>
          <w:szCs w:val="24"/>
        </w:rPr>
        <w:t>12、关于修改《交银施罗德荣安保本混合型证券投资基金基金合同》的法律意见；</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13、报告期内交银施罗德策略回报灵活配置混合型证券投资基金在指定报刊上各项公告的原稿。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交银施罗德策略回报灵活配置混合型证券投资基金2020年第2季度报告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