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2279D3" w:rsidRPr="0081286B" w:rsidRDefault="002279D3" w:rsidP="00C15CAC">
      <w:pPr>
        <w:spacing w:before="29" w:line="288" w:lineRule="auto"/>
        <w:jc w:val="center"/>
        <w:rPr>
          <w:b/>
          <w:sz w:val="36"/>
          <w:szCs w:val="36"/>
        </w:rPr>
      </w:pPr>
      <w:r w:rsidRPr="0081286B">
        <w:rPr>
          <w:b/>
          <w:sz w:val="36"/>
          <w:szCs w:val="36"/>
        </w:rPr>
        <w:t>交银施罗德定期支付双息平衡混合型证券投资基金</w:t>
      </w:r>
    </w:p>
    <w:p w:rsidR="002279D3" w:rsidRPr="0081286B" w:rsidRDefault="002279D3" w:rsidP="00C15CAC">
      <w:pPr>
        <w:spacing w:before="29" w:line="288" w:lineRule="auto"/>
        <w:jc w:val="center"/>
        <w:rPr>
          <w:b/>
          <w:sz w:val="36"/>
          <w:szCs w:val="36"/>
        </w:rPr>
      </w:pPr>
      <w:r w:rsidRPr="0081286B">
        <w:rPr>
          <w:b/>
          <w:sz w:val="36"/>
          <w:szCs w:val="36"/>
        </w:rPr>
        <w:t>2020</w:t>
      </w:r>
      <w:r w:rsidRPr="0081286B">
        <w:rPr>
          <w:b/>
          <w:sz w:val="36"/>
          <w:szCs w:val="36"/>
        </w:rPr>
        <w:t>年第</w:t>
      </w:r>
      <w:r w:rsidRPr="0081286B">
        <w:rPr>
          <w:b/>
          <w:sz w:val="36"/>
          <w:szCs w:val="36"/>
        </w:rPr>
        <w:t>2</w:t>
      </w:r>
      <w:r w:rsidRPr="0081286B">
        <w:rPr>
          <w:b/>
          <w:sz w:val="36"/>
          <w:szCs w:val="36"/>
        </w:rPr>
        <w:t>季度报告</w:t>
      </w:r>
    </w:p>
    <w:p w:rsidR="004061AC" w:rsidRPr="0081286B" w:rsidRDefault="00655CD8" w:rsidP="00C15CAC">
      <w:pPr>
        <w:spacing w:before="29" w:line="288" w:lineRule="auto"/>
        <w:jc w:val="center"/>
        <w:rPr>
          <w:b/>
          <w:sz w:val="36"/>
          <w:szCs w:val="36"/>
        </w:rPr>
      </w:pPr>
      <w:r w:rsidRPr="0081286B">
        <w:rPr>
          <w:b/>
          <w:sz w:val="36"/>
          <w:szCs w:val="36"/>
        </w:rPr>
        <w:t>2020</w:t>
      </w:r>
      <w:r w:rsidRPr="0081286B">
        <w:rPr>
          <w:b/>
          <w:sz w:val="36"/>
          <w:szCs w:val="36"/>
        </w:rPr>
        <w:t>年</w:t>
      </w:r>
      <w:r w:rsidRPr="0081286B">
        <w:rPr>
          <w:b/>
          <w:sz w:val="36"/>
          <w:szCs w:val="36"/>
        </w:rPr>
        <w:t>6</w:t>
      </w:r>
      <w:r w:rsidRPr="0081286B">
        <w:rPr>
          <w:b/>
          <w:sz w:val="36"/>
          <w:szCs w:val="36"/>
        </w:rPr>
        <w:t>月</w:t>
      </w:r>
      <w:r w:rsidRPr="0081286B">
        <w:rPr>
          <w:b/>
          <w:sz w:val="36"/>
          <w:szCs w:val="36"/>
        </w:rPr>
        <w:t>30</w:t>
      </w:r>
      <w:r w:rsidRPr="0081286B">
        <w:rPr>
          <w:b/>
          <w:sz w:val="36"/>
          <w:szCs w:val="36"/>
        </w:rPr>
        <w:t>日</w:t>
      </w: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基金管理人：交银施罗德基金管理有限公司</w:t>
      </w: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基金托管人：中国农业银行股份有限公司</w:t>
      </w:r>
    </w:p>
    <w:p w:rsidR="004061AC" w:rsidRPr="0081286B" w:rsidRDefault="004061AC" w:rsidP="00C15CAC">
      <w:pPr>
        <w:spacing w:before="29" w:line="288" w:lineRule="auto"/>
        <w:ind w:firstLineChars="900" w:firstLine="2168"/>
        <w:rPr>
          <w:b/>
          <w:color w:val="000000"/>
          <w:sz w:val="24"/>
          <w:szCs w:val="24"/>
        </w:rPr>
        <w:sectPr w:rsidR="004061AC" w:rsidRPr="0081286B" w:rsidSect="00DC456F">
          <w:headerReference w:type="even" r:id="rId8"/>
          <w:headerReference w:type="default" r:id="rId9"/>
          <w:footerReference w:type="even" r:id="rId10"/>
          <w:footerReference w:type="default" r:id="rId11"/>
          <w:headerReference w:type="first" r:id="rId12"/>
          <w:footerReference w:type="first" r:id="rId13"/>
          <w:pgSz w:w="11926" w:h="15840"/>
          <w:pgMar w:top="1418" w:right="1440" w:bottom="851" w:left="1440" w:header="851" w:footer="992" w:gutter="0"/>
          <w:cols w:space="720"/>
          <w:noEndnote/>
          <w:titlePg/>
          <w:docGrid w:linePitch="286"/>
        </w:sectPr>
      </w:pPr>
      <w:r w:rsidRPr="0081286B">
        <w:rPr>
          <w:b/>
          <w:color w:val="000000"/>
          <w:sz w:val="24"/>
          <w:szCs w:val="24"/>
        </w:rPr>
        <w:t>报告送出日期：</w:t>
      </w:r>
      <w:r w:rsidR="00F16E3F" w:rsidRPr="0081286B">
        <w:rPr>
          <w:b/>
          <w:color w:val="000000"/>
          <w:sz w:val="24"/>
          <w:szCs w:val="24"/>
        </w:rPr>
        <w:t>二〇二〇年七月二十一日</w:t>
      </w:r>
    </w:p>
    <w:p w:rsidR="004061AC" w:rsidRPr="00414345" w:rsidRDefault="004061AC" w:rsidP="0011537B">
      <w:pPr>
        <w:pStyle w:val="1"/>
        <w:spacing w:beforeLines="100" w:before="312" w:afterLines="100" w:after="312" w:line="288" w:lineRule="auto"/>
        <w:jc w:val="center"/>
        <w:rPr>
          <w:b w:val="0"/>
          <w:bCs w:val="0"/>
          <w:color w:val="000000"/>
          <w:kern w:val="0"/>
          <w:sz w:val="24"/>
          <w:szCs w:val="24"/>
        </w:rPr>
      </w:pPr>
      <w:r w:rsidRPr="00414345">
        <w:rPr>
          <w:color w:val="000000"/>
          <w:kern w:val="0"/>
          <w:sz w:val="24"/>
          <w:szCs w:val="24"/>
        </w:rPr>
        <w:lastRenderedPageBreak/>
        <w:t xml:space="preserve">§1  </w:t>
      </w:r>
      <w:r w:rsidRPr="00414345">
        <w:rPr>
          <w:color w:val="000000"/>
          <w:kern w:val="0"/>
          <w:sz w:val="24"/>
          <w:szCs w:val="24"/>
        </w:rPr>
        <w:t>重要提示</w:t>
      </w:r>
    </w:p>
    <w:p w:rsidR="00543832" w:rsidRDefault="00984FB1">
      <w:pPr>
        <w:spacing w:before="29" w:line="288" w:lineRule="auto"/>
        <w:ind w:firstLineChars="200" w:firstLine="480"/>
        <w:rPr>
          <w:color w:val="000000"/>
          <w:sz w:val="24"/>
          <w:szCs w:val="24"/>
        </w:rPr>
      </w:pPr>
      <w:r>
        <w:rPr>
          <w:color w:val="000000"/>
          <w:sz w:val="24"/>
          <w:szCs w:val="24"/>
        </w:rPr>
        <w:t>基金管理人的董事会及董事保证本报告所载资料不存在虚假记载、误导性陈述或重大遗漏，并对其内容的真实性、准确性和完整性承担个别及连带责任。</w:t>
      </w:r>
      <w:r>
        <w:rPr>
          <w:color w:val="000000"/>
          <w:sz w:val="24"/>
          <w:szCs w:val="24"/>
        </w:rPr>
        <w:t xml:space="preserve"> </w:t>
      </w:r>
    </w:p>
    <w:p w:rsidR="00543832" w:rsidRDefault="00984FB1">
      <w:pPr>
        <w:spacing w:before="29" w:line="288" w:lineRule="auto"/>
        <w:ind w:firstLineChars="200" w:firstLine="480"/>
        <w:rPr>
          <w:color w:val="000000"/>
          <w:sz w:val="24"/>
          <w:szCs w:val="24"/>
        </w:rPr>
      </w:pPr>
      <w:r>
        <w:rPr>
          <w:color w:val="000000"/>
          <w:sz w:val="24"/>
          <w:szCs w:val="24"/>
        </w:rPr>
        <w:t>基金托管人中国农业银行股份有限公司根据本基金合同规定，于</w:t>
      </w:r>
      <w:r>
        <w:rPr>
          <w:color w:val="000000"/>
          <w:sz w:val="24"/>
          <w:szCs w:val="24"/>
        </w:rPr>
        <w:t>2020</w:t>
      </w:r>
      <w:r>
        <w:rPr>
          <w:color w:val="000000"/>
          <w:sz w:val="24"/>
          <w:szCs w:val="24"/>
        </w:rPr>
        <w:t>年</w:t>
      </w:r>
      <w:r>
        <w:rPr>
          <w:color w:val="000000"/>
          <w:sz w:val="24"/>
          <w:szCs w:val="24"/>
        </w:rPr>
        <w:t>7</w:t>
      </w:r>
      <w:r>
        <w:rPr>
          <w:color w:val="000000"/>
          <w:sz w:val="24"/>
          <w:szCs w:val="24"/>
        </w:rPr>
        <w:t>月</w:t>
      </w:r>
      <w:r>
        <w:rPr>
          <w:color w:val="000000"/>
          <w:sz w:val="24"/>
          <w:szCs w:val="24"/>
        </w:rPr>
        <w:t>20</w:t>
      </w:r>
      <w:r>
        <w:rPr>
          <w:color w:val="000000"/>
          <w:sz w:val="24"/>
          <w:szCs w:val="24"/>
        </w:rPr>
        <w:t>日复核了本报告中的财务指标、净值表现和投资组合报告等内容，保证复核内容不存在虚假记载、误导性陈述或者重大遗漏。</w:t>
      </w:r>
      <w:r>
        <w:rPr>
          <w:color w:val="000000"/>
          <w:sz w:val="24"/>
          <w:szCs w:val="24"/>
        </w:rPr>
        <w:t xml:space="preserve"> </w:t>
      </w:r>
    </w:p>
    <w:p w:rsidR="00543832" w:rsidRDefault="00984FB1">
      <w:pPr>
        <w:spacing w:before="29" w:line="288" w:lineRule="auto"/>
        <w:ind w:firstLineChars="200" w:firstLine="480"/>
        <w:rPr>
          <w:color w:val="000000"/>
          <w:sz w:val="24"/>
          <w:szCs w:val="24"/>
        </w:rPr>
      </w:pPr>
      <w:r>
        <w:rPr>
          <w:color w:val="000000"/>
          <w:sz w:val="24"/>
          <w:szCs w:val="24"/>
        </w:rPr>
        <w:t>基金管理人承诺以诚实信用、勤勉尽责的原则管理和运用基金资产，但不保证基金一定盈利。</w:t>
      </w:r>
      <w:r>
        <w:rPr>
          <w:color w:val="000000"/>
          <w:sz w:val="24"/>
          <w:szCs w:val="24"/>
        </w:rPr>
        <w:t xml:space="preserve"> </w:t>
      </w:r>
    </w:p>
    <w:p w:rsidR="00543832" w:rsidRDefault="00984FB1">
      <w:pPr>
        <w:spacing w:before="29" w:line="288" w:lineRule="auto"/>
        <w:ind w:firstLineChars="200" w:firstLine="480"/>
        <w:rPr>
          <w:color w:val="000000"/>
          <w:sz w:val="24"/>
          <w:szCs w:val="24"/>
        </w:rPr>
      </w:pPr>
      <w:r>
        <w:rPr>
          <w:color w:val="000000"/>
          <w:sz w:val="24"/>
          <w:szCs w:val="24"/>
        </w:rPr>
        <w:t>基金的过往业绩并不代表其未来表现。投资有风险，投资者在作出投资决策前应仔细阅读本基金的招募说明书。</w:t>
      </w:r>
      <w:r>
        <w:rPr>
          <w:color w:val="000000"/>
          <w:sz w:val="24"/>
          <w:szCs w:val="24"/>
        </w:rPr>
        <w:t xml:space="preserve"> </w:t>
      </w:r>
    </w:p>
    <w:p w:rsidR="00543832" w:rsidRDefault="00984FB1">
      <w:pPr>
        <w:spacing w:before="29" w:line="288" w:lineRule="auto"/>
        <w:ind w:firstLineChars="200" w:firstLine="480"/>
        <w:rPr>
          <w:color w:val="000000"/>
          <w:sz w:val="24"/>
          <w:szCs w:val="24"/>
        </w:rPr>
      </w:pPr>
      <w:r>
        <w:rPr>
          <w:color w:val="000000"/>
          <w:sz w:val="24"/>
          <w:szCs w:val="24"/>
        </w:rPr>
        <w:t>本报告中财务资料未经审计。</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本报告期自</w:t>
      </w:r>
      <w:r w:rsidRPr="00414345">
        <w:rPr>
          <w:color w:val="000000"/>
          <w:sz w:val="24"/>
          <w:szCs w:val="24"/>
        </w:rPr>
        <w:t>2020</w:t>
      </w:r>
      <w:r w:rsidRPr="00414345">
        <w:rPr>
          <w:color w:val="000000"/>
          <w:sz w:val="24"/>
          <w:szCs w:val="24"/>
        </w:rPr>
        <w:t>年</w:t>
      </w:r>
      <w:r w:rsidRPr="00414345">
        <w:rPr>
          <w:color w:val="000000"/>
          <w:sz w:val="24"/>
          <w:szCs w:val="24"/>
        </w:rPr>
        <w:t>4</w:t>
      </w:r>
      <w:r w:rsidRPr="00414345">
        <w:rPr>
          <w:color w:val="000000"/>
          <w:sz w:val="24"/>
          <w:szCs w:val="24"/>
        </w:rPr>
        <w:t>月</w:t>
      </w:r>
      <w:r w:rsidRPr="00414345">
        <w:rPr>
          <w:color w:val="000000"/>
          <w:sz w:val="24"/>
          <w:szCs w:val="24"/>
        </w:rPr>
        <w:t>1</w:t>
      </w:r>
      <w:r w:rsidRPr="00414345">
        <w:rPr>
          <w:color w:val="000000"/>
          <w:sz w:val="24"/>
          <w:szCs w:val="24"/>
        </w:rPr>
        <w:t>日起至</w:t>
      </w:r>
      <w:r w:rsidRPr="00414345">
        <w:rPr>
          <w:color w:val="000000"/>
          <w:sz w:val="24"/>
          <w:szCs w:val="24"/>
        </w:rPr>
        <w:t>6</w:t>
      </w:r>
      <w:r w:rsidRPr="00414345">
        <w:rPr>
          <w:color w:val="000000"/>
          <w:sz w:val="24"/>
          <w:szCs w:val="24"/>
        </w:rPr>
        <w:t>月</w:t>
      </w:r>
      <w:r w:rsidRPr="00414345">
        <w:rPr>
          <w:color w:val="000000"/>
          <w:sz w:val="24"/>
          <w:szCs w:val="24"/>
        </w:rPr>
        <w:t>30</w:t>
      </w:r>
      <w:r w:rsidRPr="00414345">
        <w:rPr>
          <w:color w:val="000000"/>
          <w:sz w:val="24"/>
          <w:szCs w:val="24"/>
        </w:rPr>
        <w:t>日止。</w:t>
      </w:r>
    </w:p>
    <w:p w:rsidR="00627E2D" w:rsidRPr="00414345" w:rsidRDefault="00627E2D" w:rsidP="00C15CAC">
      <w:pPr>
        <w:spacing w:before="29" w:line="288" w:lineRule="auto"/>
        <w:ind w:firstLineChars="200" w:firstLine="480"/>
        <w:rPr>
          <w:color w:val="000000"/>
          <w:sz w:val="24"/>
          <w:szCs w:val="24"/>
        </w:rPr>
      </w:pP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§2  </w:t>
      </w:r>
      <w:r w:rsidRPr="00414345">
        <w:rPr>
          <w:color w:val="000000"/>
          <w:kern w:val="0"/>
          <w:sz w:val="24"/>
          <w:szCs w:val="24"/>
        </w:rPr>
        <w:t>基金产品概况</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5845"/>
      </w:tblGrid>
      <w:tr w:rsidR="004061AC" w:rsidRPr="00414345" w:rsidTr="006E6726">
        <w:trPr>
          <w:jc w:val="center"/>
        </w:trPr>
        <w:tc>
          <w:tcPr>
            <w:tcW w:w="3023" w:type="dxa"/>
            <w:vAlign w:val="center"/>
          </w:tcPr>
          <w:p w:rsidR="004061AC" w:rsidRPr="00414345" w:rsidRDefault="004061AC" w:rsidP="00C15CAC">
            <w:pPr>
              <w:adjustRightInd w:val="0"/>
              <w:spacing w:before="29" w:line="288" w:lineRule="auto"/>
              <w:ind w:left="17"/>
              <w:jc w:val="left"/>
              <w:rPr>
                <w:kern w:val="0"/>
                <w:sz w:val="24"/>
                <w:szCs w:val="24"/>
              </w:rPr>
            </w:pPr>
            <w:r w:rsidRPr="00414345">
              <w:rPr>
                <w:kern w:val="0"/>
                <w:sz w:val="24"/>
                <w:szCs w:val="24"/>
              </w:rPr>
              <w:t>基金简称</w:t>
            </w:r>
          </w:p>
        </w:tc>
        <w:tc>
          <w:tcPr>
            <w:tcW w:w="5845" w:type="dxa"/>
            <w:vAlign w:val="center"/>
          </w:tcPr>
          <w:p w:rsidR="004061AC" w:rsidRPr="00414345" w:rsidRDefault="004061AC" w:rsidP="00C15CAC">
            <w:pPr>
              <w:adjustRightInd w:val="0"/>
              <w:spacing w:before="29" w:line="288" w:lineRule="auto"/>
              <w:ind w:left="17"/>
              <w:jc w:val="left"/>
              <w:rPr>
                <w:color w:val="000000"/>
                <w:kern w:val="0"/>
                <w:sz w:val="24"/>
                <w:szCs w:val="24"/>
              </w:rPr>
            </w:pPr>
            <w:r w:rsidRPr="00414345">
              <w:rPr>
                <w:color w:val="000000"/>
                <w:kern w:val="0"/>
                <w:sz w:val="24"/>
                <w:szCs w:val="24"/>
              </w:rPr>
              <w:t>交银定期支付双息平衡混合</w:t>
            </w:r>
          </w:p>
        </w:tc>
      </w:tr>
      <w:tr w:rsidR="00D94B8D"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kern w:val="0"/>
                <w:sz w:val="24"/>
                <w:szCs w:val="24"/>
              </w:rPr>
            </w:pPr>
            <w:r w:rsidRPr="00414345">
              <w:rPr>
                <w:kern w:val="0"/>
                <w:sz w:val="24"/>
                <w:szCs w:val="24"/>
              </w:rPr>
              <w:t>基金主代码</w:t>
            </w:r>
          </w:p>
        </w:tc>
        <w:tc>
          <w:tcPr>
            <w:tcW w:w="5845"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color w:val="000000"/>
                <w:kern w:val="0"/>
                <w:sz w:val="24"/>
                <w:szCs w:val="24"/>
              </w:rPr>
            </w:pPr>
            <w:r w:rsidRPr="00414345">
              <w:rPr>
                <w:color w:val="000000"/>
                <w:kern w:val="0"/>
                <w:sz w:val="24"/>
                <w:szCs w:val="24"/>
              </w:rPr>
              <w:t>519732</w:t>
            </w:r>
          </w:p>
        </w:tc>
      </w:tr>
      <w:tr w:rsidR="001B2F35"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tcPr>
          <w:p w:rsidR="001B2F35" w:rsidRPr="00414345" w:rsidRDefault="001B2F35" w:rsidP="00C15CAC">
            <w:pPr>
              <w:adjustRightInd w:val="0"/>
              <w:spacing w:before="29" w:line="288" w:lineRule="auto"/>
              <w:ind w:left="17"/>
              <w:jc w:val="left"/>
              <w:rPr>
                <w:kern w:val="0"/>
                <w:sz w:val="24"/>
                <w:szCs w:val="24"/>
              </w:rPr>
            </w:pPr>
            <w:r w:rsidRPr="00414345">
              <w:rPr>
                <w:kern w:val="0"/>
                <w:sz w:val="24"/>
                <w:szCs w:val="24"/>
              </w:rPr>
              <w:t>交易代码</w:t>
            </w:r>
          </w:p>
        </w:tc>
        <w:tc>
          <w:tcPr>
            <w:tcW w:w="5845" w:type="dxa"/>
            <w:tcBorders>
              <w:top w:val="single" w:sz="4" w:space="0" w:color="auto"/>
              <w:left w:val="single" w:sz="4" w:space="0" w:color="auto"/>
              <w:bottom w:val="single" w:sz="4" w:space="0" w:color="auto"/>
              <w:right w:val="single" w:sz="4" w:space="0" w:color="auto"/>
            </w:tcBorders>
            <w:vAlign w:val="center"/>
          </w:tcPr>
          <w:p w:rsidR="001B2F35" w:rsidRPr="00414345" w:rsidRDefault="00C5218C" w:rsidP="00C15CAC">
            <w:pPr>
              <w:adjustRightInd w:val="0"/>
              <w:spacing w:before="29" w:line="288" w:lineRule="auto"/>
              <w:ind w:left="17"/>
              <w:jc w:val="left"/>
              <w:rPr>
                <w:color w:val="000000"/>
                <w:kern w:val="0"/>
                <w:sz w:val="24"/>
                <w:szCs w:val="24"/>
              </w:rPr>
            </w:pPr>
            <w:r w:rsidRPr="00414345">
              <w:rPr>
                <w:kern w:val="0"/>
                <w:sz w:val="24"/>
              </w:rPr>
              <w:t>519732</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基金运作方式</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契约型开放式</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基金合同生效日</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2013</w:t>
            </w:r>
            <w:r w:rsidRPr="00414345">
              <w:rPr>
                <w:color w:val="000000"/>
                <w:kern w:val="0"/>
                <w:sz w:val="24"/>
                <w:szCs w:val="24"/>
              </w:rPr>
              <w:t>年</w:t>
            </w:r>
            <w:r w:rsidRPr="00414345">
              <w:rPr>
                <w:color w:val="000000"/>
                <w:kern w:val="0"/>
                <w:sz w:val="24"/>
                <w:szCs w:val="24"/>
              </w:rPr>
              <w:t>9</w:t>
            </w:r>
            <w:r w:rsidRPr="00414345">
              <w:rPr>
                <w:color w:val="000000"/>
                <w:kern w:val="0"/>
                <w:sz w:val="24"/>
                <w:szCs w:val="24"/>
              </w:rPr>
              <w:t>月</w:t>
            </w:r>
            <w:r w:rsidRPr="00414345">
              <w:rPr>
                <w:color w:val="000000"/>
                <w:kern w:val="0"/>
                <w:sz w:val="24"/>
                <w:szCs w:val="24"/>
              </w:rPr>
              <w:t>4</w:t>
            </w:r>
            <w:r w:rsidRPr="00414345">
              <w:rPr>
                <w:color w:val="000000"/>
                <w:kern w:val="0"/>
                <w:sz w:val="24"/>
                <w:szCs w:val="24"/>
              </w:rPr>
              <w:t>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报告期末基金份额总额</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1,025,486,209.30</w:t>
            </w:r>
            <w:r w:rsidRPr="00414345">
              <w:rPr>
                <w:color w:val="000000"/>
                <w:kern w:val="0"/>
                <w:sz w:val="24"/>
                <w:szCs w:val="24"/>
              </w:rPr>
              <w:t>份</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投资目标</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本基金精选具有长期增长潜力和较好分红能力的股票，以及具有较高息票率的债券，力争实现基金资产的长期增值。</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投资策略</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精选具有较好现金分红能力、长期增长潜力且估值水平合理的上市公司以及具有较高息票率的债券，通过在股票和债券等不同类别资产中的平衡配置，追求基金资产在风险可控前提下的持续增值，充分享受股票分红和债券利息的双重收益。</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业绩比较基准</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50%×</w:t>
            </w:r>
            <w:r w:rsidRPr="00414345">
              <w:rPr>
                <w:color w:val="000000"/>
                <w:kern w:val="0"/>
                <w:sz w:val="24"/>
                <w:szCs w:val="24"/>
              </w:rPr>
              <w:t>中证红利指数收益率</w:t>
            </w:r>
            <w:r w:rsidRPr="00414345">
              <w:rPr>
                <w:color w:val="000000"/>
                <w:kern w:val="0"/>
                <w:sz w:val="24"/>
                <w:szCs w:val="24"/>
              </w:rPr>
              <w:t>+50%×</w:t>
            </w:r>
            <w:r w:rsidRPr="00414345">
              <w:rPr>
                <w:color w:val="000000"/>
                <w:kern w:val="0"/>
                <w:sz w:val="24"/>
                <w:szCs w:val="24"/>
              </w:rPr>
              <w:t>中债综合全价指数收益率</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风险收益特征</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本基金是一只混合型基金，在证券投资基金中属于较高风险的品种，其长期平均风险和预期收益高于货币</w:t>
            </w:r>
            <w:r w:rsidRPr="00414345">
              <w:rPr>
                <w:color w:val="000000"/>
                <w:kern w:val="0"/>
                <w:sz w:val="24"/>
                <w:szCs w:val="24"/>
              </w:rPr>
              <w:lastRenderedPageBreak/>
              <w:t>市场基金和债券型基金，低于股票型基金。</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lastRenderedPageBreak/>
              <w:t>基金管理人</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交银施罗德基金管理有限公司</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基金托管人</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中国农业银行股份有限公司</w:t>
            </w:r>
          </w:p>
        </w:tc>
      </w:tr>
    </w:tbl>
    <w:p w:rsidR="005910BF" w:rsidRPr="00414345" w:rsidRDefault="005910BF" w:rsidP="00C15CAC">
      <w:pPr>
        <w:autoSpaceDE w:val="0"/>
        <w:autoSpaceDN w:val="0"/>
        <w:adjustRightInd w:val="0"/>
        <w:spacing w:before="29" w:line="288" w:lineRule="auto"/>
        <w:jc w:val="left"/>
        <w:rPr>
          <w:color w:val="000000"/>
          <w:kern w:val="0"/>
          <w:sz w:val="24"/>
          <w:szCs w:val="24"/>
        </w:rPr>
      </w:pP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§3  </w:t>
      </w:r>
      <w:r w:rsidRPr="00414345">
        <w:rPr>
          <w:color w:val="000000"/>
          <w:kern w:val="0"/>
          <w:sz w:val="24"/>
          <w:szCs w:val="24"/>
        </w:rPr>
        <w:t>主要财务指标和基金净值表现</w:t>
      </w: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3.1 </w:t>
      </w:r>
      <w:r w:rsidRPr="00414345">
        <w:rPr>
          <w:b/>
          <w:bCs/>
          <w:color w:val="000000"/>
          <w:kern w:val="0"/>
          <w:sz w:val="24"/>
          <w:szCs w:val="24"/>
        </w:rPr>
        <w:t>主要财务指标</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7"/>
        <w:gridCol w:w="5261"/>
      </w:tblGrid>
      <w:tr w:rsidR="00BF0E1D" w:rsidRPr="00414345" w:rsidTr="00BF0E1D">
        <w:trPr>
          <w:jc w:val="center"/>
        </w:trPr>
        <w:tc>
          <w:tcPr>
            <w:tcW w:w="3402" w:type="dxa"/>
            <w:vAlign w:val="center"/>
          </w:tcPr>
          <w:p w:rsidR="00C21520" w:rsidRPr="00414345" w:rsidRDefault="00C21520" w:rsidP="00C15CAC">
            <w:pPr>
              <w:adjustRightInd w:val="0"/>
              <w:spacing w:before="29" w:line="288" w:lineRule="auto"/>
              <w:ind w:left="17"/>
              <w:jc w:val="center"/>
              <w:rPr>
                <w:kern w:val="0"/>
                <w:sz w:val="24"/>
                <w:szCs w:val="24"/>
              </w:rPr>
            </w:pPr>
            <w:r w:rsidRPr="00414345">
              <w:rPr>
                <w:kern w:val="0"/>
                <w:sz w:val="24"/>
                <w:szCs w:val="24"/>
              </w:rPr>
              <w:t>主要财务指标</w:t>
            </w:r>
          </w:p>
        </w:tc>
        <w:tc>
          <w:tcPr>
            <w:tcW w:w="4962" w:type="dxa"/>
            <w:vAlign w:val="center"/>
          </w:tcPr>
          <w:p w:rsidR="009C60F7"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报告期</w:t>
            </w:r>
          </w:p>
          <w:p w:rsidR="00C21520"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(2020</w:t>
            </w:r>
            <w:r w:rsidRPr="00414345">
              <w:rPr>
                <w:color w:val="000000"/>
                <w:sz w:val="24"/>
                <w:szCs w:val="24"/>
              </w:rPr>
              <w:t>年</w:t>
            </w:r>
            <w:r w:rsidRPr="00414345">
              <w:rPr>
                <w:color w:val="000000"/>
                <w:sz w:val="24"/>
                <w:szCs w:val="24"/>
              </w:rPr>
              <w:t>4</w:t>
            </w:r>
            <w:r w:rsidRPr="00414345">
              <w:rPr>
                <w:color w:val="000000"/>
                <w:sz w:val="24"/>
                <w:szCs w:val="24"/>
              </w:rPr>
              <w:t>月</w:t>
            </w:r>
            <w:r w:rsidRPr="00414345">
              <w:rPr>
                <w:color w:val="000000"/>
                <w:sz w:val="24"/>
                <w:szCs w:val="24"/>
              </w:rPr>
              <w:t>1</w:t>
            </w:r>
            <w:r w:rsidRPr="00414345">
              <w:rPr>
                <w:color w:val="000000"/>
                <w:sz w:val="24"/>
                <w:szCs w:val="24"/>
              </w:rPr>
              <w:t>日</w:t>
            </w:r>
            <w:r w:rsidRPr="00414345">
              <w:rPr>
                <w:color w:val="000000"/>
                <w:sz w:val="24"/>
                <w:szCs w:val="24"/>
              </w:rPr>
              <w:t>-2020</w:t>
            </w:r>
            <w:r w:rsidRPr="00414345">
              <w:rPr>
                <w:color w:val="000000"/>
                <w:sz w:val="24"/>
                <w:szCs w:val="24"/>
              </w:rPr>
              <w:t>年</w:t>
            </w:r>
            <w:r w:rsidRPr="00414345">
              <w:rPr>
                <w:color w:val="000000"/>
                <w:sz w:val="24"/>
                <w:szCs w:val="24"/>
              </w:rPr>
              <w:t>6</w:t>
            </w:r>
            <w:r w:rsidRPr="00414345">
              <w:rPr>
                <w:color w:val="000000"/>
                <w:sz w:val="24"/>
                <w:szCs w:val="24"/>
              </w:rPr>
              <w:t>月</w:t>
            </w:r>
            <w:r w:rsidRPr="00414345">
              <w:rPr>
                <w:color w:val="000000"/>
                <w:sz w:val="24"/>
                <w:szCs w:val="24"/>
              </w:rPr>
              <w:t>30</w:t>
            </w:r>
            <w:r w:rsidRPr="00414345">
              <w:rPr>
                <w:color w:val="000000"/>
                <w:sz w:val="24"/>
                <w:szCs w:val="24"/>
              </w:rPr>
              <w:t>日</w:t>
            </w:r>
            <w:r w:rsidRPr="00414345">
              <w:rPr>
                <w:color w:val="000000"/>
                <w:sz w:val="24"/>
                <w:szCs w:val="24"/>
              </w:rPr>
              <w:t>)</w:t>
            </w:r>
          </w:p>
        </w:tc>
      </w:tr>
      <w:tr w:rsidR="00BF0E1D" w:rsidRPr="00414345" w:rsidTr="00BF0E1D">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1.</w:t>
            </w:r>
            <w:r w:rsidRPr="00414345">
              <w:rPr>
                <w:kern w:val="0"/>
                <w:sz w:val="24"/>
                <w:szCs w:val="24"/>
              </w:rPr>
              <w:t>本期已实现收益</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63,028,635.96</w:t>
            </w:r>
          </w:p>
        </w:tc>
      </w:tr>
      <w:tr w:rsidR="00BF0E1D" w:rsidRPr="00414345" w:rsidTr="00BF0E1D">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2.</w:t>
            </w:r>
            <w:r w:rsidRPr="00414345">
              <w:rPr>
                <w:kern w:val="0"/>
                <w:sz w:val="24"/>
                <w:szCs w:val="24"/>
              </w:rPr>
              <w:t>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617,533,941.63</w:t>
            </w:r>
          </w:p>
        </w:tc>
      </w:tr>
      <w:tr w:rsidR="00BF0E1D" w:rsidRPr="00414345" w:rsidTr="00BF0E1D">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3.</w:t>
            </w:r>
            <w:r w:rsidRPr="00414345">
              <w:rPr>
                <w:kern w:val="0"/>
                <w:sz w:val="24"/>
                <w:szCs w:val="24"/>
              </w:rPr>
              <w:t>加权平均基金份额本期利润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0.7026</w:t>
            </w:r>
          </w:p>
        </w:tc>
      </w:tr>
      <w:tr w:rsidR="00BF0E1D" w:rsidRPr="00414345" w:rsidTr="00BF0E1D">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4.</w:t>
            </w:r>
            <w:r w:rsidRPr="00414345">
              <w:rPr>
                <w:kern w:val="0"/>
                <w:sz w:val="24"/>
                <w:szCs w:val="24"/>
              </w:rPr>
              <w:t>期末基金资产净值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4,808,400,138.06</w:t>
            </w:r>
          </w:p>
        </w:tc>
      </w:tr>
      <w:tr w:rsidR="00BF0E1D" w:rsidRPr="00414345" w:rsidTr="00BF0E1D">
        <w:trPr>
          <w:trHeight w:val="158"/>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5.</w:t>
            </w:r>
            <w:r w:rsidRPr="00414345">
              <w:rPr>
                <w:kern w:val="0"/>
                <w:sz w:val="24"/>
                <w:szCs w:val="24"/>
              </w:rPr>
              <w:t>期末基金份额净值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4.689</w:t>
            </w:r>
          </w:p>
        </w:tc>
      </w:tr>
    </w:tbl>
    <w:p w:rsidR="00543832" w:rsidRDefault="00984FB1">
      <w:pPr>
        <w:autoSpaceDE w:val="0"/>
        <w:autoSpaceDN w:val="0"/>
        <w:adjustRightInd w:val="0"/>
        <w:spacing w:before="29" w:line="288" w:lineRule="auto"/>
        <w:jc w:val="left"/>
        <w:rPr>
          <w:color w:val="000000"/>
          <w:sz w:val="24"/>
          <w:szCs w:val="24"/>
        </w:rPr>
      </w:pPr>
      <w:r>
        <w:rPr>
          <w:color w:val="000000"/>
          <w:sz w:val="24"/>
          <w:szCs w:val="24"/>
        </w:rPr>
        <w:t>注：</w:t>
      </w:r>
      <w:r>
        <w:rPr>
          <w:color w:val="000000"/>
          <w:sz w:val="24"/>
          <w:szCs w:val="24"/>
        </w:rPr>
        <w:t>1</w:t>
      </w:r>
      <w:r>
        <w:rPr>
          <w:color w:val="000000"/>
          <w:sz w:val="24"/>
          <w:szCs w:val="24"/>
        </w:rPr>
        <w:t>、上述基金业绩指标不包括持有人认购或交易基金的各项费用，计入费用后的实际收益水平要低于所列数字；</w:t>
      </w:r>
      <w:r>
        <w:rPr>
          <w:color w:val="000000"/>
          <w:sz w:val="24"/>
          <w:szCs w:val="24"/>
        </w:rPr>
        <w:t xml:space="preserve"> </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 xml:space="preserve">    2</w:t>
      </w:r>
      <w:r w:rsidRPr="00414345">
        <w:rPr>
          <w:color w:val="000000"/>
          <w:sz w:val="24"/>
          <w:szCs w:val="24"/>
        </w:rPr>
        <w:t>、本期已实现收益指基金本期利息收入、投资收益、其他收入（不含公允价值变动收益）扣除相关费用后的余额，本期利润为本期已实现收益加上本期公允价值变动收益。</w:t>
      </w:r>
      <w:r w:rsidRPr="00414345">
        <w:rPr>
          <w:color w:val="000000"/>
          <w:sz w:val="24"/>
          <w:szCs w:val="24"/>
        </w:rPr>
        <w:t xml:space="preserve"> </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 </w:t>
      </w:r>
      <w:r w:rsidRPr="00414345">
        <w:rPr>
          <w:b/>
          <w:bCs/>
          <w:color w:val="000000"/>
          <w:kern w:val="0"/>
          <w:sz w:val="24"/>
          <w:szCs w:val="24"/>
        </w:rPr>
        <w:t>基金净值表现</w:t>
      </w:r>
    </w:p>
    <w:p w:rsidR="00CF6572"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3.2.1 </w:t>
      </w:r>
      <w:r w:rsidRPr="00414345">
        <w:rPr>
          <w:b/>
          <w:bCs/>
          <w:color w:val="000000"/>
          <w:kern w:val="0"/>
          <w:sz w:val="24"/>
          <w:szCs w:val="24"/>
        </w:rPr>
        <w:t>本报告期基金份额净值增长率及其与同期业绩比较基准收益率的比较</w:t>
      </w:r>
    </w:p>
    <w:tbl>
      <w:tblPr>
        <w:tblStyle w:val="af7"/>
        <w:tblW w:w="8868" w:type="dxa"/>
        <w:jc w:val="center"/>
        <w:tblLayout w:type="fixed"/>
        <w:tblCellMar>
          <w:top w:w="57" w:type="dxa"/>
          <w:bottom w:w="57" w:type="dxa"/>
        </w:tblCellMar>
        <w:tblLook w:val="04A0" w:firstRow="1" w:lastRow="0" w:firstColumn="1" w:lastColumn="0" w:noHBand="0" w:noVBand="1"/>
      </w:tblPr>
      <w:tblGrid>
        <w:gridCol w:w="1701"/>
        <w:gridCol w:w="1045"/>
        <w:gridCol w:w="1344"/>
        <w:gridCol w:w="1194"/>
        <w:gridCol w:w="1492"/>
        <w:gridCol w:w="1194"/>
        <w:gridCol w:w="898"/>
      </w:tblGrid>
      <w:tr w:rsidR="00EF6FA5" w:rsidRPr="00414345" w:rsidTr="00984FB1">
        <w:trPr>
          <w:jc w:val="center"/>
        </w:trPr>
        <w:tc>
          <w:tcPr>
            <w:tcW w:w="1701"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阶段</w:t>
            </w:r>
          </w:p>
        </w:tc>
        <w:tc>
          <w:tcPr>
            <w:tcW w:w="1045"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w:t>
            </w:r>
            <w:r w:rsidRPr="00414345">
              <w:rPr>
                <w:rFonts w:hAnsi="宋体"/>
                <w:color w:val="000000"/>
                <w:sz w:val="24"/>
                <w:szCs w:val="24"/>
              </w:rPr>
              <w:t>①</w:t>
            </w:r>
          </w:p>
        </w:tc>
        <w:tc>
          <w:tcPr>
            <w:tcW w:w="134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净值增长率标准差</w:t>
            </w:r>
            <w:r w:rsidRPr="00414345">
              <w:rPr>
                <w:rFonts w:hAnsi="宋体"/>
                <w:color w:val="000000"/>
                <w:sz w:val="24"/>
                <w:szCs w:val="24"/>
              </w:rPr>
              <w:t>②</w:t>
            </w:r>
          </w:p>
        </w:tc>
        <w:tc>
          <w:tcPr>
            <w:tcW w:w="119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w:t>
            </w:r>
            <w:r w:rsidRPr="00414345">
              <w:rPr>
                <w:rFonts w:hAnsi="宋体"/>
                <w:color w:val="000000"/>
                <w:sz w:val="24"/>
                <w:szCs w:val="24"/>
              </w:rPr>
              <w:t>③</w:t>
            </w:r>
          </w:p>
        </w:tc>
        <w:tc>
          <w:tcPr>
            <w:tcW w:w="1492"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业绩比较基准收益率标准差</w:t>
            </w:r>
            <w:r w:rsidRPr="00414345">
              <w:rPr>
                <w:rFonts w:hAnsi="宋体"/>
                <w:color w:val="000000"/>
                <w:sz w:val="24"/>
                <w:szCs w:val="24"/>
              </w:rPr>
              <w:t>④</w:t>
            </w:r>
          </w:p>
        </w:tc>
        <w:tc>
          <w:tcPr>
            <w:tcW w:w="119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①</w:t>
            </w:r>
            <w:r w:rsidRPr="00414345">
              <w:rPr>
                <w:color w:val="000000"/>
                <w:sz w:val="24"/>
                <w:szCs w:val="24"/>
              </w:rPr>
              <w:t>-</w:t>
            </w:r>
            <w:r w:rsidRPr="00414345">
              <w:rPr>
                <w:rFonts w:hAnsi="宋体"/>
                <w:color w:val="000000"/>
                <w:sz w:val="24"/>
                <w:szCs w:val="24"/>
              </w:rPr>
              <w:t>③</w:t>
            </w:r>
          </w:p>
        </w:tc>
        <w:tc>
          <w:tcPr>
            <w:tcW w:w="898"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②</w:t>
            </w:r>
            <w:r w:rsidRPr="00414345">
              <w:rPr>
                <w:color w:val="000000"/>
                <w:sz w:val="24"/>
                <w:szCs w:val="24"/>
              </w:rPr>
              <w:t>-</w:t>
            </w:r>
            <w:r w:rsidRPr="00414345">
              <w:rPr>
                <w:rFonts w:hAnsi="宋体"/>
                <w:color w:val="000000"/>
                <w:sz w:val="24"/>
                <w:szCs w:val="24"/>
              </w:rPr>
              <w:t>④</w:t>
            </w:r>
          </w:p>
        </w:tc>
      </w:tr>
      <w:tr w:rsidR="00984FB1">
        <w:trPr>
          <w:jc w:val="center"/>
        </w:trPr>
        <w:tc>
          <w:tcPr>
            <w:tcW w:w="1701" w:type="dxa"/>
            <w:vAlign w:val="center"/>
          </w:tcPr>
          <w:p w:rsidR="00984FB1" w:rsidRDefault="00984FB1" w:rsidP="00984FB1">
            <w:pPr>
              <w:jc w:val="left"/>
            </w:pPr>
            <w:r>
              <w:rPr>
                <w:color w:val="000000"/>
                <w:sz w:val="24"/>
                <w:szCs w:val="24"/>
              </w:rPr>
              <w:t>过去三个月</w:t>
            </w:r>
          </w:p>
        </w:tc>
        <w:tc>
          <w:tcPr>
            <w:tcW w:w="1045" w:type="dxa"/>
            <w:vAlign w:val="center"/>
          </w:tcPr>
          <w:p w:rsidR="00984FB1" w:rsidRPr="00984FB1" w:rsidRDefault="00984FB1" w:rsidP="00984FB1">
            <w:pPr>
              <w:widowControl/>
              <w:jc w:val="right"/>
              <w:rPr>
                <w:color w:val="000000"/>
                <w:sz w:val="24"/>
                <w:szCs w:val="24"/>
              </w:rPr>
            </w:pPr>
            <w:r w:rsidRPr="00984FB1">
              <w:rPr>
                <w:color w:val="000000"/>
                <w:sz w:val="24"/>
                <w:szCs w:val="24"/>
              </w:rPr>
              <w:t>17.11%</w:t>
            </w:r>
          </w:p>
        </w:tc>
        <w:tc>
          <w:tcPr>
            <w:tcW w:w="1344" w:type="dxa"/>
            <w:vAlign w:val="center"/>
          </w:tcPr>
          <w:p w:rsidR="00984FB1" w:rsidRPr="00984FB1" w:rsidRDefault="00984FB1" w:rsidP="00984FB1">
            <w:pPr>
              <w:jc w:val="right"/>
              <w:rPr>
                <w:color w:val="000000"/>
                <w:sz w:val="24"/>
                <w:szCs w:val="24"/>
              </w:rPr>
            </w:pPr>
            <w:r w:rsidRPr="00984FB1">
              <w:rPr>
                <w:color w:val="000000"/>
                <w:sz w:val="24"/>
                <w:szCs w:val="24"/>
              </w:rPr>
              <w:t>0.78%</w:t>
            </w:r>
          </w:p>
        </w:tc>
        <w:tc>
          <w:tcPr>
            <w:tcW w:w="1194" w:type="dxa"/>
            <w:vAlign w:val="center"/>
          </w:tcPr>
          <w:p w:rsidR="00984FB1" w:rsidRPr="00984FB1" w:rsidRDefault="00984FB1" w:rsidP="00984FB1">
            <w:pPr>
              <w:jc w:val="right"/>
              <w:rPr>
                <w:color w:val="000000"/>
                <w:sz w:val="24"/>
                <w:szCs w:val="24"/>
              </w:rPr>
            </w:pPr>
            <w:r w:rsidRPr="00984FB1">
              <w:rPr>
                <w:color w:val="000000"/>
                <w:sz w:val="24"/>
                <w:szCs w:val="24"/>
              </w:rPr>
              <w:t>0.94%</w:t>
            </w:r>
          </w:p>
        </w:tc>
        <w:tc>
          <w:tcPr>
            <w:tcW w:w="1492" w:type="dxa"/>
            <w:vAlign w:val="center"/>
          </w:tcPr>
          <w:p w:rsidR="00984FB1" w:rsidRPr="00984FB1" w:rsidRDefault="00984FB1" w:rsidP="00984FB1">
            <w:pPr>
              <w:jc w:val="right"/>
              <w:rPr>
                <w:color w:val="000000"/>
                <w:sz w:val="24"/>
                <w:szCs w:val="24"/>
              </w:rPr>
            </w:pPr>
            <w:r w:rsidRPr="00984FB1">
              <w:rPr>
                <w:color w:val="000000"/>
                <w:sz w:val="24"/>
                <w:szCs w:val="24"/>
              </w:rPr>
              <w:t>0.37%</w:t>
            </w:r>
          </w:p>
        </w:tc>
        <w:tc>
          <w:tcPr>
            <w:tcW w:w="1194" w:type="dxa"/>
            <w:vAlign w:val="center"/>
          </w:tcPr>
          <w:p w:rsidR="00984FB1" w:rsidRPr="00984FB1" w:rsidRDefault="00984FB1" w:rsidP="00984FB1">
            <w:pPr>
              <w:jc w:val="right"/>
              <w:rPr>
                <w:color w:val="000000"/>
                <w:sz w:val="24"/>
                <w:szCs w:val="24"/>
              </w:rPr>
            </w:pPr>
            <w:r w:rsidRPr="00984FB1">
              <w:rPr>
                <w:color w:val="000000"/>
                <w:sz w:val="24"/>
                <w:szCs w:val="24"/>
              </w:rPr>
              <w:t>16.17%</w:t>
            </w:r>
          </w:p>
        </w:tc>
        <w:tc>
          <w:tcPr>
            <w:tcW w:w="898" w:type="dxa"/>
            <w:vAlign w:val="center"/>
          </w:tcPr>
          <w:p w:rsidR="00984FB1" w:rsidRPr="00984FB1" w:rsidRDefault="00984FB1" w:rsidP="00984FB1">
            <w:pPr>
              <w:jc w:val="right"/>
              <w:rPr>
                <w:color w:val="000000"/>
                <w:sz w:val="24"/>
                <w:szCs w:val="24"/>
              </w:rPr>
            </w:pPr>
            <w:r w:rsidRPr="00984FB1">
              <w:rPr>
                <w:color w:val="000000"/>
                <w:sz w:val="24"/>
                <w:szCs w:val="24"/>
              </w:rPr>
              <w:t>0.41%</w:t>
            </w:r>
          </w:p>
        </w:tc>
      </w:tr>
      <w:tr w:rsidR="00984FB1">
        <w:trPr>
          <w:jc w:val="center"/>
        </w:trPr>
        <w:tc>
          <w:tcPr>
            <w:tcW w:w="1701" w:type="dxa"/>
            <w:vAlign w:val="center"/>
          </w:tcPr>
          <w:p w:rsidR="00984FB1" w:rsidRDefault="00984FB1" w:rsidP="00984FB1">
            <w:pPr>
              <w:jc w:val="left"/>
              <w:rPr>
                <w:rFonts w:hint="eastAsia"/>
                <w:color w:val="000000"/>
                <w:sz w:val="24"/>
                <w:szCs w:val="24"/>
              </w:rPr>
            </w:pPr>
            <w:r>
              <w:rPr>
                <w:color w:val="000000"/>
                <w:sz w:val="24"/>
                <w:szCs w:val="24"/>
              </w:rPr>
              <w:t>过去</w:t>
            </w:r>
            <w:r>
              <w:rPr>
                <w:rFonts w:hint="eastAsia"/>
                <w:color w:val="000000"/>
                <w:sz w:val="24"/>
                <w:szCs w:val="24"/>
              </w:rPr>
              <w:t>六个月</w:t>
            </w:r>
          </w:p>
        </w:tc>
        <w:tc>
          <w:tcPr>
            <w:tcW w:w="1045" w:type="dxa"/>
            <w:vAlign w:val="center"/>
          </w:tcPr>
          <w:p w:rsidR="00984FB1" w:rsidRPr="00984FB1" w:rsidRDefault="00984FB1" w:rsidP="00984FB1">
            <w:pPr>
              <w:jc w:val="right"/>
              <w:rPr>
                <w:color w:val="000000"/>
                <w:sz w:val="24"/>
                <w:szCs w:val="24"/>
              </w:rPr>
            </w:pPr>
            <w:r w:rsidRPr="00984FB1">
              <w:rPr>
                <w:color w:val="000000"/>
                <w:sz w:val="24"/>
                <w:szCs w:val="24"/>
              </w:rPr>
              <w:t>24.48%</w:t>
            </w:r>
          </w:p>
        </w:tc>
        <w:tc>
          <w:tcPr>
            <w:tcW w:w="1344" w:type="dxa"/>
            <w:vAlign w:val="center"/>
          </w:tcPr>
          <w:p w:rsidR="00984FB1" w:rsidRPr="00984FB1" w:rsidRDefault="00984FB1" w:rsidP="00984FB1">
            <w:pPr>
              <w:jc w:val="right"/>
              <w:rPr>
                <w:color w:val="000000"/>
                <w:sz w:val="24"/>
                <w:szCs w:val="24"/>
              </w:rPr>
            </w:pPr>
            <w:r w:rsidRPr="00984FB1">
              <w:rPr>
                <w:color w:val="000000"/>
                <w:sz w:val="24"/>
                <w:szCs w:val="24"/>
              </w:rPr>
              <w:t>1.23%</w:t>
            </w:r>
          </w:p>
        </w:tc>
        <w:tc>
          <w:tcPr>
            <w:tcW w:w="1194" w:type="dxa"/>
            <w:vAlign w:val="center"/>
          </w:tcPr>
          <w:p w:rsidR="00984FB1" w:rsidRPr="00984FB1" w:rsidRDefault="00984FB1" w:rsidP="00984FB1">
            <w:pPr>
              <w:jc w:val="right"/>
              <w:rPr>
                <w:color w:val="000000"/>
                <w:sz w:val="24"/>
                <w:szCs w:val="24"/>
              </w:rPr>
            </w:pPr>
            <w:r w:rsidRPr="00984FB1">
              <w:rPr>
                <w:color w:val="000000"/>
                <w:sz w:val="24"/>
                <w:szCs w:val="24"/>
              </w:rPr>
              <w:t>-3.34%</w:t>
            </w:r>
          </w:p>
        </w:tc>
        <w:tc>
          <w:tcPr>
            <w:tcW w:w="1492" w:type="dxa"/>
            <w:vAlign w:val="center"/>
          </w:tcPr>
          <w:p w:rsidR="00984FB1" w:rsidRPr="00984FB1" w:rsidRDefault="00984FB1" w:rsidP="00984FB1">
            <w:pPr>
              <w:jc w:val="right"/>
              <w:rPr>
                <w:color w:val="000000"/>
                <w:sz w:val="24"/>
                <w:szCs w:val="24"/>
              </w:rPr>
            </w:pPr>
            <w:r w:rsidRPr="00984FB1">
              <w:rPr>
                <w:color w:val="000000"/>
                <w:sz w:val="24"/>
                <w:szCs w:val="24"/>
              </w:rPr>
              <w:t>0.69%</w:t>
            </w:r>
          </w:p>
        </w:tc>
        <w:tc>
          <w:tcPr>
            <w:tcW w:w="1194" w:type="dxa"/>
            <w:vAlign w:val="center"/>
          </w:tcPr>
          <w:p w:rsidR="00984FB1" w:rsidRPr="00984FB1" w:rsidRDefault="00984FB1" w:rsidP="00984FB1">
            <w:pPr>
              <w:jc w:val="right"/>
              <w:rPr>
                <w:color w:val="000000"/>
                <w:sz w:val="24"/>
                <w:szCs w:val="24"/>
              </w:rPr>
            </w:pPr>
            <w:r w:rsidRPr="00984FB1">
              <w:rPr>
                <w:color w:val="000000"/>
                <w:sz w:val="24"/>
                <w:szCs w:val="24"/>
              </w:rPr>
              <w:t>27.82%</w:t>
            </w:r>
          </w:p>
        </w:tc>
        <w:tc>
          <w:tcPr>
            <w:tcW w:w="898" w:type="dxa"/>
            <w:vAlign w:val="center"/>
          </w:tcPr>
          <w:p w:rsidR="00984FB1" w:rsidRPr="00984FB1" w:rsidRDefault="00984FB1" w:rsidP="00984FB1">
            <w:pPr>
              <w:jc w:val="right"/>
              <w:rPr>
                <w:color w:val="000000"/>
                <w:sz w:val="24"/>
                <w:szCs w:val="24"/>
              </w:rPr>
            </w:pPr>
            <w:r w:rsidRPr="00984FB1">
              <w:rPr>
                <w:color w:val="000000"/>
                <w:sz w:val="24"/>
                <w:szCs w:val="24"/>
              </w:rPr>
              <w:t>0.54%</w:t>
            </w:r>
          </w:p>
        </w:tc>
      </w:tr>
      <w:tr w:rsidR="00984FB1">
        <w:trPr>
          <w:jc w:val="center"/>
        </w:trPr>
        <w:tc>
          <w:tcPr>
            <w:tcW w:w="1701" w:type="dxa"/>
            <w:vAlign w:val="center"/>
          </w:tcPr>
          <w:p w:rsidR="00984FB1" w:rsidRDefault="00984FB1" w:rsidP="00984FB1">
            <w:pPr>
              <w:jc w:val="left"/>
              <w:rPr>
                <w:rFonts w:hint="eastAsia"/>
                <w:color w:val="000000"/>
                <w:sz w:val="24"/>
                <w:szCs w:val="24"/>
              </w:rPr>
            </w:pPr>
            <w:r>
              <w:rPr>
                <w:color w:val="000000"/>
                <w:sz w:val="24"/>
                <w:szCs w:val="24"/>
              </w:rPr>
              <w:t>过去</w:t>
            </w:r>
            <w:r>
              <w:rPr>
                <w:rFonts w:hint="eastAsia"/>
                <w:color w:val="000000"/>
                <w:sz w:val="24"/>
                <w:szCs w:val="24"/>
              </w:rPr>
              <w:t>一年</w:t>
            </w:r>
          </w:p>
        </w:tc>
        <w:tc>
          <w:tcPr>
            <w:tcW w:w="1045" w:type="dxa"/>
            <w:vAlign w:val="center"/>
          </w:tcPr>
          <w:p w:rsidR="00984FB1" w:rsidRPr="00984FB1" w:rsidRDefault="00984FB1" w:rsidP="00984FB1">
            <w:pPr>
              <w:jc w:val="right"/>
              <w:rPr>
                <w:color w:val="000000"/>
                <w:sz w:val="24"/>
                <w:szCs w:val="24"/>
              </w:rPr>
            </w:pPr>
            <w:r w:rsidRPr="00984FB1">
              <w:rPr>
                <w:color w:val="000000"/>
                <w:sz w:val="24"/>
                <w:szCs w:val="24"/>
              </w:rPr>
              <w:t>50.43%</w:t>
            </w:r>
          </w:p>
        </w:tc>
        <w:tc>
          <w:tcPr>
            <w:tcW w:w="1344" w:type="dxa"/>
            <w:vAlign w:val="center"/>
          </w:tcPr>
          <w:p w:rsidR="00984FB1" w:rsidRPr="00984FB1" w:rsidRDefault="00984FB1" w:rsidP="00984FB1">
            <w:pPr>
              <w:jc w:val="right"/>
              <w:rPr>
                <w:color w:val="000000"/>
                <w:sz w:val="24"/>
                <w:szCs w:val="24"/>
              </w:rPr>
            </w:pPr>
            <w:r w:rsidRPr="00984FB1">
              <w:rPr>
                <w:color w:val="000000"/>
                <w:sz w:val="24"/>
                <w:szCs w:val="24"/>
              </w:rPr>
              <w:t>1.08%</w:t>
            </w:r>
          </w:p>
        </w:tc>
        <w:tc>
          <w:tcPr>
            <w:tcW w:w="1194" w:type="dxa"/>
            <w:vAlign w:val="center"/>
          </w:tcPr>
          <w:p w:rsidR="00984FB1" w:rsidRPr="00984FB1" w:rsidRDefault="00984FB1" w:rsidP="00984FB1">
            <w:pPr>
              <w:jc w:val="right"/>
              <w:rPr>
                <w:color w:val="000000"/>
                <w:sz w:val="24"/>
                <w:szCs w:val="24"/>
              </w:rPr>
            </w:pPr>
            <w:r w:rsidRPr="00984FB1">
              <w:rPr>
                <w:color w:val="000000"/>
                <w:sz w:val="24"/>
                <w:szCs w:val="24"/>
              </w:rPr>
              <w:t>-2.35%</w:t>
            </w:r>
          </w:p>
        </w:tc>
        <w:tc>
          <w:tcPr>
            <w:tcW w:w="1492" w:type="dxa"/>
            <w:vAlign w:val="center"/>
          </w:tcPr>
          <w:p w:rsidR="00984FB1" w:rsidRPr="00984FB1" w:rsidRDefault="00984FB1" w:rsidP="00984FB1">
            <w:pPr>
              <w:jc w:val="right"/>
              <w:rPr>
                <w:color w:val="000000"/>
                <w:sz w:val="24"/>
                <w:szCs w:val="24"/>
              </w:rPr>
            </w:pPr>
            <w:r w:rsidRPr="00984FB1">
              <w:rPr>
                <w:color w:val="000000"/>
                <w:sz w:val="24"/>
                <w:szCs w:val="24"/>
              </w:rPr>
              <w:t>0.56%</w:t>
            </w:r>
          </w:p>
        </w:tc>
        <w:tc>
          <w:tcPr>
            <w:tcW w:w="1194" w:type="dxa"/>
            <w:vAlign w:val="center"/>
          </w:tcPr>
          <w:p w:rsidR="00984FB1" w:rsidRPr="00984FB1" w:rsidRDefault="00984FB1" w:rsidP="00984FB1">
            <w:pPr>
              <w:jc w:val="right"/>
              <w:rPr>
                <w:color w:val="000000"/>
                <w:sz w:val="24"/>
                <w:szCs w:val="24"/>
              </w:rPr>
            </w:pPr>
            <w:r w:rsidRPr="00984FB1">
              <w:rPr>
                <w:color w:val="000000"/>
                <w:sz w:val="24"/>
                <w:szCs w:val="24"/>
              </w:rPr>
              <w:t>52.78%</w:t>
            </w:r>
          </w:p>
        </w:tc>
        <w:tc>
          <w:tcPr>
            <w:tcW w:w="898" w:type="dxa"/>
            <w:vAlign w:val="center"/>
          </w:tcPr>
          <w:p w:rsidR="00984FB1" w:rsidRPr="00984FB1" w:rsidRDefault="00984FB1" w:rsidP="00984FB1">
            <w:pPr>
              <w:jc w:val="right"/>
              <w:rPr>
                <w:color w:val="000000"/>
                <w:sz w:val="24"/>
                <w:szCs w:val="24"/>
              </w:rPr>
            </w:pPr>
            <w:r w:rsidRPr="00984FB1">
              <w:rPr>
                <w:color w:val="000000"/>
                <w:sz w:val="24"/>
                <w:szCs w:val="24"/>
              </w:rPr>
              <w:t>0.52%</w:t>
            </w:r>
          </w:p>
        </w:tc>
      </w:tr>
      <w:tr w:rsidR="00984FB1">
        <w:trPr>
          <w:jc w:val="center"/>
        </w:trPr>
        <w:tc>
          <w:tcPr>
            <w:tcW w:w="1701" w:type="dxa"/>
            <w:vAlign w:val="center"/>
          </w:tcPr>
          <w:p w:rsidR="00984FB1" w:rsidRDefault="00984FB1" w:rsidP="00984FB1">
            <w:pPr>
              <w:jc w:val="left"/>
              <w:rPr>
                <w:rFonts w:hint="eastAsia"/>
                <w:color w:val="000000"/>
                <w:sz w:val="24"/>
                <w:szCs w:val="24"/>
              </w:rPr>
            </w:pPr>
            <w:r>
              <w:rPr>
                <w:color w:val="000000"/>
                <w:sz w:val="24"/>
                <w:szCs w:val="24"/>
              </w:rPr>
              <w:t>过去</w:t>
            </w:r>
            <w:r>
              <w:rPr>
                <w:rFonts w:hint="eastAsia"/>
                <w:color w:val="000000"/>
                <w:sz w:val="24"/>
                <w:szCs w:val="24"/>
              </w:rPr>
              <w:t>三年</w:t>
            </w:r>
          </w:p>
        </w:tc>
        <w:tc>
          <w:tcPr>
            <w:tcW w:w="1045" w:type="dxa"/>
            <w:vAlign w:val="center"/>
          </w:tcPr>
          <w:p w:rsidR="00984FB1" w:rsidRPr="00984FB1" w:rsidRDefault="00984FB1" w:rsidP="00984FB1">
            <w:pPr>
              <w:jc w:val="right"/>
              <w:rPr>
                <w:color w:val="000000"/>
                <w:sz w:val="24"/>
                <w:szCs w:val="24"/>
              </w:rPr>
            </w:pPr>
            <w:r w:rsidRPr="00984FB1">
              <w:rPr>
                <w:color w:val="000000"/>
                <w:sz w:val="24"/>
                <w:szCs w:val="24"/>
              </w:rPr>
              <w:t>113.62%</w:t>
            </w:r>
          </w:p>
        </w:tc>
        <w:tc>
          <w:tcPr>
            <w:tcW w:w="1344" w:type="dxa"/>
            <w:vAlign w:val="center"/>
          </w:tcPr>
          <w:p w:rsidR="00984FB1" w:rsidRPr="00984FB1" w:rsidRDefault="00984FB1" w:rsidP="00984FB1">
            <w:pPr>
              <w:jc w:val="right"/>
              <w:rPr>
                <w:color w:val="000000"/>
                <w:sz w:val="24"/>
                <w:szCs w:val="24"/>
              </w:rPr>
            </w:pPr>
            <w:r w:rsidRPr="00984FB1">
              <w:rPr>
                <w:color w:val="000000"/>
                <w:sz w:val="24"/>
                <w:szCs w:val="24"/>
              </w:rPr>
              <w:t>1</w:t>
            </w:r>
            <w:bookmarkStart w:id="0" w:name="_GoBack"/>
            <w:bookmarkEnd w:id="0"/>
            <w:r w:rsidRPr="00984FB1">
              <w:rPr>
                <w:color w:val="000000"/>
                <w:sz w:val="24"/>
                <w:szCs w:val="24"/>
              </w:rPr>
              <w:t>.13%</w:t>
            </w:r>
          </w:p>
        </w:tc>
        <w:tc>
          <w:tcPr>
            <w:tcW w:w="1194" w:type="dxa"/>
            <w:vAlign w:val="center"/>
          </w:tcPr>
          <w:p w:rsidR="00984FB1" w:rsidRPr="00984FB1" w:rsidRDefault="00984FB1" w:rsidP="00984FB1">
            <w:pPr>
              <w:jc w:val="right"/>
              <w:rPr>
                <w:color w:val="000000"/>
                <w:sz w:val="24"/>
                <w:szCs w:val="24"/>
              </w:rPr>
            </w:pPr>
            <w:r w:rsidRPr="00984FB1">
              <w:rPr>
                <w:color w:val="000000"/>
                <w:sz w:val="24"/>
                <w:szCs w:val="24"/>
              </w:rPr>
              <w:t>-1.12%</w:t>
            </w:r>
          </w:p>
        </w:tc>
        <w:tc>
          <w:tcPr>
            <w:tcW w:w="1492" w:type="dxa"/>
            <w:vAlign w:val="center"/>
          </w:tcPr>
          <w:p w:rsidR="00984FB1" w:rsidRPr="00984FB1" w:rsidRDefault="00984FB1" w:rsidP="00984FB1">
            <w:pPr>
              <w:jc w:val="right"/>
              <w:rPr>
                <w:color w:val="000000"/>
                <w:sz w:val="24"/>
                <w:szCs w:val="24"/>
              </w:rPr>
            </w:pPr>
            <w:r w:rsidRPr="00984FB1">
              <w:rPr>
                <w:color w:val="000000"/>
                <w:sz w:val="24"/>
                <w:szCs w:val="24"/>
              </w:rPr>
              <w:t>0.56%</w:t>
            </w:r>
          </w:p>
        </w:tc>
        <w:tc>
          <w:tcPr>
            <w:tcW w:w="1194" w:type="dxa"/>
            <w:vAlign w:val="center"/>
          </w:tcPr>
          <w:p w:rsidR="00984FB1" w:rsidRPr="00984FB1" w:rsidRDefault="00984FB1" w:rsidP="00984FB1">
            <w:pPr>
              <w:jc w:val="right"/>
              <w:rPr>
                <w:color w:val="000000"/>
                <w:sz w:val="24"/>
                <w:szCs w:val="24"/>
              </w:rPr>
            </w:pPr>
            <w:r w:rsidRPr="00984FB1">
              <w:rPr>
                <w:color w:val="000000"/>
                <w:sz w:val="24"/>
                <w:szCs w:val="24"/>
              </w:rPr>
              <w:t>114.74%</w:t>
            </w:r>
          </w:p>
        </w:tc>
        <w:tc>
          <w:tcPr>
            <w:tcW w:w="898" w:type="dxa"/>
            <w:vAlign w:val="center"/>
          </w:tcPr>
          <w:p w:rsidR="00984FB1" w:rsidRPr="00984FB1" w:rsidRDefault="00984FB1" w:rsidP="00984FB1">
            <w:pPr>
              <w:jc w:val="right"/>
              <w:rPr>
                <w:color w:val="000000"/>
                <w:sz w:val="24"/>
                <w:szCs w:val="24"/>
              </w:rPr>
            </w:pPr>
            <w:r w:rsidRPr="00984FB1">
              <w:rPr>
                <w:color w:val="000000"/>
                <w:sz w:val="24"/>
                <w:szCs w:val="24"/>
              </w:rPr>
              <w:t>0.57%</w:t>
            </w:r>
          </w:p>
        </w:tc>
      </w:tr>
      <w:tr w:rsidR="00984FB1">
        <w:trPr>
          <w:jc w:val="center"/>
        </w:trPr>
        <w:tc>
          <w:tcPr>
            <w:tcW w:w="1701" w:type="dxa"/>
            <w:vAlign w:val="center"/>
          </w:tcPr>
          <w:p w:rsidR="00984FB1" w:rsidRDefault="00984FB1" w:rsidP="00984FB1">
            <w:pPr>
              <w:jc w:val="left"/>
              <w:rPr>
                <w:rFonts w:hint="eastAsia"/>
                <w:color w:val="000000"/>
                <w:sz w:val="24"/>
                <w:szCs w:val="24"/>
              </w:rPr>
            </w:pPr>
            <w:r>
              <w:rPr>
                <w:color w:val="000000"/>
                <w:sz w:val="24"/>
                <w:szCs w:val="24"/>
              </w:rPr>
              <w:t>过去</w:t>
            </w:r>
            <w:r>
              <w:rPr>
                <w:rFonts w:hint="eastAsia"/>
                <w:color w:val="000000"/>
                <w:sz w:val="24"/>
                <w:szCs w:val="24"/>
              </w:rPr>
              <w:t>五年</w:t>
            </w:r>
          </w:p>
        </w:tc>
        <w:tc>
          <w:tcPr>
            <w:tcW w:w="1045" w:type="dxa"/>
            <w:vAlign w:val="center"/>
          </w:tcPr>
          <w:p w:rsidR="00984FB1" w:rsidRPr="00984FB1" w:rsidRDefault="00984FB1" w:rsidP="00984FB1">
            <w:pPr>
              <w:jc w:val="right"/>
              <w:rPr>
                <w:color w:val="000000"/>
                <w:sz w:val="24"/>
                <w:szCs w:val="24"/>
              </w:rPr>
            </w:pPr>
            <w:r w:rsidRPr="00984FB1">
              <w:rPr>
                <w:color w:val="000000"/>
                <w:sz w:val="24"/>
                <w:szCs w:val="24"/>
              </w:rPr>
              <w:t>151.56%</w:t>
            </w:r>
          </w:p>
        </w:tc>
        <w:tc>
          <w:tcPr>
            <w:tcW w:w="1344" w:type="dxa"/>
            <w:vAlign w:val="center"/>
          </w:tcPr>
          <w:p w:rsidR="00984FB1" w:rsidRPr="00984FB1" w:rsidRDefault="00984FB1" w:rsidP="00984FB1">
            <w:pPr>
              <w:jc w:val="right"/>
              <w:rPr>
                <w:color w:val="000000"/>
                <w:sz w:val="24"/>
                <w:szCs w:val="24"/>
              </w:rPr>
            </w:pPr>
            <w:r w:rsidRPr="00984FB1">
              <w:rPr>
                <w:color w:val="000000"/>
                <w:sz w:val="24"/>
                <w:szCs w:val="24"/>
              </w:rPr>
              <w:t>1.26%</w:t>
            </w:r>
          </w:p>
        </w:tc>
        <w:tc>
          <w:tcPr>
            <w:tcW w:w="1194" w:type="dxa"/>
            <w:vAlign w:val="center"/>
          </w:tcPr>
          <w:p w:rsidR="00984FB1" w:rsidRPr="00984FB1" w:rsidRDefault="00984FB1" w:rsidP="00984FB1">
            <w:pPr>
              <w:jc w:val="right"/>
              <w:rPr>
                <w:color w:val="000000"/>
                <w:sz w:val="24"/>
                <w:szCs w:val="24"/>
              </w:rPr>
            </w:pPr>
            <w:r w:rsidRPr="00984FB1">
              <w:rPr>
                <w:color w:val="000000"/>
                <w:sz w:val="24"/>
                <w:szCs w:val="24"/>
              </w:rPr>
              <w:t>-5.49%</w:t>
            </w:r>
          </w:p>
        </w:tc>
        <w:tc>
          <w:tcPr>
            <w:tcW w:w="1492" w:type="dxa"/>
            <w:vAlign w:val="center"/>
          </w:tcPr>
          <w:p w:rsidR="00984FB1" w:rsidRPr="00984FB1" w:rsidRDefault="00984FB1" w:rsidP="00984FB1">
            <w:pPr>
              <w:jc w:val="right"/>
              <w:rPr>
                <w:color w:val="000000"/>
                <w:sz w:val="24"/>
                <w:szCs w:val="24"/>
              </w:rPr>
            </w:pPr>
            <w:r w:rsidRPr="00984FB1">
              <w:rPr>
                <w:color w:val="000000"/>
                <w:sz w:val="24"/>
                <w:szCs w:val="24"/>
              </w:rPr>
              <w:t>0.72%</w:t>
            </w:r>
          </w:p>
        </w:tc>
        <w:tc>
          <w:tcPr>
            <w:tcW w:w="1194" w:type="dxa"/>
            <w:vAlign w:val="center"/>
          </w:tcPr>
          <w:p w:rsidR="00984FB1" w:rsidRPr="00984FB1" w:rsidRDefault="00984FB1" w:rsidP="00984FB1">
            <w:pPr>
              <w:jc w:val="right"/>
              <w:rPr>
                <w:color w:val="000000"/>
                <w:sz w:val="24"/>
                <w:szCs w:val="24"/>
              </w:rPr>
            </w:pPr>
            <w:r w:rsidRPr="00984FB1">
              <w:rPr>
                <w:color w:val="000000"/>
                <w:sz w:val="24"/>
                <w:szCs w:val="24"/>
              </w:rPr>
              <w:t>157.05%</w:t>
            </w:r>
          </w:p>
        </w:tc>
        <w:tc>
          <w:tcPr>
            <w:tcW w:w="898" w:type="dxa"/>
            <w:vAlign w:val="center"/>
          </w:tcPr>
          <w:p w:rsidR="00984FB1" w:rsidRPr="00984FB1" w:rsidRDefault="00984FB1" w:rsidP="00984FB1">
            <w:pPr>
              <w:jc w:val="right"/>
              <w:rPr>
                <w:color w:val="000000"/>
                <w:sz w:val="24"/>
                <w:szCs w:val="24"/>
              </w:rPr>
            </w:pPr>
            <w:r w:rsidRPr="00984FB1">
              <w:rPr>
                <w:color w:val="000000"/>
                <w:sz w:val="24"/>
                <w:szCs w:val="24"/>
              </w:rPr>
              <w:t>0.54%</w:t>
            </w:r>
          </w:p>
        </w:tc>
      </w:tr>
      <w:tr w:rsidR="00984FB1">
        <w:trPr>
          <w:jc w:val="center"/>
        </w:trPr>
        <w:tc>
          <w:tcPr>
            <w:tcW w:w="1701" w:type="dxa"/>
            <w:vAlign w:val="center"/>
          </w:tcPr>
          <w:p w:rsidR="00984FB1" w:rsidRDefault="00984FB1" w:rsidP="00984FB1">
            <w:pPr>
              <w:jc w:val="left"/>
              <w:rPr>
                <w:rFonts w:hint="eastAsia"/>
                <w:color w:val="000000"/>
                <w:sz w:val="24"/>
                <w:szCs w:val="24"/>
              </w:rPr>
            </w:pPr>
            <w:r>
              <w:rPr>
                <w:rFonts w:hint="eastAsia"/>
                <w:color w:val="000000"/>
                <w:sz w:val="24"/>
                <w:szCs w:val="24"/>
              </w:rPr>
              <w:t>自</w:t>
            </w:r>
            <w:r>
              <w:rPr>
                <w:color w:val="000000"/>
                <w:sz w:val="24"/>
                <w:szCs w:val="24"/>
              </w:rPr>
              <w:t>基金合同</w:t>
            </w:r>
            <w:r>
              <w:rPr>
                <w:rFonts w:hint="eastAsia"/>
                <w:color w:val="000000"/>
                <w:sz w:val="24"/>
                <w:szCs w:val="24"/>
              </w:rPr>
              <w:t>生效</w:t>
            </w:r>
            <w:r>
              <w:rPr>
                <w:color w:val="000000"/>
                <w:sz w:val="24"/>
                <w:szCs w:val="24"/>
              </w:rPr>
              <w:t>起至今</w:t>
            </w:r>
          </w:p>
        </w:tc>
        <w:tc>
          <w:tcPr>
            <w:tcW w:w="1045" w:type="dxa"/>
            <w:vAlign w:val="center"/>
          </w:tcPr>
          <w:p w:rsidR="00984FB1" w:rsidRPr="00984FB1" w:rsidRDefault="00984FB1" w:rsidP="00984FB1">
            <w:pPr>
              <w:jc w:val="right"/>
              <w:rPr>
                <w:color w:val="000000"/>
                <w:sz w:val="24"/>
                <w:szCs w:val="24"/>
              </w:rPr>
            </w:pPr>
            <w:r w:rsidRPr="00984FB1">
              <w:rPr>
                <w:color w:val="000000"/>
                <w:sz w:val="24"/>
                <w:szCs w:val="24"/>
              </w:rPr>
              <w:t>368.90%</w:t>
            </w:r>
          </w:p>
        </w:tc>
        <w:tc>
          <w:tcPr>
            <w:tcW w:w="1344" w:type="dxa"/>
            <w:vAlign w:val="center"/>
          </w:tcPr>
          <w:p w:rsidR="00984FB1" w:rsidRPr="00984FB1" w:rsidRDefault="00984FB1" w:rsidP="00984FB1">
            <w:pPr>
              <w:jc w:val="right"/>
              <w:rPr>
                <w:color w:val="000000"/>
                <w:sz w:val="24"/>
                <w:szCs w:val="24"/>
              </w:rPr>
            </w:pPr>
            <w:r w:rsidRPr="00984FB1">
              <w:rPr>
                <w:color w:val="000000"/>
                <w:sz w:val="24"/>
                <w:szCs w:val="24"/>
              </w:rPr>
              <w:t>1.26%</w:t>
            </w:r>
          </w:p>
        </w:tc>
        <w:tc>
          <w:tcPr>
            <w:tcW w:w="1194" w:type="dxa"/>
            <w:vAlign w:val="center"/>
          </w:tcPr>
          <w:p w:rsidR="00984FB1" w:rsidRPr="00984FB1" w:rsidRDefault="00984FB1" w:rsidP="00984FB1">
            <w:pPr>
              <w:jc w:val="right"/>
              <w:rPr>
                <w:color w:val="000000"/>
                <w:sz w:val="24"/>
                <w:szCs w:val="24"/>
              </w:rPr>
            </w:pPr>
            <w:r w:rsidRPr="00984FB1">
              <w:rPr>
                <w:color w:val="000000"/>
                <w:sz w:val="24"/>
                <w:szCs w:val="24"/>
              </w:rPr>
              <w:t>45.84%</w:t>
            </w:r>
          </w:p>
        </w:tc>
        <w:tc>
          <w:tcPr>
            <w:tcW w:w="1492" w:type="dxa"/>
            <w:vAlign w:val="center"/>
          </w:tcPr>
          <w:p w:rsidR="00984FB1" w:rsidRPr="00984FB1" w:rsidRDefault="00984FB1" w:rsidP="00984FB1">
            <w:pPr>
              <w:jc w:val="right"/>
              <w:rPr>
                <w:color w:val="000000"/>
                <w:sz w:val="24"/>
                <w:szCs w:val="24"/>
              </w:rPr>
            </w:pPr>
            <w:r w:rsidRPr="00984FB1">
              <w:rPr>
                <w:color w:val="000000"/>
                <w:sz w:val="24"/>
                <w:szCs w:val="24"/>
              </w:rPr>
              <w:t>0.74%</w:t>
            </w:r>
          </w:p>
        </w:tc>
        <w:tc>
          <w:tcPr>
            <w:tcW w:w="1194" w:type="dxa"/>
            <w:vAlign w:val="center"/>
          </w:tcPr>
          <w:p w:rsidR="00984FB1" w:rsidRPr="00984FB1" w:rsidRDefault="00984FB1" w:rsidP="00984FB1">
            <w:pPr>
              <w:jc w:val="right"/>
              <w:rPr>
                <w:color w:val="000000"/>
                <w:sz w:val="24"/>
                <w:szCs w:val="24"/>
              </w:rPr>
            </w:pPr>
            <w:r w:rsidRPr="00984FB1">
              <w:rPr>
                <w:color w:val="000000"/>
                <w:sz w:val="24"/>
                <w:szCs w:val="24"/>
              </w:rPr>
              <w:t>323.06%</w:t>
            </w:r>
          </w:p>
        </w:tc>
        <w:tc>
          <w:tcPr>
            <w:tcW w:w="898" w:type="dxa"/>
            <w:vAlign w:val="center"/>
          </w:tcPr>
          <w:p w:rsidR="00984FB1" w:rsidRPr="00984FB1" w:rsidRDefault="00984FB1" w:rsidP="00984FB1">
            <w:pPr>
              <w:jc w:val="right"/>
              <w:rPr>
                <w:color w:val="000000"/>
                <w:sz w:val="24"/>
                <w:szCs w:val="24"/>
              </w:rPr>
            </w:pPr>
            <w:r w:rsidRPr="00984FB1">
              <w:rPr>
                <w:color w:val="000000"/>
                <w:sz w:val="24"/>
                <w:szCs w:val="24"/>
              </w:rPr>
              <w:t>0.52%</w:t>
            </w:r>
          </w:p>
        </w:tc>
      </w:tr>
    </w:tbl>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3.2.2</w:t>
      </w:r>
      <w:r w:rsidR="000824E7" w:rsidRPr="00F81917">
        <w:rPr>
          <w:rFonts w:hint="eastAsia"/>
          <w:b/>
          <w:bCs/>
          <w:color w:val="000000"/>
          <w:kern w:val="0"/>
          <w:sz w:val="24"/>
          <w:szCs w:val="24"/>
        </w:rPr>
        <w:t>自基金合同生效以来</w:t>
      </w:r>
      <w:r w:rsidR="00C6002A" w:rsidRPr="00F81917">
        <w:rPr>
          <w:b/>
          <w:bCs/>
          <w:color w:val="000000"/>
          <w:kern w:val="0"/>
          <w:sz w:val="24"/>
          <w:szCs w:val="24"/>
        </w:rPr>
        <w:t>基</w:t>
      </w:r>
      <w:r w:rsidR="00C6002A" w:rsidRPr="00414345">
        <w:rPr>
          <w:b/>
          <w:bCs/>
          <w:color w:val="000000"/>
          <w:sz w:val="24"/>
        </w:rPr>
        <w:t>金份额累计净值增长率变动及其与同期业绩比较基准收益率变动的比较</w:t>
      </w:r>
    </w:p>
    <w:p w:rsidR="008606B6" w:rsidRPr="00414345" w:rsidRDefault="008606B6" w:rsidP="00C15CAC">
      <w:pPr>
        <w:spacing w:before="29" w:line="288" w:lineRule="auto"/>
        <w:jc w:val="center"/>
        <w:rPr>
          <w:color w:val="000000"/>
          <w:sz w:val="24"/>
          <w:szCs w:val="24"/>
        </w:rPr>
      </w:pPr>
      <w:r w:rsidRPr="00414345">
        <w:rPr>
          <w:color w:val="000000"/>
          <w:sz w:val="24"/>
          <w:szCs w:val="24"/>
        </w:rPr>
        <w:t>交银施罗德定期支付双息平衡混合型证券投资基金</w:t>
      </w:r>
    </w:p>
    <w:p w:rsidR="004061AC" w:rsidRPr="00414345" w:rsidRDefault="00B56F53" w:rsidP="00C15CAC">
      <w:pPr>
        <w:pStyle w:val="a5"/>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color w:val="000000"/>
          <w:sz w:val="24"/>
          <w:szCs w:val="24"/>
        </w:rPr>
        <w:t>份额累计净值增长率与业绩比较基准收益率历史走势对比图</w:t>
      </w:r>
    </w:p>
    <w:p w:rsidR="00AE7962" w:rsidRPr="00414345" w:rsidRDefault="00DE4B43" w:rsidP="00C15CAC">
      <w:pPr>
        <w:pStyle w:val="a5"/>
        <w:snapToGrid w:val="0"/>
        <w:spacing w:before="29" w:line="288" w:lineRule="auto"/>
        <w:ind w:firstLine="480"/>
        <w:jc w:val="center"/>
        <w:rPr>
          <w:rFonts w:ascii="Times New Roman" w:hAnsi="Times New Roman" w:cs="Times New Roman"/>
          <w:sz w:val="24"/>
          <w:szCs w:val="24"/>
        </w:rPr>
      </w:pPr>
      <w:r w:rsidRPr="00414345">
        <w:rPr>
          <w:rFonts w:ascii="Times New Roman" w:hAnsi="Times New Roman" w:cs="Times New Roman"/>
          <w:color w:val="000000"/>
          <w:sz w:val="24"/>
          <w:szCs w:val="24"/>
        </w:rPr>
        <w:t>（</w:t>
      </w:r>
      <w:r w:rsidR="0042009D" w:rsidRPr="00414345">
        <w:rPr>
          <w:rFonts w:ascii="Times New Roman" w:hAnsi="Times New Roman" w:cs="Times New Roman"/>
          <w:sz w:val="24"/>
          <w:szCs w:val="24"/>
        </w:rPr>
        <w:t>2013</w:t>
      </w:r>
      <w:r w:rsidR="0042009D" w:rsidRPr="00414345">
        <w:rPr>
          <w:rFonts w:ascii="Times New Roman" w:hAnsi="Times New Roman" w:cs="Times New Roman"/>
          <w:sz w:val="24"/>
          <w:szCs w:val="24"/>
        </w:rPr>
        <w:t>年</w:t>
      </w:r>
      <w:r w:rsidR="0042009D" w:rsidRPr="00414345">
        <w:rPr>
          <w:rFonts w:ascii="Times New Roman" w:hAnsi="Times New Roman" w:cs="Times New Roman"/>
          <w:sz w:val="24"/>
          <w:szCs w:val="24"/>
        </w:rPr>
        <w:t>9</w:t>
      </w:r>
      <w:r w:rsidR="0042009D" w:rsidRPr="00414345">
        <w:rPr>
          <w:rFonts w:ascii="Times New Roman" w:hAnsi="Times New Roman" w:cs="Times New Roman"/>
          <w:sz w:val="24"/>
          <w:szCs w:val="24"/>
        </w:rPr>
        <w:t>月</w:t>
      </w:r>
      <w:r w:rsidR="0042009D" w:rsidRPr="00414345">
        <w:rPr>
          <w:rFonts w:ascii="Times New Roman" w:hAnsi="Times New Roman" w:cs="Times New Roman"/>
          <w:sz w:val="24"/>
          <w:szCs w:val="24"/>
        </w:rPr>
        <w:t>4</w:t>
      </w:r>
      <w:r w:rsidR="0042009D" w:rsidRPr="00414345">
        <w:rPr>
          <w:rFonts w:ascii="Times New Roman" w:hAnsi="Times New Roman" w:cs="Times New Roman"/>
          <w:sz w:val="24"/>
          <w:szCs w:val="24"/>
        </w:rPr>
        <w:t>日</w:t>
      </w:r>
      <w:r w:rsidR="00AE7962" w:rsidRPr="00414345">
        <w:rPr>
          <w:rFonts w:ascii="Times New Roman" w:hAnsi="Times New Roman" w:cs="Times New Roman"/>
          <w:sz w:val="24"/>
          <w:szCs w:val="24"/>
        </w:rPr>
        <w:t>至</w:t>
      </w:r>
      <w:r w:rsidR="00AE7962" w:rsidRPr="00414345">
        <w:rPr>
          <w:rFonts w:ascii="Times New Roman" w:hAnsi="Times New Roman" w:cs="Times New Roman"/>
          <w:sz w:val="24"/>
          <w:szCs w:val="24"/>
        </w:rPr>
        <w:t>2020</w:t>
      </w:r>
      <w:r w:rsidR="00AE7962" w:rsidRPr="00414345">
        <w:rPr>
          <w:rFonts w:ascii="Times New Roman" w:hAnsi="Times New Roman" w:cs="Times New Roman"/>
          <w:sz w:val="24"/>
          <w:szCs w:val="24"/>
        </w:rPr>
        <w:t>年</w:t>
      </w:r>
      <w:r w:rsidR="00AE7962" w:rsidRPr="00414345">
        <w:rPr>
          <w:rFonts w:ascii="Times New Roman" w:hAnsi="Times New Roman" w:cs="Times New Roman"/>
          <w:sz w:val="24"/>
          <w:szCs w:val="24"/>
        </w:rPr>
        <w:t>6</w:t>
      </w:r>
      <w:r w:rsidR="00AE7962" w:rsidRPr="00414345">
        <w:rPr>
          <w:rFonts w:ascii="Times New Roman" w:hAnsi="Times New Roman" w:cs="Times New Roman"/>
          <w:sz w:val="24"/>
          <w:szCs w:val="24"/>
        </w:rPr>
        <w:t>月</w:t>
      </w:r>
      <w:r w:rsidR="00AE7962" w:rsidRPr="00414345">
        <w:rPr>
          <w:rFonts w:ascii="Times New Roman" w:hAnsi="Times New Roman" w:cs="Times New Roman"/>
          <w:sz w:val="24"/>
          <w:szCs w:val="24"/>
        </w:rPr>
        <w:t>30</w:t>
      </w:r>
      <w:r w:rsidR="00AE7962" w:rsidRPr="00414345">
        <w:rPr>
          <w:rFonts w:ascii="Times New Roman" w:hAnsi="Times New Roman" w:cs="Times New Roman"/>
          <w:sz w:val="24"/>
          <w:szCs w:val="24"/>
        </w:rPr>
        <w:t>日</w:t>
      </w:r>
      <w:r w:rsidRPr="00414345">
        <w:rPr>
          <w:rFonts w:ascii="Times New Roman" w:hAnsi="Times New Roman" w:cs="Times New Roman"/>
          <w:color w:val="000000"/>
          <w:sz w:val="24"/>
          <w:szCs w:val="24"/>
        </w:rPr>
        <w:t>）</w:t>
      </w:r>
    </w:p>
    <w:p w:rsidR="004061AC" w:rsidRPr="00414345" w:rsidRDefault="00B816A7" w:rsidP="00C15CAC">
      <w:pPr>
        <w:pStyle w:val="a5"/>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noProof/>
          <w:color w:val="000000"/>
          <w:sz w:val="24"/>
          <w:szCs w:val="24"/>
        </w:rPr>
        <w:lastRenderedPageBreak/>
        <w:drawing>
          <wp:inline distT="0" distB="0" distL="0" distR="0">
            <wp:extent cx="5731510" cy="3356610"/>
            <wp:effectExtent l="19050" t="0" r="2540" b="0"/>
            <wp:docPr id="3" name="图片 2"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4" cstate="print"/>
                    <a:stretch>
                      <a:fillRect/>
                    </a:stretch>
                  </pic:blipFill>
                  <pic:spPr>
                    <a:xfrm>
                      <a:off x="0" y="0"/>
                      <a:ext cx="5731510" cy="3356610"/>
                    </a:xfrm>
                    <a:prstGeom prst="rect">
                      <a:avLst/>
                    </a:prstGeom>
                  </pic:spPr>
                </pic:pic>
              </a:graphicData>
            </a:graphic>
          </wp:inline>
        </w:drawing>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注：本基金建仓期为自基金合同生效日起的</w:t>
      </w:r>
      <w:r w:rsidRPr="00414345">
        <w:rPr>
          <w:color w:val="000000"/>
          <w:sz w:val="24"/>
          <w:szCs w:val="24"/>
        </w:rPr>
        <w:t>6</w:t>
      </w:r>
      <w:r w:rsidRPr="00414345">
        <w:rPr>
          <w:color w:val="000000"/>
          <w:sz w:val="24"/>
          <w:szCs w:val="24"/>
        </w:rPr>
        <w:t>个月。截至建仓期结束，本基金各项资产配置比例符合基金合同及招募说明书有关投资比例的约定。</w:t>
      </w:r>
    </w:p>
    <w:p w:rsidR="00957594" w:rsidRPr="00414345" w:rsidRDefault="00957594" w:rsidP="00C15CAC">
      <w:pPr>
        <w:tabs>
          <w:tab w:val="left" w:pos="1800"/>
        </w:tabs>
        <w:spacing w:before="29" w:line="288" w:lineRule="auto"/>
        <w:rPr>
          <w:color w:val="000000"/>
          <w:sz w:val="24"/>
          <w:szCs w:val="24"/>
        </w:rPr>
      </w:pPr>
    </w:p>
    <w:p w:rsidR="00693843" w:rsidRPr="00414345" w:rsidRDefault="00693843" w:rsidP="00C15CAC">
      <w:pPr>
        <w:tabs>
          <w:tab w:val="left" w:pos="1800"/>
        </w:tabs>
        <w:spacing w:before="29" w:line="288" w:lineRule="auto"/>
        <w:rPr>
          <w:color w:val="000000"/>
          <w:sz w:val="24"/>
          <w:szCs w:val="24"/>
        </w:rPr>
      </w:pP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§4  </w:t>
      </w:r>
      <w:r w:rsidRPr="00414345">
        <w:rPr>
          <w:color w:val="000000"/>
          <w:kern w:val="0"/>
          <w:sz w:val="24"/>
          <w:szCs w:val="24"/>
        </w:rPr>
        <w:t>管理人报告</w:t>
      </w:r>
    </w:p>
    <w:p w:rsidR="00B12B7D"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4.1 </w:t>
      </w:r>
      <w:r w:rsidRPr="00414345">
        <w:rPr>
          <w:b/>
          <w:bCs/>
          <w:color w:val="000000"/>
          <w:kern w:val="0"/>
          <w:sz w:val="24"/>
          <w:szCs w:val="24"/>
        </w:rPr>
        <w:t>基金经理</w:t>
      </w:r>
      <w:r w:rsidR="00333AD0" w:rsidRPr="00414345">
        <w:rPr>
          <w:b/>
          <w:color w:val="000000"/>
          <w:kern w:val="0"/>
          <w:sz w:val="24"/>
        </w:rPr>
        <w:t>（</w:t>
      </w:r>
      <w:r w:rsidRPr="00414345">
        <w:rPr>
          <w:b/>
          <w:bCs/>
          <w:color w:val="000000"/>
          <w:kern w:val="0"/>
          <w:sz w:val="24"/>
          <w:szCs w:val="24"/>
        </w:rPr>
        <w:t>或基金经理小组</w:t>
      </w:r>
      <w:r w:rsidR="00333AD0" w:rsidRPr="00414345">
        <w:rPr>
          <w:b/>
          <w:color w:val="000000"/>
          <w:kern w:val="0"/>
          <w:sz w:val="24"/>
        </w:rPr>
        <w:t>）</w:t>
      </w:r>
      <w:r w:rsidRPr="00414345">
        <w:rPr>
          <w:b/>
          <w:bCs/>
          <w:color w:val="000000"/>
          <w:kern w:val="0"/>
          <w:sz w:val="24"/>
          <w:szCs w:val="24"/>
        </w:rPr>
        <w:t>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845"/>
        <w:gridCol w:w="1549"/>
        <w:gridCol w:w="1548"/>
        <w:gridCol w:w="1407"/>
        <w:gridCol w:w="2673"/>
      </w:tblGrid>
      <w:tr w:rsidR="00286BEF" w:rsidRPr="00414345" w:rsidTr="006A10AB">
        <w:trPr>
          <w:trHeight w:val="292"/>
          <w:jc w:val="center"/>
        </w:trPr>
        <w:tc>
          <w:tcPr>
            <w:tcW w:w="851"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姓名</w:t>
            </w:r>
          </w:p>
        </w:tc>
        <w:tc>
          <w:tcPr>
            <w:tcW w:w="850"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职务</w:t>
            </w:r>
          </w:p>
        </w:tc>
        <w:tc>
          <w:tcPr>
            <w:tcW w:w="3119" w:type="dxa"/>
            <w:gridSpan w:val="2"/>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任本基金的基金经理期限</w:t>
            </w:r>
          </w:p>
        </w:tc>
        <w:tc>
          <w:tcPr>
            <w:tcW w:w="1417" w:type="dxa"/>
            <w:vMerge w:val="restart"/>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证券从业年限</w:t>
            </w:r>
          </w:p>
        </w:tc>
        <w:tc>
          <w:tcPr>
            <w:tcW w:w="2694"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说明</w:t>
            </w:r>
          </w:p>
        </w:tc>
      </w:tr>
      <w:tr w:rsidR="00D13737" w:rsidRPr="00414345" w:rsidTr="006A10AB">
        <w:trPr>
          <w:jc w:val="center"/>
        </w:trPr>
        <w:tc>
          <w:tcPr>
            <w:tcW w:w="851"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850"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1560"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任职日期</w:t>
            </w:r>
          </w:p>
        </w:tc>
        <w:tc>
          <w:tcPr>
            <w:tcW w:w="1559"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离任日期</w:t>
            </w:r>
          </w:p>
        </w:tc>
        <w:tc>
          <w:tcPr>
            <w:tcW w:w="1417"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2694" w:type="dxa"/>
            <w:vMerge/>
            <w:vAlign w:val="center"/>
          </w:tcPr>
          <w:p w:rsidR="004061AC" w:rsidRPr="00414345" w:rsidRDefault="004061AC" w:rsidP="00C15CAC">
            <w:pPr>
              <w:widowControl/>
              <w:spacing w:before="29" w:line="288" w:lineRule="auto"/>
              <w:jc w:val="left"/>
              <w:rPr>
                <w:color w:val="000000"/>
                <w:kern w:val="0"/>
                <w:sz w:val="24"/>
                <w:szCs w:val="24"/>
              </w:rPr>
            </w:pPr>
          </w:p>
        </w:tc>
      </w:tr>
      <w:tr w:rsidR="00543832">
        <w:trPr>
          <w:jc w:val="center"/>
        </w:trPr>
        <w:tc>
          <w:tcPr>
            <w:tcW w:w="846" w:type="dxa"/>
            <w:vAlign w:val="center"/>
          </w:tcPr>
          <w:p w:rsidR="00543832" w:rsidRDefault="00984FB1">
            <w:pPr>
              <w:jc w:val="center"/>
            </w:pPr>
            <w:r>
              <w:rPr>
                <w:color w:val="000000"/>
                <w:sz w:val="24"/>
                <w:szCs w:val="24"/>
              </w:rPr>
              <w:t>杨浩</w:t>
            </w:r>
          </w:p>
        </w:tc>
        <w:tc>
          <w:tcPr>
            <w:tcW w:w="845" w:type="dxa"/>
            <w:vAlign w:val="center"/>
          </w:tcPr>
          <w:p w:rsidR="00543832" w:rsidRDefault="00984FB1">
            <w:pPr>
              <w:jc w:val="center"/>
            </w:pPr>
            <w:r>
              <w:rPr>
                <w:color w:val="000000"/>
                <w:sz w:val="24"/>
                <w:szCs w:val="24"/>
              </w:rPr>
              <w:t>交银定期支付双息平衡混合、交银新生活力灵活配置混合、交银内核驱动</w:t>
            </w:r>
            <w:r>
              <w:rPr>
                <w:color w:val="000000"/>
                <w:sz w:val="24"/>
                <w:szCs w:val="24"/>
              </w:rPr>
              <w:lastRenderedPageBreak/>
              <w:t>混合、交银科锐科技创新混合的基金经理</w:t>
            </w:r>
          </w:p>
        </w:tc>
        <w:tc>
          <w:tcPr>
            <w:tcW w:w="1549" w:type="dxa"/>
            <w:vAlign w:val="center"/>
          </w:tcPr>
          <w:p w:rsidR="00543832" w:rsidRDefault="00984FB1">
            <w:pPr>
              <w:jc w:val="center"/>
            </w:pPr>
            <w:r>
              <w:rPr>
                <w:color w:val="000000"/>
                <w:sz w:val="24"/>
                <w:szCs w:val="24"/>
              </w:rPr>
              <w:lastRenderedPageBreak/>
              <w:t>2015-08-15</w:t>
            </w:r>
          </w:p>
        </w:tc>
        <w:tc>
          <w:tcPr>
            <w:tcW w:w="1548" w:type="dxa"/>
            <w:vAlign w:val="center"/>
          </w:tcPr>
          <w:p w:rsidR="00543832" w:rsidRDefault="00984FB1">
            <w:pPr>
              <w:jc w:val="center"/>
            </w:pPr>
            <w:r>
              <w:rPr>
                <w:color w:val="000000"/>
                <w:sz w:val="24"/>
                <w:szCs w:val="24"/>
              </w:rPr>
              <w:t>-</w:t>
            </w:r>
          </w:p>
        </w:tc>
        <w:tc>
          <w:tcPr>
            <w:tcW w:w="1407" w:type="dxa"/>
            <w:vAlign w:val="center"/>
          </w:tcPr>
          <w:p w:rsidR="00543832" w:rsidRDefault="00984FB1">
            <w:pPr>
              <w:jc w:val="center"/>
            </w:pPr>
            <w:r>
              <w:rPr>
                <w:color w:val="000000"/>
                <w:sz w:val="24"/>
                <w:szCs w:val="24"/>
              </w:rPr>
              <w:t>10</w:t>
            </w:r>
            <w:r>
              <w:rPr>
                <w:color w:val="000000"/>
                <w:sz w:val="24"/>
                <w:szCs w:val="24"/>
              </w:rPr>
              <w:t>年</w:t>
            </w:r>
          </w:p>
        </w:tc>
        <w:tc>
          <w:tcPr>
            <w:tcW w:w="2673" w:type="dxa"/>
            <w:vAlign w:val="center"/>
          </w:tcPr>
          <w:p w:rsidR="00543832" w:rsidRDefault="00984FB1">
            <w:r>
              <w:rPr>
                <w:color w:val="000000"/>
                <w:sz w:val="24"/>
                <w:szCs w:val="24"/>
              </w:rPr>
              <w:t>杨浩先生，北京邮电大学通信与信息系统专业硕士。</w:t>
            </w:r>
            <w:r>
              <w:rPr>
                <w:color w:val="000000"/>
                <w:sz w:val="24"/>
                <w:szCs w:val="24"/>
              </w:rPr>
              <w:t>2010</w:t>
            </w:r>
            <w:r>
              <w:rPr>
                <w:color w:val="000000"/>
                <w:sz w:val="24"/>
                <w:szCs w:val="24"/>
              </w:rPr>
              <w:t>年加入交银施罗德基金管理有限公司，历任行业分析师。</w:t>
            </w:r>
          </w:p>
        </w:tc>
      </w:tr>
    </w:tbl>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注：基金经理（或基金经理小组）期后变动（如有）敬请关注基金管理人发布的相关公告。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4.2 </w:t>
      </w:r>
      <w:r w:rsidRPr="00414345">
        <w:rPr>
          <w:b/>
          <w:bCs/>
          <w:color w:val="000000"/>
          <w:kern w:val="0"/>
          <w:sz w:val="24"/>
          <w:szCs w:val="24"/>
        </w:rPr>
        <w:t>管理人对报告期内本基金运作遵规守信情况的说明</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4.3 </w:t>
      </w:r>
      <w:r w:rsidRPr="00414345">
        <w:rPr>
          <w:b/>
          <w:bCs/>
          <w:color w:val="000000"/>
          <w:kern w:val="0"/>
          <w:sz w:val="24"/>
          <w:szCs w:val="24"/>
        </w:rPr>
        <w:t>公平交易专项说明</w:t>
      </w:r>
    </w:p>
    <w:p w:rsidR="004061AC" w:rsidRPr="00414345" w:rsidRDefault="004061AC" w:rsidP="00C15CAC">
      <w:pPr>
        <w:spacing w:before="29" w:line="288" w:lineRule="auto"/>
        <w:rPr>
          <w:color w:val="000000"/>
          <w:sz w:val="24"/>
          <w:szCs w:val="24"/>
        </w:rPr>
      </w:pPr>
      <w:r w:rsidRPr="00414345">
        <w:rPr>
          <w:color w:val="000000"/>
          <w:sz w:val="24"/>
          <w:szCs w:val="24"/>
        </w:rPr>
        <w:t xml:space="preserve">4.3.1 </w:t>
      </w:r>
      <w:r w:rsidRPr="00414345">
        <w:rPr>
          <w:color w:val="000000"/>
          <w:sz w:val="24"/>
          <w:szCs w:val="24"/>
        </w:rPr>
        <w:t>公平交易制度的执行情况</w:t>
      </w:r>
    </w:p>
    <w:p w:rsidR="00543832" w:rsidRDefault="00984FB1">
      <w:pPr>
        <w:spacing w:before="29" w:line="288" w:lineRule="auto"/>
        <w:ind w:firstLineChars="200" w:firstLine="480"/>
        <w:rPr>
          <w:color w:val="000000"/>
          <w:sz w:val="24"/>
          <w:szCs w:val="24"/>
        </w:rPr>
      </w:pPr>
      <w:r>
        <w:rPr>
          <w:color w:val="000000"/>
          <w:sz w:val="24"/>
          <w:szCs w:val="24"/>
        </w:rPr>
        <w:t>本公司制定了严格的投资控制制度和公平交易监控制度来保证旗下基金运作的公平，旗下所管理的所有资产组合，包括证券投资基金和特定客户资产管理专户均严格遵循制度进行公平交易。</w:t>
      </w:r>
    </w:p>
    <w:p w:rsidR="00543832" w:rsidRDefault="00984FB1">
      <w:pPr>
        <w:spacing w:before="29" w:line="288" w:lineRule="auto"/>
        <w:ind w:firstLineChars="200" w:firstLine="480"/>
        <w:rPr>
          <w:color w:val="000000"/>
          <w:sz w:val="24"/>
          <w:szCs w:val="24"/>
        </w:rPr>
      </w:pPr>
      <w:r>
        <w:rPr>
          <w:color w:val="000000"/>
          <w:sz w:val="24"/>
          <w:szCs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szCs w:val="24"/>
        </w:rPr>
        <w:t>“</w:t>
      </w:r>
      <w:r>
        <w:rPr>
          <w:color w:val="000000"/>
          <w:sz w:val="24"/>
          <w:szCs w:val="24"/>
        </w:rPr>
        <w:t>时间优先、价格优先、比例分配</w:t>
      </w:r>
      <w:r>
        <w:rPr>
          <w:color w:val="000000"/>
          <w:sz w:val="24"/>
          <w:szCs w:val="24"/>
        </w:rPr>
        <w:t>”</w:t>
      </w:r>
      <w:r>
        <w:rPr>
          <w:color w:val="000000"/>
          <w:sz w:val="24"/>
          <w:szCs w:val="24"/>
        </w:rPr>
        <w:t>的原则，全部通过交易系统进行比例分配；对于非集中竞价交易、以公司名义进行的场外交易，遵循</w:t>
      </w:r>
      <w:r>
        <w:rPr>
          <w:color w:val="000000"/>
          <w:sz w:val="24"/>
          <w:szCs w:val="24"/>
        </w:rPr>
        <w:t>“</w:t>
      </w:r>
      <w:r>
        <w:rPr>
          <w:color w:val="000000"/>
          <w:sz w:val="24"/>
          <w:szCs w:val="24"/>
        </w:rPr>
        <w:t>价格优先、比例分配</w:t>
      </w:r>
      <w:r>
        <w:rPr>
          <w:color w:val="000000"/>
          <w:sz w:val="24"/>
          <w:szCs w:val="24"/>
        </w:rPr>
        <w:t>”</w:t>
      </w:r>
      <w:r>
        <w:rPr>
          <w:color w:val="000000"/>
          <w:sz w:val="24"/>
          <w:szCs w:val="24"/>
        </w:rPr>
        <w:t>的原则按事前独立确定的投资方案对交易结果进行分配。</w:t>
      </w:r>
    </w:p>
    <w:p w:rsidR="00543832" w:rsidRDefault="00984FB1">
      <w:pPr>
        <w:spacing w:before="29" w:line="288" w:lineRule="auto"/>
        <w:ind w:firstLineChars="200" w:firstLine="480"/>
        <w:rPr>
          <w:color w:val="000000"/>
          <w:sz w:val="24"/>
          <w:szCs w:val="24"/>
        </w:rPr>
      </w:pPr>
      <w:r>
        <w:rPr>
          <w:color w:val="000000"/>
          <w:sz w:val="24"/>
          <w:szCs w:val="24"/>
        </w:rPr>
        <w:t>公司中央交易室和风险管理部进行日常投资交易行为监控，风险管理部负责对各账户公平交易进行事后分析，于每季度和每年度分别对公司</w:t>
      </w:r>
      <w:r>
        <w:rPr>
          <w:color w:val="000000"/>
          <w:sz w:val="24"/>
          <w:szCs w:val="24"/>
        </w:rPr>
        <w:t>管理的不同投资组合的整体收益率差异、分投资类别的收益率差异以及不同时间窗口同向交易的交易价差进行分析，通过分析评估和信息披露来加强对公平交易过程和结果的监督。</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报告期内本公司严格执行公平交易制度，公平对待旗下各投资组合，未发现任何违反公平交易的行为。</w:t>
      </w:r>
    </w:p>
    <w:p w:rsidR="004061AC" w:rsidRPr="00414345" w:rsidRDefault="004061AC" w:rsidP="00C15CAC">
      <w:pPr>
        <w:spacing w:before="29" w:line="288" w:lineRule="auto"/>
        <w:rPr>
          <w:color w:val="000000"/>
          <w:sz w:val="24"/>
          <w:szCs w:val="24"/>
        </w:rPr>
      </w:pPr>
      <w:r w:rsidRPr="00414345">
        <w:rPr>
          <w:color w:val="000000"/>
          <w:sz w:val="24"/>
          <w:szCs w:val="24"/>
        </w:rPr>
        <w:t xml:space="preserve">4.3.2 </w:t>
      </w:r>
      <w:r w:rsidRPr="00414345">
        <w:rPr>
          <w:color w:val="000000"/>
          <w:sz w:val="24"/>
          <w:szCs w:val="24"/>
        </w:rPr>
        <w:t>异常交易行为的专项说明</w:t>
      </w:r>
    </w:p>
    <w:p w:rsidR="004061AC" w:rsidRPr="00414345" w:rsidRDefault="00957594" w:rsidP="00C15CAC">
      <w:pPr>
        <w:spacing w:before="29" w:line="288" w:lineRule="auto"/>
        <w:ind w:firstLineChars="200" w:firstLine="480"/>
        <w:rPr>
          <w:color w:val="000000"/>
          <w:sz w:val="24"/>
          <w:szCs w:val="24"/>
        </w:rPr>
      </w:pPr>
      <w:r w:rsidRPr="00414345">
        <w:rPr>
          <w:color w:val="000000"/>
          <w:sz w:val="24"/>
          <w:szCs w:val="24"/>
        </w:rPr>
        <w:t>本基金于本报告期内不存在异常交易行为。本报告期内，本公司管理的所有投资组合参与的交易所公开竞价同日反向交易成交较少的单边交易量没有超过该证券当日总成交量</w:t>
      </w:r>
      <w:r w:rsidRPr="00414345">
        <w:rPr>
          <w:color w:val="000000"/>
          <w:sz w:val="24"/>
          <w:szCs w:val="24"/>
        </w:rPr>
        <w:t>5%</w:t>
      </w:r>
      <w:r w:rsidRPr="00414345">
        <w:rPr>
          <w:color w:val="000000"/>
          <w:sz w:val="24"/>
          <w:szCs w:val="24"/>
        </w:rPr>
        <w:t>的情形，本基金与本公司管理的其他投资组合在不同时间窗下（如日内、</w:t>
      </w:r>
      <w:r w:rsidRPr="00414345">
        <w:rPr>
          <w:color w:val="000000"/>
          <w:sz w:val="24"/>
          <w:szCs w:val="24"/>
        </w:rPr>
        <w:t>3</w:t>
      </w:r>
      <w:r w:rsidRPr="00414345">
        <w:rPr>
          <w:color w:val="000000"/>
          <w:sz w:val="24"/>
          <w:szCs w:val="24"/>
        </w:rPr>
        <w:t>日内、</w:t>
      </w:r>
      <w:r w:rsidRPr="00414345">
        <w:rPr>
          <w:color w:val="000000"/>
          <w:sz w:val="24"/>
          <w:szCs w:val="24"/>
        </w:rPr>
        <w:t>5</w:t>
      </w:r>
      <w:r w:rsidRPr="00414345">
        <w:rPr>
          <w:color w:val="000000"/>
          <w:sz w:val="24"/>
          <w:szCs w:val="24"/>
        </w:rPr>
        <w:t>日内）同向交易的交易价差未出现异常。</w:t>
      </w:r>
    </w:p>
    <w:p w:rsidR="004061AC" w:rsidRPr="00414345" w:rsidRDefault="004061AC"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 xml:space="preserve">4.4 </w:t>
      </w:r>
      <w:r w:rsidRPr="00414345">
        <w:rPr>
          <w:rFonts w:hAnsi="宋体"/>
          <w:b/>
          <w:bCs/>
          <w:color w:val="000000"/>
          <w:sz w:val="24"/>
        </w:rPr>
        <w:t>报告期内基金的投资策略和运作分析</w:t>
      </w:r>
    </w:p>
    <w:p w:rsidR="00543832" w:rsidRDefault="00984FB1">
      <w:pPr>
        <w:spacing w:before="29" w:line="288" w:lineRule="auto"/>
        <w:ind w:firstLineChars="200" w:firstLine="480"/>
        <w:rPr>
          <w:color w:val="000000"/>
          <w:sz w:val="24"/>
          <w:szCs w:val="24"/>
        </w:rPr>
      </w:pPr>
      <w:r>
        <w:rPr>
          <w:color w:val="000000"/>
          <w:sz w:val="24"/>
          <w:szCs w:val="24"/>
        </w:rPr>
        <w:t>2020</w:t>
      </w:r>
      <w:r>
        <w:rPr>
          <w:color w:val="000000"/>
          <w:sz w:val="24"/>
          <w:szCs w:val="24"/>
        </w:rPr>
        <w:t>年第二季度，上证指数上涨</w:t>
      </w:r>
      <w:r>
        <w:rPr>
          <w:color w:val="000000"/>
          <w:sz w:val="24"/>
          <w:szCs w:val="24"/>
        </w:rPr>
        <w:t>8.52%</w:t>
      </w:r>
      <w:r>
        <w:rPr>
          <w:color w:val="000000"/>
          <w:sz w:val="24"/>
          <w:szCs w:val="24"/>
        </w:rPr>
        <w:t>，创业板指数上涨</w:t>
      </w:r>
      <w:r>
        <w:rPr>
          <w:color w:val="000000"/>
          <w:sz w:val="24"/>
          <w:szCs w:val="24"/>
        </w:rPr>
        <w:t>30.25%</w:t>
      </w:r>
      <w:r>
        <w:rPr>
          <w:color w:val="000000"/>
          <w:sz w:val="24"/>
          <w:szCs w:val="24"/>
        </w:rPr>
        <w:t>，市场呈现出较为极端的成长股风格偏好，与当下流动性宽松低利率环境有较大关系。同时因为疫情对全球经济的负面影响和中美贸易摩擦，成长股板块中的相对逆经济周期品种表现更为突出，比如医药、半导体、食品饮料、基建等。</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本基金本报告期跑赢业绩比较基准，主要是我们在线上娱乐与办公、新零售与供应链物流、可穿戴设备以及云计算等领域上投资的个股获得不错的收益。我们的基金产品更为重视个股研究，追求平衡和稳健。在纷繁的成长股牛市中，我们一方面警惕风格化资金对于热门行业的疯狂追逐导致的估值泡沫，一方面也在积极的去体会社会经济的深层次变化，努力不错过这个革新的时代。商业社会在供给侧改革、科技赋能、消费升级三重作用下带来的投资机会是接下来我们最关注的。虽然我们在过去几个季报中也先后有所提及，但随着产业的发展，商业革新的变化更为清晰。我们特别关注一些具备平台化能力的公司而不是大单品公司，我们相信这些有能力把产品做得规整，甚至具备多产品类别能力的公司将会创造更多增量价值。</w:t>
      </w:r>
    </w:p>
    <w:p w:rsidR="00627E2D" w:rsidRPr="00414345" w:rsidRDefault="00627E2D"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4.5</w:t>
      </w:r>
      <w:r w:rsidRPr="00414345">
        <w:rPr>
          <w:b/>
          <w:color w:val="000000"/>
          <w:kern w:val="0"/>
          <w:sz w:val="24"/>
        </w:rPr>
        <w:t>报告期内基金的业绩表现</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本基金（各类）份额净值及业绩表现请见</w:t>
      </w:r>
      <w:r w:rsidRPr="00414345">
        <w:rPr>
          <w:color w:val="000000"/>
          <w:sz w:val="24"/>
          <w:szCs w:val="24"/>
        </w:rPr>
        <w:t>“3.1</w:t>
      </w:r>
      <w:r w:rsidRPr="00414345">
        <w:rPr>
          <w:color w:val="000000"/>
          <w:sz w:val="24"/>
          <w:szCs w:val="24"/>
        </w:rPr>
        <w:t>主要财务指标</w:t>
      </w:r>
      <w:r w:rsidRPr="00414345">
        <w:rPr>
          <w:color w:val="000000"/>
          <w:sz w:val="24"/>
          <w:szCs w:val="24"/>
        </w:rPr>
        <w:t xml:space="preserve">” </w:t>
      </w:r>
      <w:r w:rsidRPr="00414345">
        <w:rPr>
          <w:color w:val="000000"/>
          <w:sz w:val="24"/>
          <w:szCs w:val="24"/>
        </w:rPr>
        <w:t>及</w:t>
      </w:r>
      <w:r w:rsidRPr="00414345">
        <w:rPr>
          <w:color w:val="000000"/>
          <w:sz w:val="24"/>
          <w:szCs w:val="24"/>
        </w:rPr>
        <w:t xml:space="preserve">“3.2.1 </w:t>
      </w:r>
      <w:r w:rsidRPr="00414345">
        <w:rPr>
          <w:color w:val="000000"/>
          <w:sz w:val="24"/>
          <w:szCs w:val="24"/>
        </w:rPr>
        <w:t>本报告期基金份额净值增长率及其与同期业绩比较基准收益率的比较</w:t>
      </w:r>
      <w:r w:rsidRPr="00414345">
        <w:rPr>
          <w:color w:val="000000"/>
          <w:sz w:val="24"/>
          <w:szCs w:val="24"/>
        </w:rPr>
        <w:t>”</w:t>
      </w:r>
      <w:r w:rsidRPr="00414345">
        <w:rPr>
          <w:color w:val="000000"/>
          <w:sz w:val="24"/>
          <w:szCs w:val="24"/>
        </w:rPr>
        <w:t>部分披露。</w:t>
      </w:r>
    </w:p>
    <w:p w:rsidR="009C5186" w:rsidRPr="00414345" w:rsidRDefault="009C5186" w:rsidP="00C15CAC">
      <w:pPr>
        <w:spacing w:before="29" w:line="288" w:lineRule="auto"/>
        <w:ind w:firstLineChars="200" w:firstLine="480"/>
        <w:rPr>
          <w:color w:val="000000"/>
          <w:sz w:val="24"/>
          <w:szCs w:val="24"/>
        </w:rPr>
      </w:pPr>
    </w:p>
    <w:p w:rsidR="00421CD2" w:rsidRPr="002070B4" w:rsidRDefault="00421CD2" w:rsidP="00421CD2">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421CD2" w:rsidRDefault="00421CD2" w:rsidP="00421CD2">
      <w:pPr>
        <w:spacing w:before="29" w:line="288" w:lineRule="auto"/>
        <w:ind w:firstLineChars="200" w:firstLine="480"/>
        <w:rPr>
          <w:color w:val="000000"/>
          <w:sz w:val="24"/>
        </w:rPr>
      </w:pPr>
      <w:r w:rsidRPr="002070B4">
        <w:rPr>
          <w:color w:val="000000"/>
          <w:sz w:val="24"/>
        </w:rPr>
        <w:t>本基金本报告期内无需预警说明。</w:t>
      </w: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w:t>
      </w:r>
      <w:r w:rsidR="001C0993" w:rsidRPr="00414345">
        <w:rPr>
          <w:color w:val="000000"/>
          <w:kern w:val="0"/>
          <w:sz w:val="24"/>
          <w:szCs w:val="24"/>
        </w:rPr>
        <w:t>5</w:t>
      </w:r>
      <w:r w:rsidR="00834E74">
        <w:rPr>
          <w:color w:val="000000"/>
          <w:kern w:val="0"/>
          <w:sz w:val="24"/>
          <w:szCs w:val="24"/>
        </w:rPr>
        <w:t xml:space="preserve">  </w:t>
      </w:r>
      <w:r w:rsidRPr="00414345">
        <w:rPr>
          <w:color w:val="000000"/>
          <w:kern w:val="0"/>
          <w:sz w:val="24"/>
          <w:szCs w:val="24"/>
        </w:rPr>
        <w:t>投资组合报告</w:t>
      </w:r>
    </w:p>
    <w:p w:rsidR="00BF0019" w:rsidRDefault="00BF0019" w:rsidP="00BF0019">
      <w:pPr>
        <w:autoSpaceDE w:val="0"/>
        <w:autoSpaceDN w:val="0"/>
        <w:adjustRightInd w:val="0"/>
        <w:spacing w:line="360" w:lineRule="auto"/>
        <w:jc w:val="left"/>
        <w:rPr>
          <w:rFonts w:eastAsiaTheme="minorEastAsia"/>
          <w:b/>
          <w:color w:val="000000" w:themeColor="text1"/>
          <w:kern w:val="0"/>
          <w:sz w:val="24"/>
          <w:szCs w:val="24"/>
        </w:rPr>
      </w:pPr>
      <w:r w:rsidRPr="007B5F21">
        <w:rPr>
          <w:rFonts w:eastAsiaTheme="minorEastAsia"/>
          <w:b/>
          <w:color w:val="000000" w:themeColor="text1"/>
          <w:kern w:val="0"/>
          <w:sz w:val="24"/>
          <w:szCs w:val="24"/>
        </w:rPr>
        <w:t xml:space="preserve">5.1 </w:t>
      </w:r>
      <w:r w:rsidRPr="007B5F21">
        <w:rPr>
          <w:rFonts w:eastAsiaTheme="minorEastAsia"/>
          <w:b/>
          <w:color w:val="000000" w:themeColor="text1"/>
          <w:kern w:val="0"/>
          <w:sz w:val="24"/>
          <w:szCs w:val="24"/>
        </w:rPr>
        <w:t>报告期末基金资产组合情况</w:t>
      </w:r>
    </w:p>
    <w:p w:rsidR="006B5F69" w:rsidRPr="007B5F21" w:rsidRDefault="009C1009" w:rsidP="009C1009">
      <w:pPr>
        <w:autoSpaceDE w:val="0"/>
        <w:autoSpaceDN w:val="0"/>
        <w:adjustRightInd w:val="0"/>
        <w:spacing w:line="360" w:lineRule="auto"/>
        <w:jc w:val="right"/>
        <w:rPr>
          <w:rFonts w:eastAsiaTheme="minorEastAsia"/>
          <w:b/>
          <w:color w:val="000000" w:themeColor="text1"/>
          <w:kern w:val="0"/>
          <w:sz w:val="24"/>
          <w:szCs w:val="24"/>
        </w:rPr>
      </w:pPr>
      <w:r w:rsidRPr="009C1009">
        <w:rPr>
          <w:rFonts w:hint="eastAsia"/>
          <w:color w:val="000000"/>
          <w:kern w:val="0"/>
        </w:rPr>
        <w:t>金额单位：人民币元</w:t>
      </w:r>
    </w:p>
    <w:tbl>
      <w:tblPr>
        <w:tblStyle w:val="af7"/>
        <w:tblW w:w="8897" w:type="dxa"/>
        <w:tblInd w:w="108" w:type="dxa"/>
        <w:tblLayout w:type="fixed"/>
        <w:tblLook w:val="04A0" w:firstRow="1" w:lastRow="0" w:firstColumn="1" w:lastColumn="0" w:noHBand="0" w:noVBand="1"/>
      </w:tblPr>
      <w:tblGrid>
        <w:gridCol w:w="720"/>
        <w:gridCol w:w="2682"/>
        <w:gridCol w:w="2552"/>
        <w:gridCol w:w="2943"/>
      </w:tblGrid>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序号</w:t>
            </w:r>
          </w:p>
        </w:tc>
        <w:tc>
          <w:tcPr>
            <w:tcW w:w="2682"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项目</w:t>
            </w:r>
          </w:p>
        </w:tc>
        <w:tc>
          <w:tcPr>
            <w:tcW w:w="2552"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金额</w:t>
            </w:r>
          </w:p>
        </w:tc>
        <w:tc>
          <w:tcPr>
            <w:tcW w:w="2943"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占基金总资产的比例</w:t>
            </w:r>
            <w:r w:rsidR="0018138B">
              <w:rPr>
                <w:rFonts w:eastAsiaTheme="minorEastAsia" w:hint="eastAsia"/>
                <w:color w:val="000000" w:themeColor="text1"/>
                <w:sz w:val="24"/>
                <w:szCs w:val="24"/>
              </w:rPr>
              <w:t>(</w:t>
            </w:r>
            <w:r w:rsidR="0018138B">
              <w:rPr>
                <w:rFonts w:eastAsiaTheme="minorEastAsia"/>
                <w:color w:val="000000" w:themeColor="text1"/>
                <w:sz w:val="24"/>
                <w:szCs w:val="24"/>
              </w:rPr>
              <w:t>%</w:t>
            </w:r>
            <w:r w:rsidR="0018138B">
              <w:rPr>
                <w:rFonts w:eastAsiaTheme="minorEastAsia" w:hint="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1</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权益投资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3,038,957,405.10</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62.21</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其中：股票</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3,038,957,405.10</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62.21</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2</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ascii="宋体" w:hAnsi="宋体" w:hint="eastAsia"/>
                <w:sz w:val="24"/>
                <w:szCs w:val="24"/>
              </w:rPr>
              <w:t>基金投资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hint="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hint="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3</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固定收益投资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193,967,179.48</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3.97</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其中：债券</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193,967,179.48</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3.97</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682" w:type="dxa"/>
            <w:vAlign w:val="center"/>
          </w:tcPr>
          <w:p w:rsidR="00BF0019" w:rsidRPr="007B5F21" w:rsidRDefault="00BF0019" w:rsidP="007B5F21">
            <w:pPr>
              <w:autoSpaceDE w:val="0"/>
              <w:autoSpaceDN w:val="0"/>
              <w:adjustRightInd w:val="0"/>
              <w:spacing w:before="29" w:line="360" w:lineRule="auto"/>
              <w:ind w:left="17" w:firstLineChars="300" w:firstLine="720"/>
              <w:jc w:val="left"/>
              <w:rPr>
                <w:rFonts w:eastAsiaTheme="minorEastAsia"/>
                <w:color w:val="000000" w:themeColor="text1"/>
                <w:sz w:val="24"/>
                <w:szCs w:val="24"/>
              </w:rPr>
            </w:pPr>
            <w:r w:rsidRPr="007B5F21">
              <w:rPr>
                <w:rFonts w:eastAsiaTheme="minorEastAsia"/>
                <w:color w:val="000000" w:themeColor="text1"/>
                <w:sz w:val="24"/>
                <w:szCs w:val="24"/>
              </w:rPr>
              <w:t>资产支持证券</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4</w:t>
            </w:r>
          </w:p>
        </w:tc>
        <w:tc>
          <w:tcPr>
            <w:tcW w:w="2682" w:type="dxa"/>
            <w:vAlign w:val="center"/>
          </w:tcPr>
          <w:p w:rsidR="00BF0019" w:rsidRPr="007B5F21" w:rsidRDefault="00BF0019" w:rsidP="002D2971">
            <w:pPr>
              <w:spacing w:before="29" w:line="360" w:lineRule="auto"/>
              <w:ind w:leftChars="50" w:left="105"/>
              <w:rPr>
                <w:rFonts w:eastAsiaTheme="minorEastAsia"/>
                <w:color w:val="000000" w:themeColor="text1"/>
                <w:sz w:val="24"/>
                <w:szCs w:val="24"/>
              </w:rPr>
            </w:pPr>
            <w:r w:rsidRPr="007B5F21">
              <w:rPr>
                <w:rFonts w:eastAsiaTheme="minorEastAsia"/>
                <w:color w:val="000000" w:themeColor="text1"/>
                <w:sz w:val="24"/>
                <w:szCs w:val="24"/>
              </w:rPr>
              <w:t>贵金属投资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5</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金融衍生品投资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6</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买入返售金融资产</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1,265,711,272.86</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25.91</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其中：买断式回购的买入返售金融资产</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7</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银行存款和结算备付金合计</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298,212,343.01</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6.10</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8</w:t>
            </w:r>
          </w:p>
        </w:tc>
        <w:tc>
          <w:tcPr>
            <w:tcW w:w="2682" w:type="dxa"/>
            <w:vAlign w:val="center"/>
          </w:tcPr>
          <w:p w:rsidR="00BF0019" w:rsidRPr="007B5F21" w:rsidRDefault="00BF0019" w:rsidP="002D2971">
            <w:pPr>
              <w:spacing w:line="360" w:lineRule="auto"/>
              <w:rPr>
                <w:rFonts w:eastAsiaTheme="minorEastAsia"/>
                <w:color w:val="000000" w:themeColor="text1"/>
                <w:sz w:val="24"/>
                <w:szCs w:val="24"/>
              </w:rPr>
            </w:pPr>
            <w:r w:rsidRPr="007B5F21">
              <w:rPr>
                <w:rFonts w:eastAsiaTheme="minorEastAsia"/>
                <w:color w:val="000000" w:themeColor="text1"/>
                <w:sz w:val="24"/>
                <w:szCs w:val="24"/>
              </w:rPr>
              <w:t>其他各项资产</w:t>
            </w:r>
          </w:p>
        </w:tc>
        <w:tc>
          <w:tcPr>
            <w:tcW w:w="2552"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88,542,532.36</w:t>
            </w:r>
          </w:p>
        </w:tc>
        <w:tc>
          <w:tcPr>
            <w:tcW w:w="2943"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1.81</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9</w:t>
            </w:r>
          </w:p>
        </w:tc>
        <w:tc>
          <w:tcPr>
            <w:tcW w:w="2682" w:type="dxa"/>
            <w:vAlign w:val="center"/>
          </w:tcPr>
          <w:p w:rsidR="00BF0019" w:rsidRPr="007B5F21" w:rsidRDefault="00BF0019" w:rsidP="002D2971">
            <w:pPr>
              <w:spacing w:line="360" w:lineRule="auto"/>
              <w:rPr>
                <w:rFonts w:eastAsiaTheme="minorEastAsia"/>
                <w:color w:val="000000" w:themeColor="text1"/>
                <w:sz w:val="24"/>
                <w:szCs w:val="24"/>
              </w:rPr>
            </w:pPr>
            <w:r w:rsidRPr="007B5F21">
              <w:rPr>
                <w:rFonts w:eastAsiaTheme="minorEastAsia"/>
                <w:color w:val="000000" w:themeColor="text1"/>
                <w:sz w:val="24"/>
                <w:szCs w:val="24"/>
              </w:rPr>
              <w:t>合计</w:t>
            </w:r>
          </w:p>
        </w:tc>
        <w:tc>
          <w:tcPr>
            <w:tcW w:w="2552"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4,885,390,732.81</w:t>
            </w:r>
          </w:p>
        </w:tc>
        <w:tc>
          <w:tcPr>
            <w:tcW w:w="2943"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100.00</w:t>
            </w:r>
          </w:p>
        </w:tc>
      </w:tr>
    </w:tbl>
    <w:p w:rsidR="004061AC" w:rsidRPr="00414345" w:rsidRDefault="004061AC" w:rsidP="00C15CAC">
      <w:pPr>
        <w:autoSpaceDE w:val="0"/>
        <w:autoSpaceDN w:val="0"/>
        <w:adjustRightInd w:val="0"/>
        <w:spacing w:before="29" w:line="288" w:lineRule="auto"/>
        <w:jc w:val="left"/>
        <w:rPr>
          <w:color w:val="00000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5.2 </w:t>
      </w:r>
      <w:r w:rsidRPr="00414345">
        <w:rPr>
          <w:b/>
          <w:bCs/>
          <w:color w:val="000000"/>
          <w:kern w:val="0"/>
          <w:sz w:val="24"/>
          <w:szCs w:val="24"/>
        </w:rPr>
        <w:t>报告期末按行业分类的股票投资组合</w:t>
      </w:r>
    </w:p>
    <w:p w:rsidR="00F51C4E" w:rsidRDefault="00F51C4E" w:rsidP="00F51C4E">
      <w:pPr>
        <w:rPr>
          <w:rFonts w:eastAsiaTheme="minorEastAsia"/>
          <w:b/>
          <w:color w:val="000000" w:themeColor="text1"/>
          <w:kern w:val="0"/>
          <w:sz w:val="24"/>
        </w:rPr>
      </w:pPr>
      <w:r w:rsidRPr="004A3846">
        <w:rPr>
          <w:rFonts w:eastAsiaTheme="minorEastAsia" w:hint="eastAsia"/>
          <w:b/>
          <w:color w:val="000000" w:themeColor="text1"/>
          <w:kern w:val="0"/>
          <w:sz w:val="24"/>
        </w:rPr>
        <w:t>5.2.1</w:t>
      </w:r>
      <w:r w:rsidRPr="004A3846">
        <w:rPr>
          <w:rFonts w:eastAsiaTheme="minorEastAsia" w:hint="eastAsia"/>
          <w:b/>
          <w:color w:val="000000" w:themeColor="text1"/>
          <w:kern w:val="0"/>
          <w:sz w:val="24"/>
        </w:rPr>
        <w:t>报告期末按行业分类的境内股票投资组合</w:t>
      </w:r>
    </w:p>
    <w:p w:rsidR="007B2639" w:rsidRPr="007B2639" w:rsidRDefault="009C1009" w:rsidP="009C1009">
      <w:pPr>
        <w:jc w:val="right"/>
        <w:rPr>
          <w:sz w:val="24"/>
        </w:rPr>
      </w:pPr>
      <w:r w:rsidRPr="009C1009">
        <w:rPr>
          <w:rFonts w:eastAsiaTheme="minorEastAsia" w:hint="eastAsia"/>
          <w:color w:val="000000" w:themeColor="text1"/>
          <w:kern w:val="0"/>
          <w:sz w:val="24"/>
        </w:rPr>
        <w:t>金额单位：人民币元</w:t>
      </w:r>
    </w:p>
    <w:tbl>
      <w:tblPr>
        <w:tblW w:w="88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 w:type="dxa"/>
          <w:left w:w="0" w:type="dxa"/>
          <w:bottom w:w="-1" w:type="dxa"/>
          <w:right w:w="0" w:type="dxa"/>
        </w:tblCellMar>
        <w:tblLook w:val="0000" w:firstRow="0" w:lastRow="0" w:firstColumn="0" w:lastColumn="0" w:noHBand="0" w:noVBand="0"/>
      </w:tblPr>
      <w:tblGrid>
        <w:gridCol w:w="845"/>
        <w:gridCol w:w="3544"/>
        <w:gridCol w:w="2841"/>
        <w:gridCol w:w="1638"/>
      </w:tblGrid>
      <w:tr w:rsidR="00531F10" w:rsidRPr="00414345" w:rsidTr="006C2C1B">
        <w:trPr>
          <w:trHeight w:val="390"/>
          <w:jc w:val="center"/>
        </w:trPr>
        <w:tc>
          <w:tcPr>
            <w:tcW w:w="84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代码</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行业类别</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B11F31" w:rsidP="00C15CAC">
            <w:pPr>
              <w:adjustRightInd w:val="0"/>
              <w:snapToGrid w:val="0"/>
              <w:spacing w:before="29" w:line="288" w:lineRule="auto"/>
              <w:jc w:val="center"/>
              <w:rPr>
                <w:sz w:val="24"/>
                <w:szCs w:val="24"/>
              </w:rPr>
            </w:pPr>
            <w:r>
              <w:rPr>
                <w:sz w:val="24"/>
                <w:szCs w:val="24"/>
              </w:rPr>
              <w:t>公允价值</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占基金资产净值比例（％）</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A</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农、林、牧、渔业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autoSpaceDE w:val="0"/>
              <w:autoSpaceDN w:val="0"/>
              <w:adjustRightInd w:val="0"/>
              <w:spacing w:before="29" w:line="288" w:lineRule="auto"/>
              <w:ind w:left="15"/>
              <w:jc w:val="right"/>
              <w:rPr>
                <w:sz w:val="24"/>
                <w:szCs w:val="24"/>
              </w:rPr>
            </w:pPr>
            <w:r w:rsidRPr="00414345">
              <w:rPr>
                <w:sz w:val="24"/>
                <w:szCs w:val="24"/>
              </w:rPr>
              <w:t>98,742,027.33</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utoSpaceDE w:val="0"/>
              <w:autoSpaceDN w:val="0"/>
              <w:adjustRightInd w:val="0"/>
              <w:spacing w:before="29" w:line="288" w:lineRule="auto"/>
              <w:ind w:left="15"/>
              <w:jc w:val="right"/>
              <w:rPr>
                <w:sz w:val="24"/>
                <w:szCs w:val="24"/>
              </w:rPr>
            </w:pPr>
            <w:r w:rsidRPr="00414345">
              <w:rPr>
                <w:sz w:val="24"/>
                <w:szCs w:val="24"/>
              </w:rPr>
              <w:t>2.05</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B</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采矿业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1B4DD6">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1B4DD6">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C</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制造业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1,621,414,506.26</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33.72</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D</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电力、热力、燃气及水生产和供应业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12,766.32</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0.00</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E</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建筑业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F</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批发和零售业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G</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交通运输、仓储和邮政业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269,051,560.22</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5.60</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H</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住宿和餐饮业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DC28F1">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I</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DC28F1">
            <w:pPr>
              <w:adjustRightInd w:val="0"/>
              <w:snapToGrid w:val="0"/>
              <w:spacing w:before="29" w:line="288" w:lineRule="auto"/>
              <w:rPr>
                <w:sz w:val="24"/>
                <w:szCs w:val="24"/>
              </w:rPr>
            </w:pPr>
            <w:r w:rsidRPr="00414345">
              <w:rPr>
                <w:sz w:val="24"/>
                <w:szCs w:val="24"/>
              </w:rPr>
              <w:t>信息传输、软件和信息技术服务业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455,175,742.68</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9.47</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J</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金融业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K</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房地产业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42,544,392.26</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0.88</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L</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租赁和商务服务业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M</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科学研究和技术服务业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41,297,570.08</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0.86</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N</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水利、环境和公共设施管理业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25,549,276.00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0.53</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O</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居民服务、修理和其他服务业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P</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教育</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162,081,950.25</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3.37</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Q</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卫生和社会工作</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R</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文化、体育和娱乐业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323,087,613.70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6.72</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S</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综合</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合计</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3,038,957,405.10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63.20</w:t>
            </w:r>
          </w:p>
        </w:tc>
      </w:tr>
    </w:tbl>
    <w:p w:rsidR="00F51C4E" w:rsidRPr="008A409E" w:rsidRDefault="00F51C4E" w:rsidP="00F51C4E">
      <w:pPr>
        <w:jc w:val="left"/>
        <w:rPr>
          <w:rFonts w:asciiTheme="minorEastAsia" w:eastAsiaTheme="minorEastAsia" w:hAnsiTheme="minorEastAsia"/>
          <w:b/>
          <w:bCs/>
          <w:color w:val="000000" w:themeColor="text1"/>
          <w:kern w:val="0"/>
          <w:sz w:val="24"/>
        </w:rPr>
      </w:pPr>
      <w:r w:rsidRPr="008A409E">
        <w:rPr>
          <w:rFonts w:asciiTheme="minorEastAsia" w:eastAsiaTheme="minorEastAsia" w:hAnsiTheme="minorEastAsia" w:hint="eastAsia"/>
          <w:b/>
          <w:bCs/>
          <w:color w:val="000000" w:themeColor="text1"/>
          <w:kern w:val="0"/>
          <w:sz w:val="24"/>
        </w:rPr>
        <w:t>5.2.2报告期末按行业分类的</w:t>
      </w:r>
      <w:r w:rsidR="00EE49FE">
        <w:rPr>
          <w:rFonts w:asciiTheme="minorEastAsia" w:eastAsiaTheme="minorEastAsia" w:hAnsiTheme="minorEastAsia" w:hint="eastAsia"/>
          <w:b/>
          <w:bCs/>
          <w:color w:val="000000" w:themeColor="text1"/>
          <w:kern w:val="0"/>
          <w:sz w:val="24"/>
        </w:rPr>
        <w:t>港股通</w:t>
      </w:r>
      <w:r w:rsidRPr="008A409E">
        <w:rPr>
          <w:rFonts w:asciiTheme="minorEastAsia" w:eastAsiaTheme="minorEastAsia" w:hAnsiTheme="minorEastAsia" w:hint="eastAsia"/>
          <w:b/>
          <w:bCs/>
          <w:color w:val="000000" w:themeColor="text1"/>
          <w:kern w:val="0"/>
          <w:sz w:val="24"/>
        </w:rPr>
        <w:t>投资股票投资组合</w:t>
      </w:r>
    </w:p>
    <w:p w:rsidR="00F51C4E" w:rsidRDefault="00F51C4E" w:rsidP="00F51C4E">
      <w:pPr>
        <w:spacing w:before="29" w:line="360" w:lineRule="auto"/>
        <w:ind w:left="17"/>
        <w:rPr>
          <w:color w:val="000000"/>
          <w:sz w:val="24"/>
        </w:rPr>
      </w:pPr>
      <w:r w:rsidRPr="00FF0BBF">
        <w:rPr>
          <w:color w:val="000000"/>
          <w:sz w:val="24"/>
        </w:rPr>
        <w:t>本基金本报告期末未持有通过港股通投资的股票。</w:t>
      </w:r>
    </w:p>
    <w:p w:rsidR="004061AC" w:rsidRPr="00F51C4E"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5.3 </w:t>
      </w:r>
      <w:r w:rsidRPr="00414345">
        <w:rPr>
          <w:b/>
          <w:bCs/>
          <w:color w:val="000000"/>
          <w:kern w:val="0"/>
          <w:sz w:val="24"/>
          <w:szCs w:val="24"/>
        </w:rPr>
        <w:t>报告期末按公允价值占基金资产净值比例大小排序的前十名股票投资明细</w:t>
      </w:r>
    </w:p>
    <w:tbl>
      <w:tblPr>
        <w:tblStyle w:val="af7"/>
        <w:tblW w:w="8868" w:type="dxa"/>
        <w:jc w:val="center"/>
        <w:tblLayout w:type="fixed"/>
        <w:tblCellMar>
          <w:top w:w="57" w:type="dxa"/>
          <w:bottom w:w="57" w:type="dxa"/>
        </w:tblCellMar>
        <w:tblLook w:val="04A0" w:firstRow="1" w:lastRow="0" w:firstColumn="1" w:lastColumn="0" w:noHBand="0" w:noVBand="1"/>
      </w:tblPr>
      <w:tblGrid>
        <w:gridCol w:w="855"/>
        <w:gridCol w:w="1334"/>
        <w:gridCol w:w="1777"/>
        <w:gridCol w:w="1334"/>
        <w:gridCol w:w="1924"/>
        <w:gridCol w:w="1644"/>
      </w:tblGrid>
      <w:tr w:rsidR="00AC592E" w:rsidRPr="00414345" w:rsidTr="00A324F4">
        <w:trPr>
          <w:jc w:val="center"/>
        </w:trPr>
        <w:tc>
          <w:tcPr>
            <w:tcW w:w="869"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序号</w:t>
            </w:r>
          </w:p>
        </w:tc>
        <w:tc>
          <w:tcPr>
            <w:tcW w:w="1357"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股票代码</w:t>
            </w:r>
          </w:p>
        </w:tc>
        <w:tc>
          <w:tcPr>
            <w:tcW w:w="1810"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股票名称</w:t>
            </w:r>
          </w:p>
        </w:tc>
        <w:tc>
          <w:tcPr>
            <w:tcW w:w="1357"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数量</w:t>
            </w:r>
            <w:r w:rsidR="00B47982" w:rsidRPr="00414345">
              <w:rPr>
                <w:color w:val="000000"/>
                <w:sz w:val="24"/>
              </w:rPr>
              <w:t>（股）</w:t>
            </w:r>
          </w:p>
        </w:tc>
        <w:tc>
          <w:tcPr>
            <w:tcW w:w="1960" w:type="dxa"/>
            <w:vAlign w:val="center"/>
          </w:tcPr>
          <w:p w:rsidR="00853140" w:rsidRPr="00414345" w:rsidRDefault="00853140"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公允价值</w:t>
            </w:r>
            <w:r w:rsidRPr="00414345">
              <w:rPr>
                <w:color w:val="000000"/>
                <w:sz w:val="24"/>
                <w:szCs w:val="24"/>
              </w:rPr>
              <w:t>(</w:t>
            </w:r>
            <w:r w:rsidRPr="00414345">
              <w:rPr>
                <w:color w:val="000000"/>
                <w:sz w:val="24"/>
                <w:szCs w:val="24"/>
              </w:rPr>
              <w:t>元</w:t>
            </w:r>
            <w:r w:rsidRPr="00414345">
              <w:rPr>
                <w:color w:val="000000"/>
                <w:sz w:val="24"/>
                <w:szCs w:val="24"/>
              </w:rPr>
              <w:t>)</w:t>
            </w:r>
          </w:p>
        </w:tc>
        <w:tc>
          <w:tcPr>
            <w:tcW w:w="1674"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占基金资产净值比例</w:t>
            </w:r>
            <w:r w:rsidR="00B47982" w:rsidRPr="00414345">
              <w:rPr>
                <w:color w:val="000000"/>
                <w:sz w:val="24"/>
              </w:rPr>
              <w:t>（％）</w:t>
            </w:r>
          </w:p>
        </w:tc>
      </w:tr>
      <w:tr w:rsidR="00543832">
        <w:trPr>
          <w:jc w:val="center"/>
        </w:trPr>
        <w:tc>
          <w:tcPr>
            <w:tcW w:w="855" w:type="dxa"/>
            <w:vAlign w:val="center"/>
          </w:tcPr>
          <w:p w:rsidR="00543832" w:rsidRDefault="00984FB1">
            <w:pPr>
              <w:jc w:val="center"/>
            </w:pPr>
            <w:r>
              <w:rPr>
                <w:color w:val="000000"/>
                <w:sz w:val="24"/>
                <w:szCs w:val="24"/>
              </w:rPr>
              <w:t>1</w:t>
            </w:r>
          </w:p>
        </w:tc>
        <w:tc>
          <w:tcPr>
            <w:tcW w:w="1334" w:type="dxa"/>
            <w:vAlign w:val="center"/>
          </w:tcPr>
          <w:p w:rsidR="00543832" w:rsidRDefault="00984FB1">
            <w:pPr>
              <w:jc w:val="center"/>
            </w:pPr>
            <w:r>
              <w:rPr>
                <w:color w:val="000000"/>
                <w:sz w:val="24"/>
                <w:szCs w:val="24"/>
              </w:rPr>
              <w:t>300413</w:t>
            </w:r>
          </w:p>
        </w:tc>
        <w:tc>
          <w:tcPr>
            <w:tcW w:w="1777" w:type="dxa"/>
            <w:vAlign w:val="center"/>
          </w:tcPr>
          <w:p w:rsidR="00543832" w:rsidRDefault="00984FB1">
            <w:pPr>
              <w:jc w:val="center"/>
            </w:pPr>
            <w:r>
              <w:rPr>
                <w:color w:val="000000"/>
                <w:sz w:val="24"/>
                <w:szCs w:val="24"/>
              </w:rPr>
              <w:t>芒果超媒</w:t>
            </w:r>
          </w:p>
        </w:tc>
        <w:tc>
          <w:tcPr>
            <w:tcW w:w="1334" w:type="dxa"/>
            <w:vAlign w:val="center"/>
          </w:tcPr>
          <w:p w:rsidR="00543832" w:rsidRDefault="00984FB1">
            <w:pPr>
              <w:jc w:val="right"/>
            </w:pPr>
            <w:r>
              <w:rPr>
                <w:color w:val="000000"/>
                <w:sz w:val="24"/>
                <w:szCs w:val="24"/>
              </w:rPr>
              <w:t>4,281,418</w:t>
            </w:r>
          </w:p>
        </w:tc>
        <w:tc>
          <w:tcPr>
            <w:tcW w:w="1924" w:type="dxa"/>
            <w:vAlign w:val="center"/>
          </w:tcPr>
          <w:p w:rsidR="00543832" w:rsidRDefault="00984FB1">
            <w:pPr>
              <w:jc w:val="right"/>
            </w:pPr>
            <w:r>
              <w:rPr>
                <w:color w:val="000000"/>
                <w:sz w:val="24"/>
                <w:szCs w:val="24"/>
              </w:rPr>
              <w:t>279,148,453.60</w:t>
            </w:r>
          </w:p>
        </w:tc>
        <w:tc>
          <w:tcPr>
            <w:tcW w:w="1644" w:type="dxa"/>
            <w:vAlign w:val="center"/>
          </w:tcPr>
          <w:p w:rsidR="00543832" w:rsidRDefault="00984FB1">
            <w:pPr>
              <w:jc w:val="right"/>
            </w:pPr>
            <w:r>
              <w:rPr>
                <w:color w:val="000000"/>
                <w:sz w:val="24"/>
                <w:szCs w:val="24"/>
              </w:rPr>
              <w:t>5.81</w:t>
            </w:r>
          </w:p>
        </w:tc>
      </w:tr>
      <w:tr w:rsidR="00543832">
        <w:trPr>
          <w:jc w:val="center"/>
        </w:trPr>
        <w:tc>
          <w:tcPr>
            <w:tcW w:w="855" w:type="dxa"/>
            <w:vAlign w:val="center"/>
          </w:tcPr>
          <w:p w:rsidR="00543832" w:rsidRDefault="00984FB1">
            <w:pPr>
              <w:jc w:val="center"/>
            </w:pPr>
            <w:r>
              <w:rPr>
                <w:color w:val="000000"/>
                <w:sz w:val="24"/>
                <w:szCs w:val="24"/>
              </w:rPr>
              <w:t>2</w:t>
            </w:r>
          </w:p>
        </w:tc>
        <w:tc>
          <w:tcPr>
            <w:tcW w:w="1334" w:type="dxa"/>
            <w:vAlign w:val="center"/>
          </w:tcPr>
          <w:p w:rsidR="00543832" w:rsidRDefault="00984FB1">
            <w:pPr>
              <w:jc w:val="center"/>
            </w:pPr>
            <w:r>
              <w:rPr>
                <w:color w:val="000000"/>
                <w:sz w:val="24"/>
                <w:szCs w:val="24"/>
              </w:rPr>
              <w:t>002352</w:t>
            </w:r>
          </w:p>
        </w:tc>
        <w:tc>
          <w:tcPr>
            <w:tcW w:w="1777" w:type="dxa"/>
            <w:vAlign w:val="center"/>
          </w:tcPr>
          <w:p w:rsidR="00543832" w:rsidRDefault="00984FB1">
            <w:pPr>
              <w:jc w:val="center"/>
            </w:pPr>
            <w:r>
              <w:rPr>
                <w:color w:val="000000"/>
                <w:sz w:val="24"/>
                <w:szCs w:val="24"/>
              </w:rPr>
              <w:t>顺丰控股</w:t>
            </w:r>
          </w:p>
        </w:tc>
        <w:tc>
          <w:tcPr>
            <w:tcW w:w="1334" w:type="dxa"/>
            <w:vAlign w:val="center"/>
          </w:tcPr>
          <w:p w:rsidR="00543832" w:rsidRDefault="00984FB1">
            <w:pPr>
              <w:jc w:val="right"/>
            </w:pPr>
            <w:r>
              <w:rPr>
                <w:color w:val="000000"/>
                <w:sz w:val="24"/>
                <w:szCs w:val="24"/>
              </w:rPr>
              <w:t>4,819,273</w:t>
            </w:r>
          </w:p>
        </w:tc>
        <w:tc>
          <w:tcPr>
            <w:tcW w:w="1924" w:type="dxa"/>
            <w:vAlign w:val="center"/>
          </w:tcPr>
          <w:p w:rsidR="00543832" w:rsidRDefault="00984FB1">
            <w:pPr>
              <w:jc w:val="right"/>
            </w:pPr>
            <w:r>
              <w:rPr>
                <w:color w:val="000000"/>
                <w:sz w:val="24"/>
                <w:szCs w:val="24"/>
              </w:rPr>
              <w:t>263,458,233.10</w:t>
            </w:r>
          </w:p>
        </w:tc>
        <w:tc>
          <w:tcPr>
            <w:tcW w:w="1644" w:type="dxa"/>
            <w:vAlign w:val="center"/>
          </w:tcPr>
          <w:p w:rsidR="00543832" w:rsidRDefault="00984FB1">
            <w:pPr>
              <w:jc w:val="right"/>
            </w:pPr>
            <w:r>
              <w:rPr>
                <w:color w:val="000000"/>
                <w:sz w:val="24"/>
                <w:szCs w:val="24"/>
              </w:rPr>
              <w:t>5.48</w:t>
            </w:r>
          </w:p>
        </w:tc>
      </w:tr>
      <w:tr w:rsidR="00543832">
        <w:trPr>
          <w:jc w:val="center"/>
        </w:trPr>
        <w:tc>
          <w:tcPr>
            <w:tcW w:w="855" w:type="dxa"/>
            <w:vAlign w:val="center"/>
          </w:tcPr>
          <w:p w:rsidR="00543832" w:rsidRDefault="00984FB1">
            <w:pPr>
              <w:jc w:val="center"/>
            </w:pPr>
            <w:r>
              <w:rPr>
                <w:color w:val="000000"/>
                <w:sz w:val="24"/>
                <w:szCs w:val="24"/>
              </w:rPr>
              <w:t>3</w:t>
            </w:r>
          </w:p>
        </w:tc>
        <w:tc>
          <w:tcPr>
            <w:tcW w:w="1334" w:type="dxa"/>
            <w:vAlign w:val="center"/>
          </w:tcPr>
          <w:p w:rsidR="00543832" w:rsidRDefault="00984FB1">
            <w:pPr>
              <w:jc w:val="center"/>
            </w:pPr>
            <w:r>
              <w:rPr>
                <w:color w:val="000000"/>
                <w:sz w:val="24"/>
                <w:szCs w:val="24"/>
              </w:rPr>
              <w:t>002841</w:t>
            </w:r>
          </w:p>
        </w:tc>
        <w:tc>
          <w:tcPr>
            <w:tcW w:w="1777" w:type="dxa"/>
            <w:vAlign w:val="center"/>
          </w:tcPr>
          <w:p w:rsidR="00543832" w:rsidRDefault="00984FB1">
            <w:pPr>
              <w:jc w:val="center"/>
            </w:pPr>
            <w:r>
              <w:rPr>
                <w:color w:val="000000"/>
                <w:sz w:val="24"/>
                <w:szCs w:val="24"/>
              </w:rPr>
              <w:t>视源股份</w:t>
            </w:r>
          </w:p>
        </w:tc>
        <w:tc>
          <w:tcPr>
            <w:tcW w:w="1334" w:type="dxa"/>
            <w:vAlign w:val="center"/>
          </w:tcPr>
          <w:p w:rsidR="00543832" w:rsidRDefault="00984FB1">
            <w:pPr>
              <w:jc w:val="right"/>
            </w:pPr>
            <w:r>
              <w:rPr>
                <w:color w:val="000000"/>
                <w:sz w:val="24"/>
                <w:szCs w:val="24"/>
              </w:rPr>
              <w:t>2,405,628</w:t>
            </w:r>
          </w:p>
        </w:tc>
        <w:tc>
          <w:tcPr>
            <w:tcW w:w="1924" w:type="dxa"/>
            <w:vAlign w:val="center"/>
          </w:tcPr>
          <w:p w:rsidR="00543832" w:rsidRDefault="00984FB1">
            <w:pPr>
              <w:jc w:val="right"/>
            </w:pPr>
            <w:r>
              <w:rPr>
                <w:color w:val="000000"/>
                <w:sz w:val="24"/>
                <w:szCs w:val="24"/>
              </w:rPr>
              <w:t>234,093,098.56</w:t>
            </w:r>
          </w:p>
        </w:tc>
        <w:tc>
          <w:tcPr>
            <w:tcW w:w="1644" w:type="dxa"/>
            <w:vAlign w:val="center"/>
          </w:tcPr>
          <w:p w:rsidR="00543832" w:rsidRDefault="00984FB1">
            <w:pPr>
              <w:jc w:val="right"/>
            </w:pPr>
            <w:r>
              <w:rPr>
                <w:color w:val="000000"/>
                <w:sz w:val="24"/>
                <w:szCs w:val="24"/>
              </w:rPr>
              <w:t>4.87</w:t>
            </w:r>
          </w:p>
        </w:tc>
      </w:tr>
      <w:tr w:rsidR="00543832">
        <w:trPr>
          <w:jc w:val="center"/>
        </w:trPr>
        <w:tc>
          <w:tcPr>
            <w:tcW w:w="855" w:type="dxa"/>
            <w:vAlign w:val="center"/>
          </w:tcPr>
          <w:p w:rsidR="00543832" w:rsidRDefault="00984FB1">
            <w:pPr>
              <w:jc w:val="center"/>
            </w:pPr>
            <w:r>
              <w:rPr>
                <w:color w:val="000000"/>
                <w:sz w:val="24"/>
                <w:szCs w:val="24"/>
              </w:rPr>
              <w:t>4</w:t>
            </w:r>
          </w:p>
        </w:tc>
        <w:tc>
          <w:tcPr>
            <w:tcW w:w="1334" w:type="dxa"/>
            <w:vAlign w:val="center"/>
          </w:tcPr>
          <w:p w:rsidR="00543832" w:rsidRDefault="00984FB1">
            <w:pPr>
              <w:jc w:val="center"/>
            </w:pPr>
            <w:r>
              <w:rPr>
                <w:color w:val="000000"/>
                <w:sz w:val="24"/>
                <w:szCs w:val="24"/>
              </w:rPr>
              <w:t>603517</w:t>
            </w:r>
          </w:p>
        </w:tc>
        <w:tc>
          <w:tcPr>
            <w:tcW w:w="1777" w:type="dxa"/>
            <w:vAlign w:val="center"/>
          </w:tcPr>
          <w:p w:rsidR="00543832" w:rsidRDefault="00984FB1">
            <w:pPr>
              <w:jc w:val="center"/>
            </w:pPr>
            <w:r>
              <w:rPr>
                <w:color w:val="000000"/>
                <w:sz w:val="24"/>
                <w:szCs w:val="24"/>
              </w:rPr>
              <w:t>绝味食品</w:t>
            </w:r>
          </w:p>
        </w:tc>
        <w:tc>
          <w:tcPr>
            <w:tcW w:w="1334" w:type="dxa"/>
            <w:vAlign w:val="center"/>
          </w:tcPr>
          <w:p w:rsidR="00543832" w:rsidRDefault="00984FB1">
            <w:pPr>
              <w:jc w:val="right"/>
            </w:pPr>
            <w:r>
              <w:rPr>
                <w:color w:val="000000"/>
                <w:sz w:val="24"/>
                <w:szCs w:val="24"/>
              </w:rPr>
              <w:t>2,948,962</w:t>
            </w:r>
          </w:p>
        </w:tc>
        <w:tc>
          <w:tcPr>
            <w:tcW w:w="1924" w:type="dxa"/>
            <w:vAlign w:val="center"/>
          </w:tcPr>
          <w:p w:rsidR="00543832" w:rsidRDefault="00984FB1">
            <w:pPr>
              <w:jc w:val="right"/>
            </w:pPr>
            <w:r>
              <w:rPr>
                <w:color w:val="000000"/>
                <w:sz w:val="24"/>
                <w:szCs w:val="24"/>
              </w:rPr>
              <w:t>208,609,571.88</w:t>
            </w:r>
          </w:p>
        </w:tc>
        <w:tc>
          <w:tcPr>
            <w:tcW w:w="1644" w:type="dxa"/>
            <w:vAlign w:val="center"/>
          </w:tcPr>
          <w:p w:rsidR="00543832" w:rsidRDefault="00984FB1">
            <w:pPr>
              <w:jc w:val="right"/>
            </w:pPr>
            <w:r>
              <w:rPr>
                <w:color w:val="000000"/>
                <w:sz w:val="24"/>
                <w:szCs w:val="24"/>
              </w:rPr>
              <w:t>4.34</w:t>
            </w:r>
          </w:p>
        </w:tc>
      </w:tr>
      <w:tr w:rsidR="00543832">
        <w:trPr>
          <w:jc w:val="center"/>
        </w:trPr>
        <w:tc>
          <w:tcPr>
            <w:tcW w:w="855" w:type="dxa"/>
            <w:vAlign w:val="center"/>
          </w:tcPr>
          <w:p w:rsidR="00543832" w:rsidRDefault="00984FB1">
            <w:pPr>
              <w:jc w:val="center"/>
            </w:pPr>
            <w:r>
              <w:rPr>
                <w:color w:val="000000"/>
                <w:sz w:val="24"/>
                <w:szCs w:val="24"/>
              </w:rPr>
              <w:t>5</w:t>
            </w:r>
          </w:p>
        </w:tc>
        <w:tc>
          <w:tcPr>
            <w:tcW w:w="1334" w:type="dxa"/>
            <w:vAlign w:val="center"/>
          </w:tcPr>
          <w:p w:rsidR="00543832" w:rsidRDefault="00984FB1">
            <w:pPr>
              <w:jc w:val="center"/>
            </w:pPr>
            <w:r>
              <w:rPr>
                <w:color w:val="000000"/>
                <w:sz w:val="24"/>
                <w:szCs w:val="24"/>
              </w:rPr>
              <w:t>600690</w:t>
            </w:r>
          </w:p>
        </w:tc>
        <w:tc>
          <w:tcPr>
            <w:tcW w:w="1777" w:type="dxa"/>
            <w:vAlign w:val="center"/>
          </w:tcPr>
          <w:p w:rsidR="00543832" w:rsidRDefault="00984FB1">
            <w:pPr>
              <w:jc w:val="center"/>
            </w:pPr>
            <w:r>
              <w:rPr>
                <w:color w:val="000000"/>
                <w:sz w:val="24"/>
                <w:szCs w:val="24"/>
              </w:rPr>
              <w:t>海尔智家</w:t>
            </w:r>
          </w:p>
        </w:tc>
        <w:tc>
          <w:tcPr>
            <w:tcW w:w="1334" w:type="dxa"/>
            <w:vAlign w:val="center"/>
          </w:tcPr>
          <w:p w:rsidR="00543832" w:rsidRDefault="00984FB1">
            <w:pPr>
              <w:jc w:val="right"/>
            </w:pPr>
            <w:r>
              <w:rPr>
                <w:color w:val="000000"/>
                <w:sz w:val="24"/>
                <w:szCs w:val="24"/>
              </w:rPr>
              <w:t>10,508,846</w:t>
            </w:r>
          </w:p>
        </w:tc>
        <w:tc>
          <w:tcPr>
            <w:tcW w:w="1924" w:type="dxa"/>
            <w:vAlign w:val="center"/>
          </w:tcPr>
          <w:p w:rsidR="00543832" w:rsidRDefault="00984FB1">
            <w:pPr>
              <w:jc w:val="right"/>
            </w:pPr>
            <w:r>
              <w:rPr>
                <w:color w:val="000000"/>
                <w:sz w:val="24"/>
                <w:szCs w:val="24"/>
              </w:rPr>
              <w:t>186,006,574.20</w:t>
            </w:r>
          </w:p>
        </w:tc>
        <w:tc>
          <w:tcPr>
            <w:tcW w:w="1644" w:type="dxa"/>
            <w:vAlign w:val="center"/>
          </w:tcPr>
          <w:p w:rsidR="00543832" w:rsidRDefault="00984FB1">
            <w:pPr>
              <w:jc w:val="right"/>
            </w:pPr>
            <w:r>
              <w:rPr>
                <w:color w:val="000000"/>
                <w:sz w:val="24"/>
                <w:szCs w:val="24"/>
              </w:rPr>
              <w:t>3.87</w:t>
            </w:r>
          </w:p>
        </w:tc>
      </w:tr>
      <w:tr w:rsidR="00543832">
        <w:trPr>
          <w:jc w:val="center"/>
        </w:trPr>
        <w:tc>
          <w:tcPr>
            <w:tcW w:w="855" w:type="dxa"/>
            <w:vAlign w:val="center"/>
          </w:tcPr>
          <w:p w:rsidR="00543832" w:rsidRDefault="00984FB1">
            <w:pPr>
              <w:jc w:val="center"/>
            </w:pPr>
            <w:r>
              <w:rPr>
                <w:color w:val="000000"/>
                <w:sz w:val="24"/>
                <w:szCs w:val="24"/>
              </w:rPr>
              <w:t>6</w:t>
            </w:r>
          </w:p>
        </w:tc>
        <w:tc>
          <w:tcPr>
            <w:tcW w:w="1334" w:type="dxa"/>
            <w:vAlign w:val="center"/>
          </w:tcPr>
          <w:p w:rsidR="00543832" w:rsidRDefault="00984FB1">
            <w:pPr>
              <w:jc w:val="center"/>
            </w:pPr>
            <w:r>
              <w:rPr>
                <w:color w:val="000000"/>
                <w:sz w:val="24"/>
                <w:szCs w:val="24"/>
              </w:rPr>
              <w:t>002050</w:t>
            </w:r>
          </w:p>
        </w:tc>
        <w:tc>
          <w:tcPr>
            <w:tcW w:w="1777" w:type="dxa"/>
            <w:vAlign w:val="center"/>
          </w:tcPr>
          <w:p w:rsidR="00543832" w:rsidRDefault="00984FB1">
            <w:pPr>
              <w:jc w:val="center"/>
            </w:pPr>
            <w:r>
              <w:rPr>
                <w:color w:val="000000"/>
                <w:sz w:val="24"/>
                <w:szCs w:val="24"/>
              </w:rPr>
              <w:t>三花智控</w:t>
            </w:r>
          </w:p>
        </w:tc>
        <w:tc>
          <w:tcPr>
            <w:tcW w:w="1334" w:type="dxa"/>
            <w:vAlign w:val="center"/>
          </w:tcPr>
          <w:p w:rsidR="00543832" w:rsidRDefault="00984FB1">
            <w:pPr>
              <w:jc w:val="right"/>
            </w:pPr>
            <w:r>
              <w:rPr>
                <w:color w:val="000000"/>
                <w:sz w:val="24"/>
                <w:szCs w:val="24"/>
              </w:rPr>
              <w:t>8,245,111</w:t>
            </w:r>
          </w:p>
        </w:tc>
        <w:tc>
          <w:tcPr>
            <w:tcW w:w="1924" w:type="dxa"/>
            <w:vAlign w:val="center"/>
          </w:tcPr>
          <w:p w:rsidR="00543832" w:rsidRDefault="00984FB1">
            <w:pPr>
              <w:jc w:val="right"/>
            </w:pPr>
            <w:r>
              <w:rPr>
                <w:color w:val="000000"/>
                <w:sz w:val="24"/>
                <w:szCs w:val="24"/>
              </w:rPr>
              <w:t>180,567,930.90</w:t>
            </w:r>
          </w:p>
        </w:tc>
        <w:tc>
          <w:tcPr>
            <w:tcW w:w="1644" w:type="dxa"/>
            <w:vAlign w:val="center"/>
          </w:tcPr>
          <w:p w:rsidR="00543832" w:rsidRDefault="00984FB1">
            <w:pPr>
              <w:jc w:val="right"/>
            </w:pPr>
            <w:r>
              <w:rPr>
                <w:color w:val="000000"/>
                <w:sz w:val="24"/>
                <w:szCs w:val="24"/>
              </w:rPr>
              <w:t>3.76</w:t>
            </w:r>
          </w:p>
        </w:tc>
      </w:tr>
      <w:tr w:rsidR="00543832">
        <w:trPr>
          <w:jc w:val="center"/>
        </w:trPr>
        <w:tc>
          <w:tcPr>
            <w:tcW w:w="855" w:type="dxa"/>
            <w:vAlign w:val="center"/>
          </w:tcPr>
          <w:p w:rsidR="00543832" w:rsidRDefault="00984FB1">
            <w:pPr>
              <w:jc w:val="center"/>
            </w:pPr>
            <w:r>
              <w:rPr>
                <w:color w:val="000000"/>
                <w:sz w:val="24"/>
                <w:szCs w:val="24"/>
              </w:rPr>
              <w:t>7</w:t>
            </w:r>
          </w:p>
        </w:tc>
        <w:tc>
          <w:tcPr>
            <w:tcW w:w="1334" w:type="dxa"/>
            <w:vAlign w:val="center"/>
          </w:tcPr>
          <w:p w:rsidR="00543832" w:rsidRDefault="00984FB1">
            <w:pPr>
              <w:jc w:val="center"/>
            </w:pPr>
            <w:r>
              <w:rPr>
                <w:color w:val="000000"/>
                <w:sz w:val="24"/>
                <w:szCs w:val="24"/>
              </w:rPr>
              <w:t>002555</w:t>
            </w:r>
          </w:p>
        </w:tc>
        <w:tc>
          <w:tcPr>
            <w:tcW w:w="1777" w:type="dxa"/>
            <w:vAlign w:val="center"/>
          </w:tcPr>
          <w:p w:rsidR="00543832" w:rsidRDefault="00984FB1">
            <w:pPr>
              <w:jc w:val="center"/>
            </w:pPr>
            <w:r>
              <w:rPr>
                <w:color w:val="000000"/>
                <w:sz w:val="24"/>
                <w:szCs w:val="24"/>
              </w:rPr>
              <w:t>三七互娱</w:t>
            </w:r>
          </w:p>
        </w:tc>
        <w:tc>
          <w:tcPr>
            <w:tcW w:w="1334" w:type="dxa"/>
            <w:vAlign w:val="center"/>
          </w:tcPr>
          <w:p w:rsidR="00543832" w:rsidRDefault="00984FB1">
            <w:pPr>
              <w:jc w:val="right"/>
            </w:pPr>
            <w:r>
              <w:rPr>
                <w:color w:val="000000"/>
                <w:sz w:val="24"/>
                <w:szCs w:val="24"/>
              </w:rPr>
              <w:t>3,817,899</w:t>
            </w:r>
          </w:p>
        </w:tc>
        <w:tc>
          <w:tcPr>
            <w:tcW w:w="1924" w:type="dxa"/>
            <w:vAlign w:val="center"/>
          </w:tcPr>
          <w:p w:rsidR="00543832" w:rsidRDefault="00984FB1">
            <w:pPr>
              <w:jc w:val="right"/>
            </w:pPr>
            <w:r>
              <w:rPr>
                <w:color w:val="000000"/>
                <w:sz w:val="24"/>
                <w:szCs w:val="24"/>
              </w:rPr>
              <w:t>177,052,673.20</w:t>
            </w:r>
          </w:p>
        </w:tc>
        <w:tc>
          <w:tcPr>
            <w:tcW w:w="1644" w:type="dxa"/>
            <w:vAlign w:val="center"/>
          </w:tcPr>
          <w:p w:rsidR="00543832" w:rsidRDefault="00984FB1">
            <w:pPr>
              <w:jc w:val="right"/>
            </w:pPr>
            <w:r>
              <w:rPr>
                <w:color w:val="000000"/>
                <w:sz w:val="24"/>
                <w:szCs w:val="24"/>
              </w:rPr>
              <w:t>3.68</w:t>
            </w:r>
          </w:p>
        </w:tc>
      </w:tr>
      <w:tr w:rsidR="00543832">
        <w:trPr>
          <w:jc w:val="center"/>
        </w:trPr>
        <w:tc>
          <w:tcPr>
            <w:tcW w:w="855" w:type="dxa"/>
            <w:vAlign w:val="center"/>
          </w:tcPr>
          <w:p w:rsidR="00543832" w:rsidRDefault="00984FB1">
            <w:pPr>
              <w:jc w:val="center"/>
            </w:pPr>
            <w:r>
              <w:rPr>
                <w:color w:val="000000"/>
                <w:sz w:val="24"/>
                <w:szCs w:val="24"/>
              </w:rPr>
              <w:t>8</w:t>
            </w:r>
          </w:p>
        </w:tc>
        <w:tc>
          <w:tcPr>
            <w:tcW w:w="1334" w:type="dxa"/>
            <w:vAlign w:val="center"/>
          </w:tcPr>
          <w:p w:rsidR="00543832" w:rsidRDefault="00984FB1">
            <w:pPr>
              <w:jc w:val="center"/>
            </w:pPr>
            <w:r>
              <w:rPr>
                <w:color w:val="000000"/>
                <w:sz w:val="24"/>
                <w:szCs w:val="24"/>
              </w:rPr>
              <w:t>002607</w:t>
            </w:r>
          </w:p>
        </w:tc>
        <w:tc>
          <w:tcPr>
            <w:tcW w:w="1777" w:type="dxa"/>
            <w:vAlign w:val="center"/>
          </w:tcPr>
          <w:p w:rsidR="00543832" w:rsidRDefault="00984FB1">
            <w:pPr>
              <w:jc w:val="center"/>
            </w:pPr>
            <w:r>
              <w:rPr>
                <w:color w:val="000000"/>
                <w:sz w:val="24"/>
                <w:szCs w:val="24"/>
              </w:rPr>
              <w:t>中公教育</w:t>
            </w:r>
          </w:p>
        </w:tc>
        <w:tc>
          <w:tcPr>
            <w:tcW w:w="1334" w:type="dxa"/>
            <w:vAlign w:val="center"/>
          </w:tcPr>
          <w:p w:rsidR="00543832" w:rsidRDefault="00984FB1">
            <w:pPr>
              <w:jc w:val="right"/>
            </w:pPr>
            <w:r>
              <w:rPr>
                <w:color w:val="000000"/>
                <w:sz w:val="24"/>
                <w:szCs w:val="24"/>
              </w:rPr>
              <w:t>5,840,791</w:t>
            </w:r>
          </w:p>
        </w:tc>
        <w:tc>
          <w:tcPr>
            <w:tcW w:w="1924" w:type="dxa"/>
            <w:vAlign w:val="center"/>
          </w:tcPr>
          <w:p w:rsidR="00543832" w:rsidRDefault="00984FB1">
            <w:pPr>
              <w:jc w:val="right"/>
            </w:pPr>
            <w:r>
              <w:rPr>
                <w:color w:val="000000"/>
                <w:sz w:val="24"/>
                <w:szCs w:val="24"/>
              </w:rPr>
              <w:t>162,081,950.25</w:t>
            </w:r>
          </w:p>
        </w:tc>
        <w:tc>
          <w:tcPr>
            <w:tcW w:w="1644" w:type="dxa"/>
            <w:vAlign w:val="center"/>
          </w:tcPr>
          <w:p w:rsidR="00543832" w:rsidRDefault="00984FB1">
            <w:pPr>
              <w:jc w:val="right"/>
            </w:pPr>
            <w:r>
              <w:rPr>
                <w:color w:val="000000"/>
                <w:sz w:val="24"/>
                <w:szCs w:val="24"/>
              </w:rPr>
              <w:t>3.37</w:t>
            </w:r>
          </w:p>
        </w:tc>
      </w:tr>
      <w:tr w:rsidR="00543832">
        <w:trPr>
          <w:jc w:val="center"/>
        </w:trPr>
        <w:tc>
          <w:tcPr>
            <w:tcW w:w="855" w:type="dxa"/>
            <w:vAlign w:val="center"/>
          </w:tcPr>
          <w:p w:rsidR="00543832" w:rsidRDefault="00984FB1">
            <w:pPr>
              <w:jc w:val="center"/>
            </w:pPr>
            <w:r>
              <w:rPr>
                <w:color w:val="000000"/>
                <w:sz w:val="24"/>
                <w:szCs w:val="24"/>
              </w:rPr>
              <w:t>9</w:t>
            </w:r>
          </w:p>
        </w:tc>
        <w:tc>
          <w:tcPr>
            <w:tcW w:w="1334" w:type="dxa"/>
            <w:vAlign w:val="center"/>
          </w:tcPr>
          <w:p w:rsidR="00543832" w:rsidRDefault="00984FB1">
            <w:pPr>
              <w:jc w:val="center"/>
            </w:pPr>
            <w:r>
              <w:rPr>
                <w:color w:val="000000"/>
                <w:sz w:val="24"/>
                <w:szCs w:val="24"/>
              </w:rPr>
              <w:t>002271</w:t>
            </w:r>
          </w:p>
        </w:tc>
        <w:tc>
          <w:tcPr>
            <w:tcW w:w="1777" w:type="dxa"/>
            <w:vAlign w:val="center"/>
          </w:tcPr>
          <w:p w:rsidR="00543832" w:rsidRDefault="00984FB1">
            <w:pPr>
              <w:jc w:val="center"/>
            </w:pPr>
            <w:r>
              <w:rPr>
                <w:color w:val="000000"/>
                <w:sz w:val="24"/>
                <w:szCs w:val="24"/>
              </w:rPr>
              <w:t>东方雨虹</w:t>
            </w:r>
          </w:p>
        </w:tc>
        <w:tc>
          <w:tcPr>
            <w:tcW w:w="1334" w:type="dxa"/>
            <w:vAlign w:val="center"/>
          </w:tcPr>
          <w:p w:rsidR="00543832" w:rsidRDefault="00984FB1">
            <w:pPr>
              <w:jc w:val="right"/>
            </w:pPr>
            <w:r>
              <w:rPr>
                <w:color w:val="000000"/>
                <w:sz w:val="24"/>
                <w:szCs w:val="24"/>
              </w:rPr>
              <w:t>3,908,450</w:t>
            </w:r>
          </w:p>
        </w:tc>
        <w:tc>
          <w:tcPr>
            <w:tcW w:w="1924" w:type="dxa"/>
            <w:vAlign w:val="center"/>
          </w:tcPr>
          <w:p w:rsidR="00543832" w:rsidRDefault="00984FB1">
            <w:pPr>
              <w:jc w:val="right"/>
            </w:pPr>
            <w:r>
              <w:rPr>
                <w:color w:val="000000"/>
                <w:sz w:val="24"/>
                <w:szCs w:val="24"/>
              </w:rPr>
              <w:t>158,800,323.50</w:t>
            </w:r>
          </w:p>
        </w:tc>
        <w:tc>
          <w:tcPr>
            <w:tcW w:w="1644" w:type="dxa"/>
            <w:vAlign w:val="center"/>
          </w:tcPr>
          <w:p w:rsidR="00543832" w:rsidRDefault="00984FB1">
            <w:pPr>
              <w:jc w:val="right"/>
            </w:pPr>
            <w:r>
              <w:rPr>
                <w:color w:val="000000"/>
                <w:sz w:val="24"/>
                <w:szCs w:val="24"/>
              </w:rPr>
              <w:t>3.30</w:t>
            </w:r>
          </w:p>
        </w:tc>
      </w:tr>
      <w:tr w:rsidR="00543832">
        <w:trPr>
          <w:jc w:val="center"/>
        </w:trPr>
        <w:tc>
          <w:tcPr>
            <w:tcW w:w="855" w:type="dxa"/>
            <w:vAlign w:val="center"/>
          </w:tcPr>
          <w:p w:rsidR="00543832" w:rsidRDefault="00984FB1">
            <w:pPr>
              <w:jc w:val="center"/>
            </w:pPr>
            <w:r>
              <w:rPr>
                <w:color w:val="000000"/>
                <w:sz w:val="24"/>
                <w:szCs w:val="24"/>
              </w:rPr>
              <w:t>10</w:t>
            </w:r>
          </w:p>
        </w:tc>
        <w:tc>
          <w:tcPr>
            <w:tcW w:w="1334" w:type="dxa"/>
            <w:vAlign w:val="center"/>
          </w:tcPr>
          <w:p w:rsidR="00543832" w:rsidRDefault="00984FB1">
            <w:pPr>
              <w:jc w:val="center"/>
            </w:pPr>
            <w:r>
              <w:rPr>
                <w:color w:val="000000"/>
                <w:sz w:val="24"/>
                <w:szCs w:val="24"/>
              </w:rPr>
              <w:t>600522</w:t>
            </w:r>
          </w:p>
        </w:tc>
        <w:tc>
          <w:tcPr>
            <w:tcW w:w="1777" w:type="dxa"/>
            <w:vAlign w:val="center"/>
          </w:tcPr>
          <w:p w:rsidR="00543832" w:rsidRDefault="00984FB1">
            <w:pPr>
              <w:jc w:val="center"/>
            </w:pPr>
            <w:r>
              <w:rPr>
                <w:color w:val="000000"/>
                <w:sz w:val="24"/>
                <w:szCs w:val="24"/>
              </w:rPr>
              <w:t>中天科技</w:t>
            </w:r>
          </w:p>
        </w:tc>
        <w:tc>
          <w:tcPr>
            <w:tcW w:w="1334" w:type="dxa"/>
            <w:vAlign w:val="center"/>
          </w:tcPr>
          <w:p w:rsidR="00543832" w:rsidRDefault="00984FB1">
            <w:pPr>
              <w:jc w:val="right"/>
            </w:pPr>
            <w:r>
              <w:rPr>
                <w:color w:val="000000"/>
                <w:sz w:val="24"/>
                <w:szCs w:val="24"/>
              </w:rPr>
              <w:t>13,271,889</w:t>
            </w:r>
          </w:p>
        </w:tc>
        <w:tc>
          <w:tcPr>
            <w:tcW w:w="1924" w:type="dxa"/>
            <w:vAlign w:val="center"/>
          </w:tcPr>
          <w:p w:rsidR="00543832" w:rsidRDefault="00984FB1">
            <w:pPr>
              <w:jc w:val="right"/>
            </w:pPr>
            <w:r>
              <w:rPr>
                <w:color w:val="000000"/>
                <w:sz w:val="24"/>
                <w:szCs w:val="24"/>
              </w:rPr>
              <w:t>151,963,129.05</w:t>
            </w:r>
          </w:p>
        </w:tc>
        <w:tc>
          <w:tcPr>
            <w:tcW w:w="1644" w:type="dxa"/>
            <w:vAlign w:val="center"/>
          </w:tcPr>
          <w:p w:rsidR="00543832" w:rsidRDefault="00984FB1">
            <w:pPr>
              <w:jc w:val="right"/>
            </w:pPr>
            <w:r>
              <w:rPr>
                <w:color w:val="000000"/>
                <w:sz w:val="24"/>
                <w:szCs w:val="24"/>
              </w:rPr>
              <w:t>3.16</w:t>
            </w:r>
          </w:p>
        </w:tc>
      </w:tr>
    </w:tbl>
    <w:p w:rsidR="004061AC" w:rsidRPr="00414345" w:rsidRDefault="004061AC" w:rsidP="00C15CAC">
      <w:pPr>
        <w:autoSpaceDE w:val="0"/>
        <w:autoSpaceDN w:val="0"/>
        <w:adjustRightInd w:val="0"/>
        <w:spacing w:before="29" w:line="288" w:lineRule="auto"/>
        <w:jc w:val="left"/>
        <w:rPr>
          <w:b/>
          <w:bCs/>
          <w:color w:val="000000"/>
          <w:kern w:val="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5.4 </w:t>
      </w:r>
      <w:r w:rsidRPr="00414345">
        <w:rPr>
          <w:b/>
          <w:bCs/>
          <w:color w:val="000000"/>
          <w:kern w:val="0"/>
          <w:sz w:val="24"/>
          <w:szCs w:val="24"/>
        </w:rPr>
        <w:t>报告期末按债券品种分类的债券投资组合</w:t>
      </w:r>
    </w:p>
    <w:p w:rsidR="00CE7169" w:rsidRPr="00CE7169" w:rsidRDefault="009C1009" w:rsidP="009C1009">
      <w:pPr>
        <w:autoSpaceDE w:val="0"/>
        <w:autoSpaceDN w:val="0"/>
        <w:adjustRightInd w:val="0"/>
        <w:spacing w:before="29" w:line="288" w:lineRule="auto"/>
        <w:jc w:val="right"/>
        <w:rPr>
          <w:bCs/>
          <w:color w:val="000000"/>
          <w:kern w:val="0"/>
          <w:sz w:val="24"/>
          <w:szCs w:val="24"/>
        </w:rPr>
      </w:pPr>
      <w:r w:rsidRPr="009C1009">
        <w:rPr>
          <w:rFonts w:hint="eastAsia"/>
          <w:bCs/>
          <w:color w:val="000000"/>
          <w:kern w:val="0"/>
          <w:sz w:val="24"/>
          <w:szCs w:val="24"/>
        </w:rPr>
        <w:t>金额单位：人民币元</w:t>
      </w:r>
    </w:p>
    <w:tbl>
      <w:tblPr>
        <w:tblStyle w:val="af7"/>
        <w:tblW w:w="8868" w:type="dxa"/>
        <w:jc w:val="center"/>
        <w:tblLayout w:type="fixed"/>
        <w:tblLook w:val="04A0" w:firstRow="1" w:lastRow="0" w:firstColumn="1" w:lastColumn="0" w:noHBand="0" w:noVBand="1"/>
      </w:tblPr>
      <w:tblGrid>
        <w:gridCol w:w="828"/>
        <w:gridCol w:w="3302"/>
        <w:gridCol w:w="2987"/>
        <w:gridCol w:w="1751"/>
      </w:tblGrid>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序号</w:t>
            </w:r>
          </w:p>
        </w:tc>
        <w:tc>
          <w:tcPr>
            <w:tcW w:w="3302"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债券品种</w:t>
            </w:r>
          </w:p>
        </w:tc>
        <w:tc>
          <w:tcPr>
            <w:tcW w:w="2987"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公允价值</w:t>
            </w:r>
          </w:p>
        </w:tc>
        <w:tc>
          <w:tcPr>
            <w:tcW w:w="1751"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占基金资产净值比例</w:t>
            </w:r>
            <w:r w:rsidR="003F0956">
              <w:rPr>
                <w:rFonts w:hint="eastAsia"/>
                <w:color w:val="000000"/>
                <w:sz w:val="24"/>
              </w:rPr>
              <w:t>(</w:t>
            </w:r>
            <w:r w:rsidR="003F0956">
              <w:rPr>
                <w:color w:val="000000"/>
                <w:sz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1</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国家债券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2</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央行票据</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3</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金融债券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189,811,000.00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3.95</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其中：政策性金融债</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189,811,000.00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3.95</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4</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企业债券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5</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企业短期融资</w:t>
            </w:r>
            <w:r w:rsidR="00963F40" w:rsidRPr="00414345">
              <w:rPr>
                <w:color w:val="000000"/>
                <w:sz w:val="24"/>
                <w:szCs w:val="24"/>
              </w:rPr>
              <w:t>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FB41D3" w:rsidRPr="00414345" w:rsidTr="00F323FF">
        <w:trPr>
          <w:jc w:val="center"/>
        </w:trPr>
        <w:tc>
          <w:tcPr>
            <w:tcW w:w="828" w:type="dxa"/>
            <w:vAlign w:val="center"/>
          </w:tcPr>
          <w:p w:rsidR="00FB41D3" w:rsidRPr="00414345" w:rsidRDefault="00FB41D3" w:rsidP="00C15CAC">
            <w:pPr>
              <w:spacing w:before="29" w:line="288" w:lineRule="auto"/>
              <w:ind w:left="17"/>
              <w:jc w:val="center"/>
              <w:rPr>
                <w:color w:val="000000"/>
                <w:sz w:val="24"/>
                <w:szCs w:val="24"/>
              </w:rPr>
            </w:pPr>
            <w:r w:rsidRPr="00414345">
              <w:rPr>
                <w:color w:val="000000"/>
                <w:sz w:val="24"/>
                <w:szCs w:val="24"/>
              </w:rPr>
              <w:t>6</w:t>
            </w:r>
          </w:p>
        </w:tc>
        <w:tc>
          <w:tcPr>
            <w:tcW w:w="3302" w:type="dxa"/>
            <w:vAlign w:val="center"/>
          </w:tcPr>
          <w:p w:rsidR="00FB41D3" w:rsidRPr="00414345" w:rsidRDefault="00FB41D3" w:rsidP="00C15CAC">
            <w:pPr>
              <w:spacing w:before="29" w:line="288" w:lineRule="auto"/>
              <w:ind w:left="17"/>
              <w:jc w:val="left"/>
              <w:rPr>
                <w:color w:val="000000"/>
                <w:sz w:val="24"/>
                <w:szCs w:val="24"/>
              </w:rPr>
            </w:pPr>
            <w:r w:rsidRPr="00414345">
              <w:rPr>
                <w:color w:val="000000"/>
                <w:sz w:val="24"/>
                <w:szCs w:val="24"/>
              </w:rPr>
              <w:t>中期票据</w:t>
            </w:r>
          </w:p>
        </w:tc>
        <w:tc>
          <w:tcPr>
            <w:tcW w:w="2987" w:type="dxa"/>
            <w:vAlign w:val="center"/>
          </w:tcPr>
          <w:p w:rsidR="00FB41D3" w:rsidRPr="00414345" w:rsidRDefault="00FB41D3"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FB41D3" w:rsidRPr="00414345" w:rsidRDefault="00FB41D3"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FB41D3" w:rsidP="00C15CAC">
            <w:pPr>
              <w:spacing w:before="29" w:line="288" w:lineRule="auto"/>
              <w:ind w:left="17"/>
              <w:jc w:val="center"/>
              <w:rPr>
                <w:color w:val="000000"/>
                <w:sz w:val="24"/>
                <w:szCs w:val="24"/>
              </w:rPr>
            </w:pPr>
            <w:r w:rsidRPr="00414345">
              <w:rPr>
                <w:color w:val="000000"/>
                <w:sz w:val="24"/>
                <w:szCs w:val="24"/>
              </w:rPr>
              <w:t>7</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可转债</w:t>
            </w:r>
            <w:r w:rsidR="00AB6E79">
              <w:rPr>
                <w:rFonts w:hint="eastAsia"/>
                <w:sz w:val="24"/>
              </w:rPr>
              <w:t>（可交换债）</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4,156,179.48</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0.09</w:t>
            </w:r>
          </w:p>
        </w:tc>
      </w:tr>
      <w:tr w:rsidR="00F323FF" w:rsidRPr="00414345" w:rsidTr="0006711A">
        <w:trPr>
          <w:jc w:val="center"/>
        </w:trPr>
        <w:tc>
          <w:tcPr>
            <w:tcW w:w="828" w:type="dxa"/>
            <w:vAlign w:val="center"/>
          </w:tcPr>
          <w:p w:rsidR="00F323FF" w:rsidRPr="007A70C2" w:rsidRDefault="00F323FF" w:rsidP="0006711A">
            <w:pPr>
              <w:spacing w:before="29" w:line="288" w:lineRule="auto"/>
              <w:ind w:left="17"/>
              <w:jc w:val="center"/>
              <w:rPr>
                <w:color w:val="000000"/>
                <w:sz w:val="24"/>
                <w:szCs w:val="24"/>
              </w:rPr>
            </w:pPr>
            <w:r w:rsidRPr="007A70C2">
              <w:rPr>
                <w:rFonts w:hint="eastAsia"/>
                <w:color w:val="000000"/>
                <w:sz w:val="24"/>
                <w:szCs w:val="24"/>
              </w:rPr>
              <w:t>8</w:t>
            </w:r>
          </w:p>
        </w:tc>
        <w:tc>
          <w:tcPr>
            <w:tcW w:w="3302" w:type="dxa"/>
            <w:vAlign w:val="center"/>
          </w:tcPr>
          <w:p w:rsidR="00F323FF" w:rsidRPr="007A70C2" w:rsidRDefault="00F323FF" w:rsidP="0006711A">
            <w:pPr>
              <w:spacing w:before="29" w:line="288" w:lineRule="auto"/>
              <w:ind w:left="17"/>
              <w:jc w:val="left"/>
              <w:rPr>
                <w:color w:val="000000"/>
                <w:sz w:val="24"/>
                <w:szCs w:val="24"/>
              </w:rPr>
            </w:pPr>
            <w:r w:rsidRPr="007A70C2">
              <w:rPr>
                <w:rFonts w:hint="eastAsia"/>
                <w:color w:val="000000"/>
                <w:sz w:val="24"/>
                <w:szCs w:val="24"/>
              </w:rPr>
              <w:t>同业存单</w:t>
            </w:r>
          </w:p>
        </w:tc>
        <w:tc>
          <w:tcPr>
            <w:tcW w:w="2987" w:type="dxa"/>
            <w:vAlign w:val="center"/>
          </w:tcPr>
          <w:p w:rsidR="00F323FF" w:rsidRPr="007A70C2" w:rsidRDefault="00F323FF" w:rsidP="0006711A">
            <w:pPr>
              <w:spacing w:before="29" w:line="288" w:lineRule="auto"/>
              <w:ind w:left="17"/>
              <w:jc w:val="right"/>
              <w:rPr>
                <w:color w:val="000000"/>
                <w:sz w:val="24"/>
                <w:szCs w:val="24"/>
              </w:rPr>
            </w:pPr>
            <w:r w:rsidRPr="007A70C2">
              <w:rPr>
                <w:rFonts w:hint="eastAsia"/>
                <w:color w:val="000000"/>
                <w:sz w:val="24"/>
                <w:szCs w:val="24"/>
              </w:rPr>
              <w:t>-</w:t>
            </w:r>
          </w:p>
        </w:tc>
        <w:tc>
          <w:tcPr>
            <w:tcW w:w="1751" w:type="dxa"/>
            <w:vAlign w:val="center"/>
          </w:tcPr>
          <w:p w:rsidR="00F323FF" w:rsidRPr="007A70C2" w:rsidRDefault="00F323FF" w:rsidP="0006711A">
            <w:pPr>
              <w:spacing w:before="29" w:line="288" w:lineRule="auto"/>
              <w:ind w:left="17"/>
              <w:jc w:val="right"/>
              <w:rPr>
                <w:color w:val="000000"/>
                <w:sz w:val="24"/>
                <w:szCs w:val="24"/>
              </w:rPr>
            </w:pPr>
            <w:r w:rsidRPr="007A70C2">
              <w:rPr>
                <w:rFonts w:hint="eastAsia"/>
                <w:color w:val="000000"/>
                <w:sz w:val="24"/>
                <w:szCs w:val="24"/>
              </w:rPr>
              <w:t>-</w:t>
            </w:r>
          </w:p>
        </w:tc>
      </w:tr>
      <w:tr w:rsidR="00AC592E" w:rsidRPr="00414345" w:rsidTr="00F323FF">
        <w:trPr>
          <w:jc w:val="center"/>
        </w:trPr>
        <w:tc>
          <w:tcPr>
            <w:tcW w:w="828" w:type="dxa"/>
            <w:vAlign w:val="center"/>
          </w:tcPr>
          <w:p w:rsidR="00AC592E" w:rsidRPr="00414345" w:rsidRDefault="00AC592E" w:rsidP="00F323FF">
            <w:pPr>
              <w:spacing w:before="29" w:line="288" w:lineRule="auto"/>
              <w:ind w:left="17"/>
              <w:jc w:val="center"/>
              <w:rPr>
                <w:color w:val="000000"/>
                <w:sz w:val="24"/>
                <w:szCs w:val="24"/>
              </w:rPr>
            </w:pPr>
            <w:r w:rsidRPr="00414345">
              <w:rPr>
                <w:color w:val="000000"/>
                <w:sz w:val="24"/>
                <w:szCs w:val="24"/>
              </w:rPr>
              <w:t>9</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其他</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F323FF">
            <w:pPr>
              <w:spacing w:before="29" w:line="288" w:lineRule="auto"/>
              <w:ind w:left="17"/>
              <w:jc w:val="center"/>
              <w:rPr>
                <w:color w:val="000000"/>
                <w:sz w:val="24"/>
                <w:szCs w:val="24"/>
              </w:rPr>
            </w:pPr>
            <w:r w:rsidRPr="00414345">
              <w:rPr>
                <w:color w:val="000000"/>
                <w:sz w:val="24"/>
                <w:szCs w:val="24"/>
              </w:rPr>
              <w:t>10</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合计</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193,967,179.48</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4.03</w:t>
            </w:r>
          </w:p>
        </w:tc>
      </w:tr>
    </w:tbl>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5.5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的前五名债券投资明细</w:t>
      </w:r>
    </w:p>
    <w:p w:rsidR="005B4C8F" w:rsidRPr="005B4C8F" w:rsidRDefault="009C1009" w:rsidP="009C1009">
      <w:pPr>
        <w:autoSpaceDE w:val="0"/>
        <w:autoSpaceDN w:val="0"/>
        <w:adjustRightInd w:val="0"/>
        <w:spacing w:before="29" w:line="288" w:lineRule="auto"/>
        <w:jc w:val="right"/>
        <w:rPr>
          <w:bCs/>
          <w:color w:val="000000"/>
          <w:kern w:val="0"/>
          <w:sz w:val="24"/>
          <w:szCs w:val="24"/>
        </w:rPr>
      </w:pPr>
      <w:r w:rsidRPr="009C1009">
        <w:rPr>
          <w:rFonts w:hint="eastAsia"/>
          <w:bCs/>
          <w:color w:val="000000"/>
          <w:kern w:val="0"/>
          <w:sz w:val="24"/>
          <w:szCs w:val="24"/>
        </w:rPr>
        <w:t>金额单位：人民币元</w:t>
      </w:r>
    </w:p>
    <w:tbl>
      <w:tblPr>
        <w:tblStyle w:val="af7"/>
        <w:tblW w:w="8868" w:type="dxa"/>
        <w:jc w:val="center"/>
        <w:tblLayout w:type="fixed"/>
        <w:tblCellMar>
          <w:top w:w="57" w:type="dxa"/>
          <w:bottom w:w="57" w:type="dxa"/>
        </w:tblCellMar>
        <w:tblLook w:val="04A0" w:firstRow="1" w:lastRow="0" w:firstColumn="1" w:lastColumn="0" w:noHBand="0" w:noVBand="1"/>
      </w:tblPr>
      <w:tblGrid>
        <w:gridCol w:w="850"/>
        <w:gridCol w:w="1475"/>
        <w:gridCol w:w="1769"/>
        <w:gridCol w:w="1387"/>
        <w:gridCol w:w="2150"/>
        <w:gridCol w:w="1237"/>
      </w:tblGrid>
      <w:tr w:rsidR="00D57B7C" w:rsidRPr="00414345" w:rsidTr="00A324F4">
        <w:trPr>
          <w:jc w:val="center"/>
        </w:trPr>
        <w:tc>
          <w:tcPr>
            <w:tcW w:w="817"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序号</w:t>
            </w:r>
          </w:p>
        </w:tc>
        <w:tc>
          <w:tcPr>
            <w:tcW w:w="1418"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债券代码</w:t>
            </w:r>
          </w:p>
        </w:tc>
        <w:tc>
          <w:tcPr>
            <w:tcW w:w="1701"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债券名称</w:t>
            </w:r>
          </w:p>
        </w:tc>
        <w:tc>
          <w:tcPr>
            <w:tcW w:w="1334"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数量</w:t>
            </w:r>
            <w:r w:rsidR="009D1BD9">
              <w:rPr>
                <w:rFonts w:hint="eastAsia"/>
                <w:color w:val="000000"/>
                <w:sz w:val="24"/>
              </w:rPr>
              <w:t>(</w:t>
            </w:r>
            <w:r w:rsidR="009D1BD9">
              <w:rPr>
                <w:rFonts w:hint="eastAsia"/>
                <w:color w:val="000000"/>
                <w:sz w:val="24"/>
              </w:rPr>
              <w:t>张</w:t>
            </w:r>
            <w:r w:rsidR="009D1BD9">
              <w:rPr>
                <w:color w:val="000000"/>
                <w:sz w:val="24"/>
              </w:rPr>
              <w:t>)</w:t>
            </w:r>
          </w:p>
        </w:tc>
        <w:tc>
          <w:tcPr>
            <w:tcW w:w="2068"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公允价值</w:t>
            </w:r>
          </w:p>
        </w:tc>
        <w:tc>
          <w:tcPr>
            <w:tcW w:w="1190"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占基金资产净值比例</w:t>
            </w:r>
            <w:r w:rsidR="003B3494" w:rsidRPr="00414345">
              <w:rPr>
                <w:color w:val="000000"/>
                <w:sz w:val="24"/>
              </w:rPr>
              <w:t>（％）</w:t>
            </w:r>
          </w:p>
        </w:tc>
      </w:tr>
      <w:tr w:rsidR="00543832">
        <w:trPr>
          <w:jc w:val="center"/>
        </w:trPr>
        <w:tc>
          <w:tcPr>
            <w:tcW w:w="850" w:type="dxa"/>
            <w:vAlign w:val="center"/>
          </w:tcPr>
          <w:p w:rsidR="00543832" w:rsidRDefault="00984FB1">
            <w:pPr>
              <w:jc w:val="center"/>
            </w:pPr>
            <w:r>
              <w:rPr>
                <w:color w:val="000000"/>
                <w:sz w:val="24"/>
                <w:szCs w:val="24"/>
              </w:rPr>
              <w:t>1</w:t>
            </w:r>
          </w:p>
        </w:tc>
        <w:tc>
          <w:tcPr>
            <w:tcW w:w="1475" w:type="dxa"/>
            <w:vAlign w:val="center"/>
          </w:tcPr>
          <w:p w:rsidR="00543832" w:rsidRDefault="00984FB1">
            <w:pPr>
              <w:jc w:val="center"/>
            </w:pPr>
            <w:r>
              <w:rPr>
                <w:color w:val="000000"/>
                <w:sz w:val="24"/>
                <w:szCs w:val="24"/>
              </w:rPr>
              <w:t>190307</w:t>
            </w:r>
          </w:p>
        </w:tc>
        <w:tc>
          <w:tcPr>
            <w:tcW w:w="1769" w:type="dxa"/>
            <w:vAlign w:val="center"/>
          </w:tcPr>
          <w:p w:rsidR="00543832" w:rsidRDefault="00984FB1">
            <w:pPr>
              <w:jc w:val="center"/>
            </w:pPr>
            <w:r>
              <w:rPr>
                <w:color w:val="000000"/>
                <w:sz w:val="24"/>
                <w:szCs w:val="24"/>
              </w:rPr>
              <w:t>19</w:t>
            </w:r>
            <w:r>
              <w:rPr>
                <w:color w:val="000000"/>
                <w:sz w:val="24"/>
                <w:szCs w:val="24"/>
              </w:rPr>
              <w:t>进出</w:t>
            </w:r>
            <w:r>
              <w:rPr>
                <w:color w:val="000000"/>
                <w:sz w:val="24"/>
                <w:szCs w:val="24"/>
              </w:rPr>
              <w:t>07</w:t>
            </w:r>
          </w:p>
        </w:tc>
        <w:tc>
          <w:tcPr>
            <w:tcW w:w="1387" w:type="dxa"/>
            <w:vAlign w:val="center"/>
          </w:tcPr>
          <w:p w:rsidR="00543832" w:rsidRDefault="00984FB1">
            <w:pPr>
              <w:jc w:val="right"/>
            </w:pPr>
            <w:r>
              <w:rPr>
                <w:color w:val="000000"/>
                <w:sz w:val="24"/>
                <w:szCs w:val="24"/>
              </w:rPr>
              <w:t>1,300,000</w:t>
            </w:r>
          </w:p>
        </w:tc>
        <w:tc>
          <w:tcPr>
            <w:tcW w:w="2150" w:type="dxa"/>
            <w:vAlign w:val="center"/>
          </w:tcPr>
          <w:p w:rsidR="00543832" w:rsidRDefault="00984FB1">
            <w:pPr>
              <w:jc w:val="right"/>
            </w:pPr>
            <w:r>
              <w:rPr>
                <w:color w:val="000000"/>
                <w:sz w:val="24"/>
                <w:szCs w:val="24"/>
              </w:rPr>
              <w:t>130,273,000.00</w:t>
            </w:r>
          </w:p>
        </w:tc>
        <w:tc>
          <w:tcPr>
            <w:tcW w:w="1237" w:type="dxa"/>
            <w:vAlign w:val="center"/>
          </w:tcPr>
          <w:p w:rsidR="00543832" w:rsidRDefault="00984FB1">
            <w:pPr>
              <w:jc w:val="right"/>
            </w:pPr>
            <w:r>
              <w:rPr>
                <w:color w:val="000000"/>
                <w:sz w:val="24"/>
                <w:szCs w:val="24"/>
              </w:rPr>
              <w:t>2.71</w:t>
            </w:r>
          </w:p>
        </w:tc>
      </w:tr>
      <w:tr w:rsidR="00543832">
        <w:trPr>
          <w:jc w:val="center"/>
        </w:trPr>
        <w:tc>
          <w:tcPr>
            <w:tcW w:w="850" w:type="dxa"/>
            <w:vAlign w:val="center"/>
          </w:tcPr>
          <w:p w:rsidR="00543832" w:rsidRDefault="00984FB1">
            <w:pPr>
              <w:jc w:val="center"/>
            </w:pPr>
            <w:r>
              <w:rPr>
                <w:color w:val="000000"/>
                <w:sz w:val="24"/>
                <w:szCs w:val="24"/>
              </w:rPr>
              <w:t>2</w:t>
            </w:r>
          </w:p>
        </w:tc>
        <w:tc>
          <w:tcPr>
            <w:tcW w:w="1475" w:type="dxa"/>
            <w:vAlign w:val="center"/>
          </w:tcPr>
          <w:p w:rsidR="00543832" w:rsidRDefault="00984FB1">
            <w:pPr>
              <w:jc w:val="center"/>
            </w:pPr>
            <w:r>
              <w:rPr>
                <w:color w:val="000000"/>
                <w:sz w:val="24"/>
                <w:szCs w:val="24"/>
              </w:rPr>
              <w:t>200211</w:t>
            </w:r>
          </w:p>
        </w:tc>
        <w:tc>
          <w:tcPr>
            <w:tcW w:w="1769" w:type="dxa"/>
            <w:vAlign w:val="center"/>
          </w:tcPr>
          <w:p w:rsidR="00543832" w:rsidRDefault="00984FB1">
            <w:pPr>
              <w:jc w:val="center"/>
            </w:pPr>
            <w:r>
              <w:rPr>
                <w:color w:val="000000"/>
                <w:sz w:val="24"/>
                <w:szCs w:val="24"/>
              </w:rPr>
              <w:t>20</w:t>
            </w:r>
            <w:r>
              <w:rPr>
                <w:color w:val="000000"/>
                <w:sz w:val="24"/>
                <w:szCs w:val="24"/>
              </w:rPr>
              <w:t>国开</w:t>
            </w:r>
            <w:r>
              <w:rPr>
                <w:color w:val="000000"/>
                <w:sz w:val="24"/>
                <w:szCs w:val="24"/>
              </w:rPr>
              <w:t>11</w:t>
            </w:r>
          </w:p>
        </w:tc>
        <w:tc>
          <w:tcPr>
            <w:tcW w:w="1387" w:type="dxa"/>
            <w:vAlign w:val="center"/>
          </w:tcPr>
          <w:p w:rsidR="00543832" w:rsidRDefault="00984FB1">
            <w:pPr>
              <w:jc w:val="right"/>
            </w:pPr>
            <w:r>
              <w:rPr>
                <w:color w:val="000000"/>
                <w:sz w:val="24"/>
                <w:szCs w:val="24"/>
              </w:rPr>
              <w:t>600,000</w:t>
            </w:r>
          </w:p>
        </w:tc>
        <w:tc>
          <w:tcPr>
            <w:tcW w:w="2150" w:type="dxa"/>
            <w:vAlign w:val="center"/>
          </w:tcPr>
          <w:p w:rsidR="00543832" w:rsidRDefault="00984FB1">
            <w:pPr>
              <w:jc w:val="right"/>
            </w:pPr>
            <w:r>
              <w:rPr>
                <w:color w:val="000000"/>
                <w:sz w:val="24"/>
                <w:szCs w:val="24"/>
              </w:rPr>
              <w:t>59,538,000.00</w:t>
            </w:r>
          </w:p>
        </w:tc>
        <w:tc>
          <w:tcPr>
            <w:tcW w:w="1237" w:type="dxa"/>
            <w:vAlign w:val="center"/>
          </w:tcPr>
          <w:p w:rsidR="00543832" w:rsidRDefault="00984FB1">
            <w:pPr>
              <w:jc w:val="right"/>
            </w:pPr>
            <w:r>
              <w:rPr>
                <w:color w:val="000000"/>
                <w:sz w:val="24"/>
                <w:szCs w:val="24"/>
              </w:rPr>
              <w:t>1.24</w:t>
            </w:r>
          </w:p>
        </w:tc>
      </w:tr>
      <w:tr w:rsidR="00543832">
        <w:trPr>
          <w:jc w:val="center"/>
        </w:trPr>
        <w:tc>
          <w:tcPr>
            <w:tcW w:w="850" w:type="dxa"/>
            <w:vAlign w:val="center"/>
          </w:tcPr>
          <w:p w:rsidR="00543832" w:rsidRDefault="00984FB1">
            <w:pPr>
              <w:jc w:val="center"/>
            </w:pPr>
            <w:r>
              <w:rPr>
                <w:color w:val="000000"/>
                <w:sz w:val="24"/>
                <w:szCs w:val="24"/>
              </w:rPr>
              <w:t>3</w:t>
            </w:r>
          </w:p>
        </w:tc>
        <w:tc>
          <w:tcPr>
            <w:tcW w:w="1475" w:type="dxa"/>
            <w:vAlign w:val="center"/>
          </w:tcPr>
          <w:p w:rsidR="00543832" w:rsidRDefault="00984FB1">
            <w:pPr>
              <w:jc w:val="center"/>
            </w:pPr>
            <w:r>
              <w:rPr>
                <w:color w:val="000000"/>
                <w:sz w:val="24"/>
                <w:szCs w:val="24"/>
              </w:rPr>
              <w:t>110069</w:t>
            </w:r>
          </w:p>
        </w:tc>
        <w:tc>
          <w:tcPr>
            <w:tcW w:w="1769" w:type="dxa"/>
            <w:vAlign w:val="center"/>
          </w:tcPr>
          <w:p w:rsidR="00543832" w:rsidRDefault="00984FB1">
            <w:pPr>
              <w:jc w:val="center"/>
            </w:pPr>
            <w:r>
              <w:rPr>
                <w:color w:val="000000"/>
                <w:sz w:val="24"/>
                <w:szCs w:val="24"/>
              </w:rPr>
              <w:t>瀚蓝转债</w:t>
            </w:r>
          </w:p>
        </w:tc>
        <w:tc>
          <w:tcPr>
            <w:tcW w:w="1387" w:type="dxa"/>
            <w:vAlign w:val="center"/>
          </w:tcPr>
          <w:p w:rsidR="00543832" w:rsidRDefault="00984FB1">
            <w:pPr>
              <w:jc w:val="right"/>
            </w:pPr>
            <w:r>
              <w:rPr>
                <w:color w:val="000000"/>
                <w:sz w:val="24"/>
                <w:szCs w:val="24"/>
              </w:rPr>
              <w:t>18,710</w:t>
            </w:r>
          </w:p>
        </w:tc>
        <w:tc>
          <w:tcPr>
            <w:tcW w:w="2150" w:type="dxa"/>
            <w:vAlign w:val="center"/>
          </w:tcPr>
          <w:p w:rsidR="00543832" w:rsidRDefault="00984FB1">
            <w:pPr>
              <w:jc w:val="right"/>
            </w:pPr>
            <w:r>
              <w:rPr>
                <w:color w:val="000000"/>
                <w:sz w:val="24"/>
                <w:szCs w:val="24"/>
              </w:rPr>
              <w:t>2,342,117.80</w:t>
            </w:r>
          </w:p>
        </w:tc>
        <w:tc>
          <w:tcPr>
            <w:tcW w:w="1237" w:type="dxa"/>
            <w:vAlign w:val="center"/>
          </w:tcPr>
          <w:p w:rsidR="00543832" w:rsidRDefault="00984FB1">
            <w:pPr>
              <w:jc w:val="right"/>
            </w:pPr>
            <w:r>
              <w:rPr>
                <w:color w:val="000000"/>
                <w:sz w:val="24"/>
                <w:szCs w:val="24"/>
              </w:rPr>
              <w:t>0.05</w:t>
            </w:r>
          </w:p>
        </w:tc>
      </w:tr>
      <w:tr w:rsidR="00543832">
        <w:trPr>
          <w:jc w:val="center"/>
        </w:trPr>
        <w:tc>
          <w:tcPr>
            <w:tcW w:w="850" w:type="dxa"/>
            <w:vAlign w:val="center"/>
          </w:tcPr>
          <w:p w:rsidR="00543832" w:rsidRDefault="00984FB1">
            <w:pPr>
              <w:jc w:val="center"/>
            </w:pPr>
            <w:r>
              <w:rPr>
                <w:color w:val="000000"/>
                <w:sz w:val="24"/>
                <w:szCs w:val="24"/>
              </w:rPr>
              <w:t>4</w:t>
            </w:r>
          </w:p>
        </w:tc>
        <w:tc>
          <w:tcPr>
            <w:tcW w:w="1475" w:type="dxa"/>
            <w:vAlign w:val="center"/>
          </w:tcPr>
          <w:p w:rsidR="00543832" w:rsidRDefault="00984FB1">
            <w:pPr>
              <w:jc w:val="center"/>
            </w:pPr>
            <w:r>
              <w:rPr>
                <w:color w:val="000000"/>
                <w:sz w:val="24"/>
                <w:szCs w:val="24"/>
              </w:rPr>
              <w:t>113587</w:t>
            </w:r>
          </w:p>
        </w:tc>
        <w:tc>
          <w:tcPr>
            <w:tcW w:w="1769" w:type="dxa"/>
            <w:vAlign w:val="center"/>
          </w:tcPr>
          <w:p w:rsidR="00543832" w:rsidRDefault="00984FB1">
            <w:pPr>
              <w:jc w:val="center"/>
            </w:pPr>
            <w:r>
              <w:rPr>
                <w:color w:val="000000"/>
                <w:sz w:val="24"/>
                <w:szCs w:val="24"/>
              </w:rPr>
              <w:t>泛微转债</w:t>
            </w:r>
          </w:p>
        </w:tc>
        <w:tc>
          <w:tcPr>
            <w:tcW w:w="1387" w:type="dxa"/>
            <w:vAlign w:val="center"/>
          </w:tcPr>
          <w:p w:rsidR="00543832" w:rsidRDefault="00984FB1">
            <w:pPr>
              <w:jc w:val="right"/>
            </w:pPr>
            <w:r>
              <w:rPr>
                <w:color w:val="000000"/>
                <w:sz w:val="24"/>
                <w:szCs w:val="24"/>
              </w:rPr>
              <w:t>11,150</w:t>
            </w:r>
          </w:p>
        </w:tc>
        <w:tc>
          <w:tcPr>
            <w:tcW w:w="2150" w:type="dxa"/>
            <w:vAlign w:val="center"/>
          </w:tcPr>
          <w:p w:rsidR="00543832" w:rsidRDefault="00984FB1">
            <w:pPr>
              <w:jc w:val="right"/>
            </w:pPr>
            <w:r>
              <w:rPr>
                <w:color w:val="000000"/>
                <w:sz w:val="24"/>
                <w:szCs w:val="24"/>
              </w:rPr>
              <w:t>1,115,000.00</w:t>
            </w:r>
          </w:p>
        </w:tc>
        <w:tc>
          <w:tcPr>
            <w:tcW w:w="1237" w:type="dxa"/>
            <w:vAlign w:val="center"/>
          </w:tcPr>
          <w:p w:rsidR="00543832" w:rsidRDefault="00984FB1">
            <w:pPr>
              <w:jc w:val="right"/>
            </w:pPr>
            <w:r>
              <w:rPr>
                <w:color w:val="000000"/>
                <w:sz w:val="24"/>
                <w:szCs w:val="24"/>
              </w:rPr>
              <w:t>0.02</w:t>
            </w:r>
          </w:p>
        </w:tc>
      </w:tr>
      <w:tr w:rsidR="00543832">
        <w:trPr>
          <w:jc w:val="center"/>
        </w:trPr>
        <w:tc>
          <w:tcPr>
            <w:tcW w:w="850" w:type="dxa"/>
            <w:vAlign w:val="center"/>
          </w:tcPr>
          <w:p w:rsidR="00543832" w:rsidRDefault="00984FB1">
            <w:pPr>
              <w:jc w:val="center"/>
            </w:pPr>
            <w:r>
              <w:rPr>
                <w:color w:val="000000"/>
                <w:sz w:val="24"/>
                <w:szCs w:val="24"/>
              </w:rPr>
              <w:t>5</w:t>
            </w:r>
          </w:p>
        </w:tc>
        <w:tc>
          <w:tcPr>
            <w:tcW w:w="1475" w:type="dxa"/>
            <w:vAlign w:val="center"/>
          </w:tcPr>
          <w:p w:rsidR="00543832" w:rsidRDefault="00984FB1">
            <w:pPr>
              <w:jc w:val="center"/>
            </w:pPr>
            <w:r>
              <w:rPr>
                <w:color w:val="000000"/>
                <w:sz w:val="24"/>
                <w:szCs w:val="24"/>
              </w:rPr>
              <w:t>128102</w:t>
            </w:r>
          </w:p>
        </w:tc>
        <w:tc>
          <w:tcPr>
            <w:tcW w:w="1769" w:type="dxa"/>
            <w:vAlign w:val="center"/>
          </w:tcPr>
          <w:p w:rsidR="00543832" w:rsidRDefault="00984FB1">
            <w:pPr>
              <w:jc w:val="center"/>
            </w:pPr>
            <w:r>
              <w:rPr>
                <w:color w:val="000000"/>
                <w:sz w:val="24"/>
                <w:szCs w:val="24"/>
              </w:rPr>
              <w:t>海大转债</w:t>
            </w:r>
          </w:p>
        </w:tc>
        <w:tc>
          <w:tcPr>
            <w:tcW w:w="1387" w:type="dxa"/>
            <w:vAlign w:val="center"/>
          </w:tcPr>
          <w:p w:rsidR="00543832" w:rsidRDefault="00984FB1">
            <w:pPr>
              <w:jc w:val="right"/>
            </w:pPr>
            <w:r>
              <w:rPr>
                <w:color w:val="000000"/>
                <w:sz w:val="24"/>
                <w:szCs w:val="24"/>
              </w:rPr>
              <w:t>4,932</w:t>
            </w:r>
          </w:p>
        </w:tc>
        <w:tc>
          <w:tcPr>
            <w:tcW w:w="2150" w:type="dxa"/>
            <w:vAlign w:val="center"/>
          </w:tcPr>
          <w:p w:rsidR="00543832" w:rsidRDefault="00984FB1">
            <w:pPr>
              <w:jc w:val="right"/>
            </w:pPr>
            <w:r>
              <w:rPr>
                <w:color w:val="000000"/>
                <w:sz w:val="24"/>
                <w:szCs w:val="24"/>
              </w:rPr>
              <w:t>699,061.68</w:t>
            </w:r>
          </w:p>
        </w:tc>
        <w:tc>
          <w:tcPr>
            <w:tcW w:w="1237" w:type="dxa"/>
            <w:vAlign w:val="center"/>
          </w:tcPr>
          <w:p w:rsidR="00543832" w:rsidRDefault="00984FB1">
            <w:pPr>
              <w:jc w:val="right"/>
            </w:pPr>
            <w:r>
              <w:rPr>
                <w:color w:val="000000"/>
                <w:sz w:val="24"/>
                <w:szCs w:val="24"/>
              </w:rPr>
              <w:t>0.01</w:t>
            </w:r>
          </w:p>
        </w:tc>
      </w:tr>
    </w:tbl>
    <w:p w:rsidR="004061AC" w:rsidRPr="00414345" w:rsidRDefault="004061AC" w:rsidP="00C15CAC">
      <w:pPr>
        <w:autoSpaceDE w:val="0"/>
        <w:autoSpaceDN w:val="0"/>
        <w:adjustRightInd w:val="0"/>
        <w:spacing w:before="29" w:line="288" w:lineRule="auto"/>
        <w:jc w:val="left"/>
        <w:rPr>
          <w:b/>
          <w:bCs/>
          <w:color w:val="000000"/>
          <w:kern w:val="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5.6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的前十名资产支持证券投资明细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本基金本报告期末未持有资产支持证券。</w:t>
      </w:r>
    </w:p>
    <w:p w:rsidR="00A54C7D" w:rsidRPr="00414345" w:rsidRDefault="00A54C7D" w:rsidP="00C15CAC">
      <w:pPr>
        <w:autoSpaceDE w:val="0"/>
        <w:autoSpaceDN w:val="0"/>
        <w:adjustRightInd w:val="0"/>
        <w:spacing w:before="29" w:line="288" w:lineRule="auto"/>
        <w:jc w:val="left"/>
        <w:rPr>
          <w:color w:val="000000"/>
          <w:kern w:val="0"/>
          <w:sz w:val="24"/>
          <w:szCs w:val="24"/>
        </w:rPr>
      </w:pPr>
      <w:r w:rsidRPr="00414345">
        <w:rPr>
          <w:b/>
          <w:bCs/>
          <w:color w:val="000000"/>
          <w:kern w:val="0"/>
          <w:sz w:val="24"/>
          <w:szCs w:val="24"/>
        </w:rPr>
        <w:t>5.7</w:t>
      </w:r>
      <w:r w:rsidRPr="00414345">
        <w:rPr>
          <w:rFonts w:hAnsi="宋体"/>
          <w:b/>
          <w:bCs/>
          <w:color w:val="000000"/>
          <w:kern w:val="0"/>
          <w:sz w:val="24"/>
          <w:szCs w:val="24"/>
        </w:rPr>
        <w:t>报告期末按公允价值占基金资产净值比例大小排序的前五名贵金属投资明细</w:t>
      </w:r>
    </w:p>
    <w:p w:rsidR="00632B0F" w:rsidRPr="00414345" w:rsidRDefault="00632B0F" w:rsidP="00C15CAC">
      <w:pPr>
        <w:widowControl/>
        <w:spacing w:line="288" w:lineRule="auto"/>
        <w:jc w:val="left"/>
        <w:rPr>
          <w:sz w:val="24"/>
          <w:szCs w:val="24"/>
        </w:rPr>
      </w:pPr>
      <w:r w:rsidRPr="00414345">
        <w:rPr>
          <w:sz w:val="24"/>
          <w:szCs w:val="24"/>
        </w:rPr>
        <w:t>本基金本报告期末未持有贵金属。</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A917B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5.8</w:t>
      </w:r>
      <w:r w:rsidR="004061AC"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004061AC" w:rsidRPr="00414345">
        <w:rPr>
          <w:b/>
          <w:bCs/>
          <w:color w:val="000000"/>
          <w:kern w:val="0"/>
          <w:sz w:val="24"/>
          <w:szCs w:val="24"/>
        </w:rPr>
        <w:t>的前五名权证投资明细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本基金本报告期末未持有权证。</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275745"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A917BF" w:rsidRPr="00414345">
        <w:rPr>
          <w:b/>
          <w:bCs/>
          <w:color w:val="000000"/>
          <w:kern w:val="0"/>
          <w:sz w:val="24"/>
          <w:szCs w:val="24"/>
        </w:rPr>
        <w:t>.</w:t>
      </w:r>
      <w:r w:rsidR="0059076B" w:rsidRPr="00414345">
        <w:rPr>
          <w:b/>
          <w:bCs/>
          <w:color w:val="000000"/>
          <w:kern w:val="0"/>
          <w:sz w:val="24"/>
          <w:szCs w:val="24"/>
        </w:rPr>
        <w:t>9</w:t>
      </w:r>
      <w:r w:rsidR="00275745" w:rsidRPr="00414345">
        <w:rPr>
          <w:b/>
          <w:bCs/>
          <w:color w:val="000000"/>
          <w:kern w:val="0"/>
          <w:sz w:val="24"/>
          <w:szCs w:val="24"/>
        </w:rPr>
        <w:t>报告期末本基金投资的股指期货交易情况说明</w:t>
      </w:r>
    </w:p>
    <w:p w:rsidR="00275745" w:rsidRPr="00414345" w:rsidRDefault="00AA3A38"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本基金本报告期末未持有股指期货。</w:t>
      </w:r>
    </w:p>
    <w:p w:rsidR="00AA3A38" w:rsidRPr="00414345" w:rsidRDefault="00AA3A38" w:rsidP="00C15CAC">
      <w:pPr>
        <w:adjustRightInd w:val="0"/>
        <w:snapToGrid w:val="0"/>
        <w:spacing w:before="29" w:line="288" w:lineRule="auto"/>
        <w:rPr>
          <w:sz w:val="24"/>
          <w:szCs w:val="24"/>
        </w:rPr>
      </w:pPr>
    </w:p>
    <w:p w:rsidR="00A669FC" w:rsidRPr="00414345" w:rsidRDefault="00312A9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5.10</w:t>
      </w:r>
      <w:r w:rsidRPr="00414345">
        <w:rPr>
          <w:b/>
          <w:bCs/>
          <w:color w:val="000000"/>
          <w:kern w:val="0"/>
          <w:sz w:val="24"/>
          <w:szCs w:val="24"/>
        </w:rPr>
        <w:t>报告期末本基金投资的国债期货交易情况说明</w:t>
      </w:r>
    </w:p>
    <w:p w:rsidR="00312A9F" w:rsidRPr="00414345" w:rsidRDefault="00312A9F"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本基金本报告期末未持有国债期货。</w:t>
      </w:r>
    </w:p>
    <w:p w:rsidR="00426096" w:rsidRPr="00414345" w:rsidRDefault="00426096" w:rsidP="00C15CAC">
      <w:pPr>
        <w:autoSpaceDE w:val="0"/>
        <w:autoSpaceDN w:val="0"/>
        <w:adjustRightInd w:val="0"/>
        <w:spacing w:before="29" w:line="288" w:lineRule="auto"/>
        <w:jc w:val="left"/>
        <w:rPr>
          <w:color w:val="000000"/>
          <w:sz w:val="24"/>
          <w:szCs w:val="24"/>
        </w:rPr>
      </w:pPr>
    </w:p>
    <w:p w:rsidR="004061AC"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275745" w:rsidRPr="00414345">
        <w:rPr>
          <w:b/>
          <w:bCs/>
          <w:color w:val="000000"/>
          <w:kern w:val="0"/>
          <w:sz w:val="24"/>
          <w:szCs w:val="24"/>
        </w:rPr>
        <w:t>.</w:t>
      </w:r>
      <w:r w:rsidR="0059076B" w:rsidRPr="00414345">
        <w:rPr>
          <w:b/>
          <w:bCs/>
          <w:color w:val="000000"/>
          <w:kern w:val="0"/>
          <w:sz w:val="24"/>
          <w:szCs w:val="24"/>
        </w:rPr>
        <w:t>11</w:t>
      </w:r>
      <w:r w:rsidR="004061AC" w:rsidRPr="00414345">
        <w:rPr>
          <w:b/>
          <w:bCs/>
          <w:color w:val="000000"/>
          <w:kern w:val="0"/>
          <w:sz w:val="24"/>
          <w:szCs w:val="24"/>
        </w:rPr>
        <w:t>投资组合报告附注</w:t>
      </w:r>
    </w:p>
    <w:p w:rsidR="00BE5388" w:rsidRPr="00B34FB5" w:rsidRDefault="00BE5388" w:rsidP="00E40D31">
      <w:pPr>
        <w:autoSpaceDE w:val="0"/>
        <w:autoSpaceDN w:val="0"/>
        <w:adjustRightInd w:val="0"/>
        <w:spacing w:before="29" w:line="288" w:lineRule="auto"/>
        <w:jc w:val="left"/>
        <w:rPr>
          <w:b/>
          <w:bCs/>
          <w:color w:val="000000"/>
          <w:kern w:val="0"/>
          <w:sz w:val="24"/>
          <w:szCs w:val="24"/>
        </w:rPr>
      </w:pPr>
      <w:r w:rsidRPr="00B34FB5">
        <w:rPr>
          <w:b/>
          <w:bCs/>
          <w:color w:val="000000"/>
          <w:kern w:val="0"/>
          <w:sz w:val="24"/>
          <w:szCs w:val="24"/>
        </w:rPr>
        <w:t>5.11.1</w:t>
      </w:r>
      <w:r w:rsidRPr="00AA3969">
        <w:rPr>
          <w:bCs/>
          <w:color w:val="000000"/>
          <w:kern w:val="0"/>
          <w:sz w:val="24"/>
          <w:szCs w:val="24"/>
        </w:rPr>
        <w:t>报告期内本基金投资的前十名证券的发行主体未被监管部门立案调查，在本报告编制日前一年内本基金投资的前十名证券的发行主体未受到公开谴责和处罚。</w:t>
      </w:r>
    </w:p>
    <w:p w:rsidR="00BE5388" w:rsidRPr="00AA3969" w:rsidRDefault="00BE5388" w:rsidP="00E40D31">
      <w:pPr>
        <w:autoSpaceDE w:val="0"/>
        <w:autoSpaceDN w:val="0"/>
        <w:adjustRightInd w:val="0"/>
        <w:spacing w:before="29" w:line="288" w:lineRule="auto"/>
        <w:jc w:val="left"/>
        <w:rPr>
          <w:bCs/>
          <w:color w:val="000000"/>
          <w:kern w:val="0"/>
          <w:sz w:val="24"/>
          <w:szCs w:val="24"/>
        </w:rPr>
      </w:pPr>
      <w:r w:rsidRPr="00B34FB5">
        <w:rPr>
          <w:b/>
          <w:bCs/>
          <w:color w:val="000000"/>
          <w:kern w:val="0"/>
          <w:sz w:val="24"/>
          <w:szCs w:val="24"/>
        </w:rPr>
        <w:t>5.11.2</w:t>
      </w:r>
      <w:r w:rsidRPr="00AA3969">
        <w:rPr>
          <w:bCs/>
          <w:color w:val="000000"/>
          <w:kern w:val="0"/>
          <w:sz w:val="24"/>
          <w:szCs w:val="24"/>
        </w:rPr>
        <w:t>本基金投资的前十名股票中，没有超出基金合同规定的备选股票库之外的股票。</w:t>
      </w:r>
    </w:p>
    <w:p w:rsidR="004061AC" w:rsidRPr="006B0D08" w:rsidRDefault="003259C8" w:rsidP="00C15CAC">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275745" w:rsidRPr="006B0D08">
        <w:rPr>
          <w:b/>
          <w:bCs/>
          <w:color w:val="000000"/>
          <w:kern w:val="0"/>
          <w:sz w:val="24"/>
          <w:szCs w:val="24"/>
        </w:rPr>
        <w:t>.</w:t>
      </w:r>
      <w:r w:rsidR="0059076B" w:rsidRPr="006B0D08">
        <w:rPr>
          <w:b/>
          <w:bCs/>
          <w:color w:val="000000"/>
          <w:kern w:val="0"/>
          <w:sz w:val="24"/>
          <w:szCs w:val="24"/>
        </w:rPr>
        <w:t>11.3</w:t>
      </w:r>
      <w:r w:rsidR="0035383E" w:rsidRPr="006B0D08">
        <w:rPr>
          <w:b/>
          <w:bCs/>
          <w:color w:val="000000"/>
          <w:kern w:val="0"/>
          <w:sz w:val="24"/>
          <w:szCs w:val="24"/>
        </w:rPr>
        <w:t>其他</w:t>
      </w:r>
      <w:r w:rsidR="004061AC" w:rsidRPr="006B0D08">
        <w:rPr>
          <w:b/>
          <w:bCs/>
          <w:color w:val="000000"/>
          <w:kern w:val="0"/>
          <w:sz w:val="24"/>
          <w:szCs w:val="24"/>
        </w:rPr>
        <w:t>资产构成</w:t>
      </w:r>
    </w:p>
    <w:p w:rsidR="00DD7A00" w:rsidRPr="00414345" w:rsidRDefault="004A0AA9" w:rsidP="00DD7A00">
      <w:pPr>
        <w:autoSpaceDE w:val="0"/>
        <w:autoSpaceDN w:val="0"/>
        <w:adjustRightInd w:val="0"/>
        <w:spacing w:before="29" w:line="288" w:lineRule="auto"/>
        <w:jc w:val="right"/>
        <w:rPr>
          <w:bCs/>
          <w:color w:val="000000"/>
          <w:kern w:val="0"/>
          <w:sz w:val="24"/>
          <w:szCs w:val="24"/>
        </w:rPr>
      </w:pPr>
      <w:r w:rsidRPr="004A0AA9">
        <w:rPr>
          <w:rFonts w:hint="eastAsia"/>
          <w:bCs/>
          <w:color w:val="000000"/>
          <w:kern w:val="0"/>
          <w:sz w:val="24"/>
          <w:szCs w:val="24"/>
        </w:rPr>
        <w:t>金额单位：人民币元</w:t>
      </w:r>
    </w:p>
    <w:tbl>
      <w:tblPr>
        <w:tblStyle w:val="af7"/>
        <w:tblpPr w:leftFromText="180" w:rightFromText="180" w:vertAnchor="text" w:horzAnchor="margin" w:tblpXSpec="center" w:tblpY="265"/>
        <w:tblW w:w="8868" w:type="dxa"/>
        <w:jc w:val="center"/>
        <w:tblLayout w:type="fixed"/>
        <w:tblCellMar>
          <w:top w:w="-1" w:type="dxa"/>
          <w:bottom w:w="-1" w:type="dxa"/>
        </w:tblCellMar>
        <w:tblLook w:val="04A0" w:firstRow="1" w:lastRow="0" w:firstColumn="1" w:lastColumn="0" w:noHBand="0" w:noVBand="1"/>
      </w:tblPr>
      <w:tblGrid>
        <w:gridCol w:w="1287"/>
        <w:gridCol w:w="2573"/>
        <w:gridCol w:w="5008"/>
      </w:tblGrid>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序号</w:t>
            </w:r>
          </w:p>
        </w:tc>
        <w:tc>
          <w:tcPr>
            <w:tcW w:w="2470"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名称</w:t>
            </w:r>
          </w:p>
        </w:tc>
        <w:tc>
          <w:tcPr>
            <w:tcW w:w="4808"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金额</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1</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存出保证金</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814,497.77</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2</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应收证券清算款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3</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应收股利</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4</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应收利息</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2,679,467.44</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5</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应收申购款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85,048,567.15</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6</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其他应收款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7</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待摊费用</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8</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9</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合计</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88,542,532.36</w:t>
            </w:r>
          </w:p>
        </w:tc>
      </w:tr>
    </w:tbl>
    <w:p w:rsidR="002918E3" w:rsidRPr="00414345" w:rsidRDefault="002918E3" w:rsidP="00C15CAC">
      <w:pPr>
        <w:autoSpaceDE w:val="0"/>
        <w:autoSpaceDN w:val="0"/>
        <w:adjustRightInd w:val="0"/>
        <w:spacing w:before="29" w:line="288" w:lineRule="auto"/>
        <w:rPr>
          <w:color w:val="000000"/>
          <w:sz w:val="24"/>
          <w:szCs w:val="24"/>
        </w:rPr>
      </w:pPr>
    </w:p>
    <w:p w:rsidR="004061AC" w:rsidRPr="006B0D08" w:rsidRDefault="003259C8" w:rsidP="00C15CAC">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275745" w:rsidRPr="006B0D08">
        <w:rPr>
          <w:b/>
          <w:bCs/>
          <w:color w:val="000000"/>
          <w:kern w:val="0"/>
          <w:sz w:val="24"/>
          <w:szCs w:val="24"/>
        </w:rPr>
        <w:t>.</w:t>
      </w:r>
      <w:r w:rsidR="0059076B" w:rsidRPr="006B0D08">
        <w:rPr>
          <w:b/>
          <w:bCs/>
          <w:color w:val="000000"/>
          <w:kern w:val="0"/>
          <w:sz w:val="24"/>
          <w:szCs w:val="24"/>
        </w:rPr>
        <w:t>11.4</w:t>
      </w:r>
      <w:r w:rsidR="004061AC" w:rsidRPr="006B0D08">
        <w:rPr>
          <w:b/>
          <w:bCs/>
          <w:color w:val="000000"/>
          <w:kern w:val="0"/>
          <w:sz w:val="24"/>
          <w:szCs w:val="24"/>
        </w:rPr>
        <w:t>报告期末持有的处于转股期的可转换债券明细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本基金本报告期末未持有处于转股期的可转换债券。</w:t>
      </w:r>
    </w:p>
    <w:p w:rsidR="004061AC" w:rsidRPr="006B0D08" w:rsidRDefault="003259C8" w:rsidP="00C15CAC">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4061AC" w:rsidRPr="006B0D08">
        <w:rPr>
          <w:b/>
          <w:bCs/>
          <w:color w:val="000000"/>
          <w:kern w:val="0"/>
          <w:sz w:val="24"/>
          <w:szCs w:val="24"/>
        </w:rPr>
        <w:t>.</w:t>
      </w:r>
      <w:r w:rsidR="0059076B" w:rsidRPr="006B0D08">
        <w:rPr>
          <w:b/>
          <w:bCs/>
          <w:color w:val="000000"/>
          <w:kern w:val="0"/>
          <w:sz w:val="24"/>
          <w:szCs w:val="24"/>
        </w:rPr>
        <w:t>11.5</w:t>
      </w:r>
      <w:r w:rsidR="004061AC" w:rsidRPr="006B0D08">
        <w:rPr>
          <w:b/>
          <w:bCs/>
          <w:color w:val="000000"/>
          <w:kern w:val="0"/>
          <w:sz w:val="24"/>
          <w:szCs w:val="24"/>
        </w:rPr>
        <w:t>报告期末前十名股票中存在流通受限情况的说明</w:t>
      </w:r>
    </w:p>
    <w:p w:rsidR="00066A97" w:rsidRPr="00414345" w:rsidRDefault="00066A97" w:rsidP="00066A97">
      <w:pPr>
        <w:autoSpaceDE w:val="0"/>
        <w:autoSpaceDN w:val="0"/>
        <w:adjustRightInd w:val="0"/>
        <w:spacing w:before="29" w:line="288" w:lineRule="auto"/>
        <w:jc w:val="right"/>
        <w:rPr>
          <w:bCs/>
          <w:color w:val="000000"/>
          <w:kern w:val="0"/>
          <w:sz w:val="24"/>
          <w:szCs w:val="24"/>
        </w:rPr>
      </w:pPr>
      <w:r w:rsidRPr="00173B44">
        <w:rPr>
          <w:rFonts w:hint="eastAsia"/>
          <w:bCs/>
          <w:color w:val="000000"/>
          <w:kern w:val="0"/>
          <w:sz w:val="24"/>
          <w:szCs w:val="24"/>
        </w:rPr>
        <w:t>金额单位：人民币元</w:t>
      </w:r>
    </w:p>
    <w:tbl>
      <w:tblPr>
        <w:tblStyle w:val="af7"/>
        <w:tblW w:w="8868" w:type="dxa"/>
        <w:jc w:val="center"/>
        <w:tblLayout w:type="fixed"/>
        <w:tblCellMar>
          <w:top w:w="57" w:type="dxa"/>
          <w:bottom w:w="57" w:type="dxa"/>
        </w:tblCellMar>
        <w:tblLook w:val="04A0" w:firstRow="1" w:lastRow="0" w:firstColumn="1" w:lastColumn="0" w:noHBand="0" w:noVBand="1"/>
      </w:tblPr>
      <w:tblGrid>
        <w:gridCol w:w="1129"/>
        <w:gridCol w:w="1356"/>
        <w:gridCol w:w="1355"/>
        <w:gridCol w:w="1880"/>
        <w:gridCol w:w="1724"/>
        <w:gridCol w:w="1424"/>
      </w:tblGrid>
      <w:tr w:rsidR="003E62FB" w:rsidRPr="00414345" w:rsidTr="00BC216C">
        <w:trPr>
          <w:jc w:val="center"/>
        </w:trPr>
        <w:tc>
          <w:tcPr>
            <w:tcW w:w="1083"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序号</w:t>
            </w:r>
          </w:p>
        </w:tc>
        <w:tc>
          <w:tcPr>
            <w:tcW w:w="1302"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股票代码</w:t>
            </w:r>
          </w:p>
        </w:tc>
        <w:tc>
          <w:tcPr>
            <w:tcW w:w="1301"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股票名称</w:t>
            </w:r>
          </w:p>
        </w:tc>
        <w:tc>
          <w:tcPr>
            <w:tcW w:w="1805" w:type="dxa"/>
            <w:vAlign w:val="center"/>
          </w:tcPr>
          <w:p w:rsidR="003E62FB" w:rsidRPr="005F1F22" w:rsidRDefault="003E62FB" w:rsidP="00C15CAC">
            <w:pPr>
              <w:spacing w:before="29" w:line="288" w:lineRule="auto"/>
              <w:ind w:left="17"/>
              <w:jc w:val="center"/>
              <w:rPr>
                <w:color w:val="000000"/>
                <w:sz w:val="24"/>
                <w:szCs w:val="24"/>
              </w:rPr>
            </w:pPr>
            <w:r w:rsidRPr="00414345">
              <w:rPr>
                <w:color w:val="000000"/>
                <w:sz w:val="24"/>
                <w:szCs w:val="24"/>
              </w:rPr>
              <w:t>流通受限部分的公允价值</w:t>
            </w:r>
          </w:p>
        </w:tc>
        <w:tc>
          <w:tcPr>
            <w:tcW w:w="1655"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占基金资产净值比例</w:t>
            </w:r>
            <w:r w:rsidR="005F1F22">
              <w:rPr>
                <w:color w:val="000000"/>
                <w:sz w:val="24"/>
                <w:szCs w:val="24"/>
              </w:rPr>
              <w:t>(%)</w:t>
            </w:r>
          </w:p>
        </w:tc>
        <w:tc>
          <w:tcPr>
            <w:tcW w:w="1367"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流通受限情况说明</w:t>
            </w:r>
          </w:p>
        </w:tc>
      </w:tr>
      <w:tr w:rsidR="00543832">
        <w:trPr>
          <w:jc w:val="center"/>
        </w:trPr>
        <w:tc>
          <w:tcPr>
            <w:tcW w:w="1129" w:type="dxa"/>
            <w:vAlign w:val="center"/>
          </w:tcPr>
          <w:p w:rsidR="00543832" w:rsidRDefault="00984FB1">
            <w:pPr>
              <w:jc w:val="center"/>
            </w:pPr>
            <w:r>
              <w:rPr>
                <w:color w:val="000000"/>
                <w:sz w:val="24"/>
                <w:szCs w:val="24"/>
              </w:rPr>
              <w:t>1</w:t>
            </w:r>
          </w:p>
        </w:tc>
        <w:tc>
          <w:tcPr>
            <w:tcW w:w="1356" w:type="dxa"/>
            <w:vAlign w:val="center"/>
          </w:tcPr>
          <w:p w:rsidR="00543832" w:rsidRDefault="00984FB1">
            <w:pPr>
              <w:jc w:val="center"/>
            </w:pPr>
            <w:r>
              <w:rPr>
                <w:color w:val="000000"/>
                <w:sz w:val="24"/>
                <w:szCs w:val="24"/>
              </w:rPr>
              <w:t>002841</w:t>
            </w:r>
          </w:p>
        </w:tc>
        <w:tc>
          <w:tcPr>
            <w:tcW w:w="1355" w:type="dxa"/>
            <w:vAlign w:val="center"/>
          </w:tcPr>
          <w:p w:rsidR="00543832" w:rsidRDefault="00984FB1">
            <w:pPr>
              <w:jc w:val="center"/>
            </w:pPr>
            <w:r>
              <w:rPr>
                <w:color w:val="000000"/>
                <w:sz w:val="24"/>
                <w:szCs w:val="24"/>
              </w:rPr>
              <w:t>视源股份</w:t>
            </w:r>
          </w:p>
        </w:tc>
        <w:tc>
          <w:tcPr>
            <w:tcW w:w="1880" w:type="dxa"/>
            <w:vAlign w:val="center"/>
          </w:tcPr>
          <w:p w:rsidR="00543832" w:rsidRDefault="00984FB1">
            <w:pPr>
              <w:jc w:val="right"/>
            </w:pPr>
            <w:r>
              <w:rPr>
                <w:color w:val="000000"/>
                <w:sz w:val="24"/>
                <w:szCs w:val="24"/>
              </w:rPr>
              <w:t>79,277,000.00</w:t>
            </w:r>
          </w:p>
        </w:tc>
        <w:tc>
          <w:tcPr>
            <w:tcW w:w="1724" w:type="dxa"/>
            <w:vAlign w:val="center"/>
          </w:tcPr>
          <w:p w:rsidR="00543832" w:rsidRDefault="00984FB1">
            <w:pPr>
              <w:jc w:val="right"/>
            </w:pPr>
            <w:r>
              <w:rPr>
                <w:color w:val="000000"/>
                <w:sz w:val="24"/>
                <w:szCs w:val="24"/>
              </w:rPr>
              <w:t>1.65</w:t>
            </w:r>
          </w:p>
        </w:tc>
        <w:tc>
          <w:tcPr>
            <w:tcW w:w="1424" w:type="dxa"/>
            <w:vAlign w:val="center"/>
          </w:tcPr>
          <w:p w:rsidR="00543832" w:rsidRDefault="00984FB1">
            <w:pPr>
              <w:jc w:val="right"/>
            </w:pPr>
            <w:r>
              <w:rPr>
                <w:color w:val="000000"/>
                <w:sz w:val="24"/>
                <w:szCs w:val="24"/>
              </w:rPr>
              <w:t>限售股</w:t>
            </w:r>
          </w:p>
        </w:tc>
      </w:tr>
      <w:tr w:rsidR="00543832">
        <w:trPr>
          <w:jc w:val="center"/>
        </w:trPr>
        <w:tc>
          <w:tcPr>
            <w:tcW w:w="1129" w:type="dxa"/>
            <w:vAlign w:val="center"/>
          </w:tcPr>
          <w:p w:rsidR="00543832" w:rsidRDefault="00984FB1">
            <w:pPr>
              <w:jc w:val="center"/>
            </w:pPr>
            <w:r>
              <w:rPr>
                <w:color w:val="000000"/>
                <w:sz w:val="24"/>
                <w:szCs w:val="24"/>
              </w:rPr>
              <w:t>2</w:t>
            </w:r>
          </w:p>
        </w:tc>
        <w:tc>
          <w:tcPr>
            <w:tcW w:w="1356" w:type="dxa"/>
            <w:vAlign w:val="center"/>
          </w:tcPr>
          <w:p w:rsidR="00543832" w:rsidRDefault="00984FB1">
            <w:pPr>
              <w:jc w:val="center"/>
            </w:pPr>
            <w:r>
              <w:rPr>
                <w:color w:val="000000"/>
                <w:sz w:val="24"/>
                <w:szCs w:val="24"/>
              </w:rPr>
              <w:t>002555</w:t>
            </w:r>
          </w:p>
        </w:tc>
        <w:tc>
          <w:tcPr>
            <w:tcW w:w="1355" w:type="dxa"/>
            <w:vAlign w:val="center"/>
          </w:tcPr>
          <w:p w:rsidR="00543832" w:rsidRDefault="00984FB1">
            <w:pPr>
              <w:jc w:val="center"/>
            </w:pPr>
            <w:r>
              <w:rPr>
                <w:color w:val="000000"/>
                <w:sz w:val="24"/>
                <w:szCs w:val="24"/>
              </w:rPr>
              <w:t>三七互娱</w:t>
            </w:r>
          </w:p>
        </w:tc>
        <w:tc>
          <w:tcPr>
            <w:tcW w:w="1880" w:type="dxa"/>
            <w:vAlign w:val="center"/>
          </w:tcPr>
          <w:p w:rsidR="00543832" w:rsidRDefault="00984FB1">
            <w:pPr>
              <w:jc w:val="right"/>
            </w:pPr>
            <w:r>
              <w:rPr>
                <w:color w:val="000000"/>
                <w:sz w:val="24"/>
                <w:szCs w:val="24"/>
              </w:rPr>
              <w:t>21,775,000.00</w:t>
            </w:r>
          </w:p>
        </w:tc>
        <w:tc>
          <w:tcPr>
            <w:tcW w:w="1724" w:type="dxa"/>
            <w:vAlign w:val="center"/>
          </w:tcPr>
          <w:p w:rsidR="00543832" w:rsidRDefault="00984FB1">
            <w:pPr>
              <w:jc w:val="right"/>
            </w:pPr>
            <w:r>
              <w:rPr>
                <w:color w:val="000000"/>
                <w:sz w:val="24"/>
                <w:szCs w:val="24"/>
              </w:rPr>
              <w:t>0.45</w:t>
            </w:r>
          </w:p>
        </w:tc>
        <w:tc>
          <w:tcPr>
            <w:tcW w:w="1424" w:type="dxa"/>
            <w:vAlign w:val="center"/>
          </w:tcPr>
          <w:p w:rsidR="00543832" w:rsidRDefault="00984FB1">
            <w:pPr>
              <w:jc w:val="right"/>
            </w:pPr>
            <w:r>
              <w:rPr>
                <w:color w:val="000000"/>
                <w:sz w:val="24"/>
                <w:szCs w:val="24"/>
              </w:rPr>
              <w:t>限售股</w:t>
            </w:r>
          </w:p>
        </w:tc>
      </w:tr>
      <w:tr w:rsidR="00543832">
        <w:trPr>
          <w:jc w:val="center"/>
        </w:trPr>
        <w:tc>
          <w:tcPr>
            <w:tcW w:w="1129" w:type="dxa"/>
            <w:vAlign w:val="center"/>
          </w:tcPr>
          <w:p w:rsidR="00543832" w:rsidRDefault="00984FB1">
            <w:pPr>
              <w:jc w:val="center"/>
            </w:pPr>
            <w:r>
              <w:rPr>
                <w:color w:val="000000"/>
                <w:sz w:val="24"/>
                <w:szCs w:val="24"/>
              </w:rPr>
              <w:t>3</w:t>
            </w:r>
          </w:p>
        </w:tc>
        <w:tc>
          <w:tcPr>
            <w:tcW w:w="1356" w:type="dxa"/>
            <w:vAlign w:val="center"/>
          </w:tcPr>
          <w:p w:rsidR="00543832" w:rsidRDefault="00984FB1">
            <w:pPr>
              <w:jc w:val="center"/>
            </w:pPr>
            <w:r>
              <w:rPr>
                <w:color w:val="000000"/>
                <w:sz w:val="24"/>
                <w:szCs w:val="24"/>
              </w:rPr>
              <w:t>002352</w:t>
            </w:r>
          </w:p>
        </w:tc>
        <w:tc>
          <w:tcPr>
            <w:tcW w:w="1355" w:type="dxa"/>
            <w:vAlign w:val="center"/>
          </w:tcPr>
          <w:p w:rsidR="00543832" w:rsidRDefault="00984FB1">
            <w:pPr>
              <w:jc w:val="center"/>
            </w:pPr>
            <w:r>
              <w:rPr>
                <w:color w:val="000000"/>
                <w:sz w:val="24"/>
                <w:szCs w:val="24"/>
              </w:rPr>
              <w:t>顺丰控股</w:t>
            </w:r>
          </w:p>
        </w:tc>
        <w:tc>
          <w:tcPr>
            <w:tcW w:w="1880" w:type="dxa"/>
            <w:vAlign w:val="center"/>
          </w:tcPr>
          <w:p w:rsidR="00543832" w:rsidRDefault="00984FB1">
            <w:pPr>
              <w:jc w:val="right"/>
            </w:pPr>
            <w:r>
              <w:rPr>
                <w:color w:val="000000"/>
                <w:sz w:val="24"/>
                <w:szCs w:val="24"/>
              </w:rPr>
              <w:t>8,049,000.00</w:t>
            </w:r>
          </w:p>
        </w:tc>
        <w:tc>
          <w:tcPr>
            <w:tcW w:w="1724" w:type="dxa"/>
            <w:vAlign w:val="center"/>
          </w:tcPr>
          <w:p w:rsidR="00543832" w:rsidRDefault="00984FB1">
            <w:pPr>
              <w:jc w:val="right"/>
            </w:pPr>
            <w:r>
              <w:rPr>
                <w:color w:val="000000"/>
                <w:sz w:val="24"/>
                <w:szCs w:val="24"/>
              </w:rPr>
              <w:t>0.17</w:t>
            </w:r>
          </w:p>
        </w:tc>
        <w:tc>
          <w:tcPr>
            <w:tcW w:w="1424" w:type="dxa"/>
            <w:vAlign w:val="center"/>
          </w:tcPr>
          <w:p w:rsidR="00543832" w:rsidRDefault="00984FB1">
            <w:pPr>
              <w:jc w:val="right"/>
            </w:pPr>
            <w:r>
              <w:rPr>
                <w:color w:val="000000"/>
                <w:sz w:val="24"/>
                <w:szCs w:val="24"/>
              </w:rPr>
              <w:t>限售股</w:t>
            </w:r>
          </w:p>
        </w:tc>
      </w:tr>
    </w:tbl>
    <w:p w:rsidR="002918E3" w:rsidRPr="00414345" w:rsidRDefault="002918E3" w:rsidP="00C15CAC">
      <w:pPr>
        <w:autoSpaceDE w:val="0"/>
        <w:autoSpaceDN w:val="0"/>
        <w:adjustRightInd w:val="0"/>
        <w:spacing w:before="29" w:line="288" w:lineRule="auto"/>
        <w:rPr>
          <w:color w:val="000000"/>
          <w:sz w:val="24"/>
          <w:szCs w:val="24"/>
        </w:rPr>
      </w:pPr>
    </w:p>
    <w:p w:rsidR="004061AC" w:rsidRPr="006B0D08" w:rsidRDefault="003259C8" w:rsidP="00C15CAC">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4061AC" w:rsidRPr="006B0D08">
        <w:rPr>
          <w:b/>
          <w:bCs/>
          <w:color w:val="000000"/>
          <w:kern w:val="0"/>
          <w:sz w:val="24"/>
          <w:szCs w:val="24"/>
        </w:rPr>
        <w:t>.</w:t>
      </w:r>
      <w:r w:rsidR="0059076B" w:rsidRPr="006B0D08">
        <w:rPr>
          <w:b/>
          <w:bCs/>
          <w:color w:val="000000"/>
          <w:kern w:val="0"/>
          <w:sz w:val="24"/>
          <w:szCs w:val="24"/>
        </w:rPr>
        <w:t>11.6</w:t>
      </w:r>
      <w:r w:rsidR="001675CD" w:rsidRPr="006B0D08">
        <w:rPr>
          <w:b/>
          <w:bCs/>
          <w:color w:val="000000"/>
          <w:kern w:val="0"/>
          <w:sz w:val="24"/>
          <w:szCs w:val="24"/>
        </w:rPr>
        <w:t>投资组合报告附注的其他文字描述部分</w:t>
      </w:r>
    </w:p>
    <w:p w:rsidR="006B2FF6" w:rsidRPr="00414345" w:rsidRDefault="004061AC" w:rsidP="00E40D31">
      <w:pPr>
        <w:spacing w:before="29" w:line="288" w:lineRule="auto"/>
        <w:rPr>
          <w:color w:val="000000"/>
          <w:sz w:val="24"/>
          <w:szCs w:val="24"/>
        </w:rPr>
      </w:pPr>
      <w:r w:rsidRPr="00414345">
        <w:rPr>
          <w:color w:val="000000"/>
          <w:sz w:val="24"/>
          <w:szCs w:val="24"/>
        </w:rPr>
        <w:t>由于四舍五入的原因，分项之和与合计项之间可能存在尾差。</w:t>
      </w:r>
    </w:p>
    <w:p w:rsidR="006B2FF6" w:rsidRDefault="006B2FF6" w:rsidP="00C15CAC">
      <w:pPr>
        <w:spacing w:before="29" w:line="288" w:lineRule="auto"/>
        <w:ind w:firstLineChars="200" w:firstLine="480"/>
        <w:rPr>
          <w:color w:val="000000"/>
          <w:sz w:val="24"/>
          <w:szCs w:val="24"/>
        </w:rPr>
      </w:pPr>
    </w:p>
    <w:p w:rsidR="001F3E2A" w:rsidRDefault="001F3E2A" w:rsidP="00C15CAC">
      <w:pPr>
        <w:spacing w:before="29" w:line="288" w:lineRule="auto"/>
        <w:ind w:firstLineChars="200" w:firstLine="480"/>
        <w:rPr>
          <w:color w:val="000000"/>
          <w:sz w:val="24"/>
          <w:szCs w:val="24"/>
        </w:rPr>
      </w:pPr>
    </w:p>
    <w:p w:rsidR="001F3E2A" w:rsidRPr="00414345" w:rsidRDefault="001F3E2A" w:rsidP="00C15CAC">
      <w:pPr>
        <w:spacing w:before="29" w:line="288" w:lineRule="auto"/>
        <w:ind w:firstLineChars="200" w:firstLine="480"/>
        <w:rPr>
          <w:color w:val="000000"/>
          <w:sz w:val="24"/>
          <w:szCs w:val="24"/>
        </w:rPr>
      </w:pPr>
    </w:p>
    <w:p w:rsidR="004061AC" w:rsidRPr="005A3D62" w:rsidRDefault="004061AC" w:rsidP="0011537B">
      <w:pPr>
        <w:pStyle w:val="1"/>
        <w:spacing w:beforeLines="100" w:before="312" w:afterLines="100" w:after="312" w:line="360" w:lineRule="auto"/>
        <w:jc w:val="center"/>
        <w:rPr>
          <w:rFonts w:eastAsiaTheme="minorEastAsia"/>
          <w:color w:val="000000" w:themeColor="text1"/>
          <w:kern w:val="0"/>
          <w:sz w:val="24"/>
          <w:szCs w:val="24"/>
        </w:rPr>
      </w:pPr>
      <w:r w:rsidRPr="005A3D62">
        <w:rPr>
          <w:rFonts w:eastAsiaTheme="minorEastAsia"/>
          <w:color w:val="000000" w:themeColor="text1"/>
          <w:kern w:val="0"/>
          <w:sz w:val="24"/>
          <w:szCs w:val="24"/>
        </w:rPr>
        <w:t>§</w:t>
      </w:r>
      <w:r w:rsidR="0072794E" w:rsidRPr="005A3D62">
        <w:rPr>
          <w:rFonts w:eastAsiaTheme="minorEastAsia"/>
          <w:color w:val="000000" w:themeColor="text1"/>
          <w:kern w:val="0"/>
          <w:sz w:val="24"/>
          <w:szCs w:val="24"/>
        </w:rPr>
        <w:t>6</w:t>
      </w:r>
      <w:r w:rsidRPr="005A3D62">
        <w:rPr>
          <w:rFonts w:eastAsiaTheme="minorEastAsia"/>
          <w:color w:val="000000" w:themeColor="text1"/>
          <w:kern w:val="0"/>
          <w:sz w:val="24"/>
          <w:szCs w:val="24"/>
        </w:rPr>
        <w:t xml:space="preserve">  </w:t>
      </w:r>
      <w:r w:rsidRPr="005A3D62">
        <w:rPr>
          <w:rFonts w:eastAsiaTheme="minorEastAsia"/>
          <w:color w:val="000000" w:themeColor="text1"/>
          <w:kern w:val="0"/>
          <w:sz w:val="24"/>
          <w:szCs w:val="24"/>
        </w:rPr>
        <w:t>开放式基金份额变动</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单位：份</w:t>
      </w:r>
    </w:p>
    <w:tbl>
      <w:tblPr>
        <w:tblW w:w="8868" w:type="dxa"/>
        <w:jc w:val="center"/>
        <w:tblLayout w:type="fixed"/>
        <w:tblCellMar>
          <w:top w:w="-1" w:type="dxa"/>
          <w:bottom w:w="-1" w:type="dxa"/>
        </w:tblCellMar>
        <w:tblLook w:val="0000" w:firstRow="0" w:lastRow="0" w:firstColumn="0" w:lastColumn="0" w:noHBand="0" w:noVBand="0"/>
      </w:tblPr>
      <w:tblGrid>
        <w:gridCol w:w="4734"/>
        <w:gridCol w:w="4134"/>
      </w:tblGrid>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818,728,255.58</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430,618,523.90</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减：</w:t>
            </w:r>
            <w:r w:rsidR="00FE179F" w:rsidRPr="00414345">
              <w:rPr>
                <w:color w:val="000000"/>
                <w:kern w:val="0"/>
                <w:sz w:val="24"/>
                <w:szCs w:val="24"/>
              </w:rPr>
              <w:t>本报告期</w:t>
            </w:r>
            <w:r w:rsidR="00F31B0C">
              <w:rPr>
                <w:rFonts w:hint="eastAsia"/>
                <w:color w:val="000000"/>
                <w:kern w:val="0"/>
                <w:sz w:val="24"/>
                <w:szCs w:val="24"/>
              </w:rPr>
              <w:t>期间</w:t>
            </w:r>
            <w:r w:rsidRPr="00414345">
              <w:rPr>
                <w:color w:val="000000"/>
                <w:kern w:val="0"/>
                <w:sz w:val="24"/>
                <w:szCs w:val="24"/>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223,860,570.18</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35076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基金拆分变动份额</w:t>
            </w:r>
            <w:r w:rsidR="00F31B0C" w:rsidRPr="006664D2">
              <w:rPr>
                <w:rFonts w:hint="eastAsia"/>
                <w:color w:val="000000"/>
                <w:kern w:val="0"/>
                <w:sz w:val="24"/>
              </w:rPr>
              <w:t>（份额减少以</w:t>
            </w:r>
            <w:r w:rsidR="00F31B0C" w:rsidRPr="004D5D71">
              <w:rPr>
                <w:color w:val="000000"/>
              </w:rPr>
              <w:t>“-”</w:t>
            </w:r>
            <w:r w:rsidR="00F31B0C" w:rsidRPr="006664D2">
              <w:rPr>
                <w:rFonts w:hint="eastAsia"/>
                <w:color w:val="000000"/>
                <w:kern w:val="0"/>
                <w:sz w:val="24"/>
              </w:rPr>
              <w:t>填列）</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w:t>
            </w:r>
          </w:p>
        </w:tc>
      </w:tr>
      <w:tr w:rsidR="006D7FF8"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1,025,486,209.30</w:t>
            </w:r>
          </w:p>
        </w:tc>
      </w:tr>
    </w:tbl>
    <w:p w:rsidR="00543832" w:rsidRDefault="00984FB1">
      <w:pPr>
        <w:autoSpaceDE w:val="0"/>
        <w:autoSpaceDN w:val="0"/>
        <w:adjustRightInd w:val="0"/>
        <w:spacing w:before="29" w:line="288" w:lineRule="auto"/>
        <w:jc w:val="left"/>
        <w:rPr>
          <w:color w:val="000000"/>
          <w:sz w:val="24"/>
          <w:szCs w:val="24"/>
        </w:rPr>
      </w:pPr>
      <w:r>
        <w:rPr>
          <w:color w:val="000000"/>
          <w:sz w:val="24"/>
          <w:szCs w:val="24"/>
        </w:rPr>
        <w:t>注：</w:t>
      </w:r>
      <w:r>
        <w:rPr>
          <w:color w:val="000000"/>
          <w:sz w:val="24"/>
          <w:szCs w:val="24"/>
        </w:rPr>
        <w:t>1</w:t>
      </w:r>
      <w:r>
        <w:rPr>
          <w:color w:val="000000"/>
          <w:sz w:val="24"/>
          <w:szCs w:val="24"/>
        </w:rPr>
        <w:t>、如果本报告期间发生转换入、红利再投业务，则总申购份额中包含该业务；</w:t>
      </w:r>
      <w:r>
        <w:rPr>
          <w:color w:val="000000"/>
          <w:sz w:val="24"/>
          <w:szCs w:val="24"/>
        </w:rPr>
        <w:t xml:space="preserve"> </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 xml:space="preserve">    2</w:t>
      </w:r>
      <w:r w:rsidRPr="00414345">
        <w:rPr>
          <w:color w:val="000000"/>
          <w:sz w:val="24"/>
          <w:szCs w:val="24"/>
        </w:rPr>
        <w:t>、如果本报告期间发生转换出业务，则总赎回份额中包含该业务。</w:t>
      </w:r>
    </w:p>
    <w:p w:rsidR="00320E90" w:rsidRDefault="00320E90" w:rsidP="00C15CAC">
      <w:pPr>
        <w:autoSpaceDE w:val="0"/>
        <w:autoSpaceDN w:val="0"/>
        <w:adjustRightInd w:val="0"/>
        <w:spacing w:before="29" w:line="288" w:lineRule="auto"/>
        <w:jc w:val="left"/>
        <w:rPr>
          <w:color w:val="000000"/>
          <w:sz w:val="24"/>
          <w:szCs w:val="24"/>
        </w:rPr>
      </w:pPr>
    </w:p>
    <w:p w:rsidR="00ED2620" w:rsidRPr="00ED2620" w:rsidRDefault="000A2FC0" w:rsidP="0011537B">
      <w:pPr>
        <w:pStyle w:val="1"/>
        <w:tabs>
          <w:tab w:val="center" w:pos="4156"/>
          <w:tab w:val="right" w:pos="8312"/>
        </w:tabs>
        <w:spacing w:beforeLines="100" w:before="312" w:afterLines="100" w:after="312" w:line="288" w:lineRule="auto"/>
        <w:jc w:val="center"/>
        <w:rPr>
          <w:sz w:val="24"/>
          <w:szCs w:val="24"/>
        </w:rPr>
      </w:pPr>
      <w:r w:rsidRPr="00414345">
        <w:rPr>
          <w:color w:val="000000"/>
          <w:kern w:val="0"/>
          <w:sz w:val="24"/>
          <w:szCs w:val="24"/>
        </w:rPr>
        <w:t>§</w:t>
      </w:r>
      <w:r w:rsidR="00ED2620" w:rsidRPr="00ED2620">
        <w:rPr>
          <w:rFonts w:eastAsiaTheme="minorEastAsia"/>
          <w:color w:val="000000"/>
          <w:kern w:val="0"/>
          <w:sz w:val="24"/>
          <w:szCs w:val="24"/>
        </w:rPr>
        <w:t xml:space="preserve">7  </w:t>
      </w:r>
      <w:r w:rsidR="00ED2620" w:rsidRPr="00ED2620">
        <w:rPr>
          <w:sz w:val="24"/>
          <w:szCs w:val="24"/>
        </w:rPr>
        <w:t>基金管理人运用固有资金投资本基金情况</w:t>
      </w:r>
    </w:p>
    <w:p w:rsidR="00ED2620" w:rsidRPr="00ED2620" w:rsidRDefault="00ED2620" w:rsidP="00C15CAC">
      <w:pPr>
        <w:spacing w:line="288" w:lineRule="auto"/>
        <w:jc w:val="left"/>
        <w:rPr>
          <w:sz w:val="24"/>
          <w:szCs w:val="24"/>
        </w:rPr>
      </w:pPr>
      <w:r w:rsidRPr="00ED2620">
        <w:rPr>
          <w:b/>
          <w:sz w:val="24"/>
        </w:rPr>
        <w:t xml:space="preserve">7.1 </w:t>
      </w:r>
      <w:r w:rsidRPr="00ED2620">
        <w:rPr>
          <w:b/>
          <w:sz w:val="24"/>
        </w:rPr>
        <w:t>基金管理人持有本基金份额变动情况</w:t>
      </w:r>
    </w:p>
    <w:p w:rsidR="00410630" w:rsidRDefault="00ED2620" w:rsidP="00C15CAC">
      <w:pPr>
        <w:autoSpaceDE w:val="0"/>
        <w:autoSpaceDN w:val="0"/>
        <w:adjustRightInd w:val="0"/>
        <w:spacing w:before="29" w:line="288" w:lineRule="auto"/>
        <w:jc w:val="left"/>
        <w:rPr>
          <w:rFonts w:eastAsiaTheme="minorEastAsia"/>
          <w:color w:val="000000"/>
          <w:sz w:val="24"/>
        </w:rPr>
      </w:pPr>
      <w:r w:rsidRPr="00ED2620">
        <w:rPr>
          <w:rFonts w:eastAsiaTheme="minorEastAsia"/>
          <w:color w:val="000000"/>
          <w:sz w:val="24"/>
        </w:rPr>
        <w:t>本报告期内未发生基金管理人运用固有资金投资本基金的情况。</w:t>
      </w:r>
    </w:p>
    <w:p w:rsidR="00410630" w:rsidRDefault="00410630" w:rsidP="00C15CAC">
      <w:pPr>
        <w:autoSpaceDE w:val="0"/>
        <w:autoSpaceDN w:val="0"/>
        <w:adjustRightInd w:val="0"/>
        <w:spacing w:before="29" w:line="288" w:lineRule="auto"/>
        <w:jc w:val="left"/>
        <w:rPr>
          <w:rFonts w:eastAsiaTheme="minorEastAsia"/>
          <w:color w:val="000000"/>
          <w:sz w:val="24"/>
        </w:rPr>
      </w:pPr>
    </w:p>
    <w:p w:rsidR="00410630" w:rsidRPr="00BB5E0E" w:rsidRDefault="00410630" w:rsidP="00BB5E0E">
      <w:pPr>
        <w:spacing w:line="288" w:lineRule="auto"/>
        <w:jc w:val="left"/>
        <w:rPr>
          <w:b/>
          <w:sz w:val="24"/>
        </w:rPr>
      </w:pPr>
      <w:r w:rsidRPr="00410630">
        <w:rPr>
          <w:b/>
          <w:sz w:val="24"/>
        </w:rPr>
        <w:t>7.2</w:t>
      </w:r>
      <w:r w:rsidRPr="00410630">
        <w:rPr>
          <w:rFonts w:hint="eastAsia"/>
          <w:b/>
          <w:sz w:val="24"/>
        </w:rPr>
        <w:t>基金管理人运用固有资金投资本基金交易明细</w:t>
      </w:r>
    </w:p>
    <w:p w:rsidR="00320300" w:rsidRPr="00414345" w:rsidRDefault="00320300" w:rsidP="00C15CAC">
      <w:pPr>
        <w:autoSpaceDE w:val="0"/>
        <w:autoSpaceDN w:val="0"/>
        <w:adjustRightInd w:val="0"/>
        <w:spacing w:before="29" w:line="288" w:lineRule="auto"/>
        <w:jc w:val="left"/>
        <w:rPr>
          <w:color w:val="000000"/>
          <w:sz w:val="24"/>
        </w:rPr>
      </w:pPr>
      <w:r w:rsidRPr="00414345">
        <w:rPr>
          <w:color w:val="000000"/>
          <w:sz w:val="24"/>
        </w:rPr>
        <w:t>本基金管理人本报告期内未进行本基金的申购、赎回、红利再投等。</w:t>
      </w:r>
    </w:p>
    <w:p w:rsidR="00480B35" w:rsidRPr="00414345" w:rsidRDefault="00480B35" w:rsidP="00C15CAC">
      <w:pPr>
        <w:autoSpaceDE w:val="0"/>
        <w:autoSpaceDN w:val="0"/>
        <w:adjustRightInd w:val="0"/>
        <w:spacing w:before="29" w:line="288" w:lineRule="auto"/>
        <w:jc w:val="left"/>
        <w:rPr>
          <w:color w:val="000000"/>
          <w:sz w:val="24"/>
        </w:rPr>
      </w:pPr>
    </w:p>
    <w:p w:rsidR="00B22DEE" w:rsidRPr="00E02660"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w:t>
      </w:r>
      <w:r w:rsidR="00D02347" w:rsidRPr="00414345">
        <w:rPr>
          <w:color w:val="000000"/>
          <w:kern w:val="0"/>
          <w:sz w:val="24"/>
          <w:szCs w:val="24"/>
        </w:rPr>
        <w:t>8</w:t>
      </w:r>
      <w:r w:rsidR="00834E74">
        <w:rPr>
          <w:color w:val="000000"/>
          <w:kern w:val="0"/>
          <w:sz w:val="24"/>
          <w:szCs w:val="24"/>
        </w:rPr>
        <w:t xml:space="preserve">  </w:t>
      </w:r>
      <w:r w:rsidRPr="00414345">
        <w:rPr>
          <w:color w:val="000000"/>
          <w:kern w:val="0"/>
          <w:sz w:val="24"/>
          <w:szCs w:val="24"/>
        </w:rPr>
        <w:t>备查文件目录</w:t>
      </w: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8</w:t>
      </w:r>
      <w:r w:rsidR="004061AC" w:rsidRPr="00414345">
        <w:rPr>
          <w:b/>
          <w:bCs/>
          <w:color w:val="000000"/>
          <w:kern w:val="0"/>
          <w:sz w:val="24"/>
          <w:szCs w:val="24"/>
        </w:rPr>
        <w:t>.</w:t>
      </w:r>
      <w:r w:rsidR="00676095" w:rsidRPr="00414345">
        <w:rPr>
          <w:b/>
          <w:bCs/>
          <w:color w:val="000000"/>
          <w:kern w:val="0"/>
          <w:sz w:val="24"/>
          <w:szCs w:val="24"/>
        </w:rPr>
        <w:t>1</w:t>
      </w:r>
      <w:r w:rsidR="004061AC" w:rsidRPr="00414345">
        <w:rPr>
          <w:b/>
          <w:bCs/>
          <w:color w:val="000000"/>
          <w:kern w:val="0"/>
          <w:sz w:val="24"/>
          <w:szCs w:val="24"/>
        </w:rPr>
        <w:t>备查文件目录</w:t>
      </w:r>
    </w:p>
    <w:p w:rsidR="00543832" w:rsidRDefault="00984FB1">
      <w:pPr>
        <w:spacing w:before="29" w:line="288" w:lineRule="auto"/>
        <w:ind w:firstLineChars="200" w:firstLine="480"/>
        <w:rPr>
          <w:color w:val="000000"/>
          <w:sz w:val="24"/>
          <w:szCs w:val="24"/>
        </w:rPr>
      </w:pPr>
      <w:r>
        <w:rPr>
          <w:color w:val="000000"/>
          <w:sz w:val="24"/>
          <w:szCs w:val="24"/>
        </w:rPr>
        <w:t>1</w:t>
      </w:r>
      <w:r>
        <w:rPr>
          <w:color w:val="000000"/>
          <w:sz w:val="24"/>
          <w:szCs w:val="24"/>
        </w:rPr>
        <w:t>、中国证监会批准交银施罗德定期支付双息平衡混合型证券投资基金募集的文件；</w:t>
      </w:r>
      <w:r>
        <w:rPr>
          <w:color w:val="000000"/>
          <w:sz w:val="24"/>
          <w:szCs w:val="24"/>
        </w:rPr>
        <w:t xml:space="preserve"> </w:t>
      </w:r>
    </w:p>
    <w:p w:rsidR="00543832" w:rsidRDefault="00984FB1">
      <w:pPr>
        <w:spacing w:before="29" w:line="288" w:lineRule="auto"/>
        <w:ind w:firstLineChars="200" w:firstLine="480"/>
        <w:rPr>
          <w:color w:val="000000"/>
          <w:sz w:val="24"/>
          <w:szCs w:val="24"/>
        </w:rPr>
      </w:pPr>
      <w:r>
        <w:rPr>
          <w:color w:val="000000"/>
          <w:sz w:val="24"/>
          <w:szCs w:val="24"/>
        </w:rPr>
        <w:t>2</w:t>
      </w:r>
      <w:r>
        <w:rPr>
          <w:color w:val="000000"/>
          <w:sz w:val="24"/>
          <w:szCs w:val="24"/>
        </w:rPr>
        <w:t>、《交银施罗德定期支付双息平衡混合型证券投资基金基金合同》；</w:t>
      </w:r>
      <w:r>
        <w:rPr>
          <w:color w:val="000000"/>
          <w:sz w:val="24"/>
          <w:szCs w:val="24"/>
        </w:rPr>
        <w:t xml:space="preserve"> </w:t>
      </w:r>
    </w:p>
    <w:p w:rsidR="00543832" w:rsidRDefault="00984FB1">
      <w:pPr>
        <w:spacing w:before="29" w:line="288" w:lineRule="auto"/>
        <w:ind w:firstLineChars="200" w:firstLine="480"/>
        <w:rPr>
          <w:color w:val="000000"/>
          <w:sz w:val="24"/>
          <w:szCs w:val="24"/>
        </w:rPr>
      </w:pPr>
      <w:r>
        <w:rPr>
          <w:color w:val="000000"/>
          <w:sz w:val="24"/>
          <w:szCs w:val="24"/>
        </w:rPr>
        <w:t>3</w:t>
      </w:r>
      <w:r>
        <w:rPr>
          <w:color w:val="000000"/>
          <w:sz w:val="24"/>
          <w:szCs w:val="24"/>
        </w:rPr>
        <w:t>、《交银施罗德定期支付双息平衡混合型证券投资基金招募说明书》；</w:t>
      </w:r>
      <w:r>
        <w:rPr>
          <w:color w:val="000000"/>
          <w:sz w:val="24"/>
          <w:szCs w:val="24"/>
        </w:rPr>
        <w:t xml:space="preserve"> </w:t>
      </w:r>
    </w:p>
    <w:p w:rsidR="00543832" w:rsidRDefault="00984FB1">
      <w:pPr>
        <w:spacing w:before="29" w:line="288" w:lineRule="auto"/>
        <w:ind w:firstLineChars="200" w:firstLine="480"/>
        <w:rPr>
          <w:color w:val="000000"/>
          <w:sz w:val="24"/>
          <w:szCs w:val="24"/>
        </w:rPr>
      </w:pPr>
      <w:r>
        <w:rPr>
          <w:color w:val="000000"/>
          <w:sz w:val="24"/>
          <w:szCs w:val="24"/>
        </w:rPr>
        <w:t>4</w:t>
      </w:r>
      <w:r>
        <w:rPr>
          <w:color w:val="000000"/>
          <w:sz w:val="24"/>
          <w:szCs w:val="24"/>
        </w:rPr>
        <w:t>、《交银施罗德定期支付双息平衡混合型证券投资基金托管协议》；</w:t>
      </w:r>
      <w:r>
        <w:rPr>
          <w:color w:val="000000"/>
          <w:sz w:val="24"/>
          <w:szCs w:val="24"/>
        </w:rPr>
        <w:t xml:space="preserve"> </w:t>
      </w:r>
    </w:p>
    <w:p w:rsidR="00543832" w:rsidRDefault="00984FB1">
      <w:pPr>
        <w:spacing w:before="29" w:line="288" w:lineRule="auto"/>
        <w:ind w:firstLineChars="200" w:firstLine="480"/>
        <w:rPr>
          <w:color w:val="000000"/>
          <w:sz w:val="24"/>
          <w:szCs w:val="24"/>
        </w:rPr>
      </w:pPr>
      <w:r>
        <w:rPr>
          <w:color w:val="000000"/>
          <w:sz w:val="24"/>
          <w:szCs w:val="24"/>
        </w:rPr>
        <w:t>5</w:t>
      </w:r>
      <w:r>
        <w:rPr>
          <w:color w:val="000000"/>
          <w:sz w:val="24"/>
          <w:szCs w:val="24"/>
        </w:rPr>
        <w:t>、关于募集交银施罗德定期支付双息平衡混合型证券投资基金之法律意见书；</w:t>
      </w:r>
      <w:r>
        <w:rPr>
          <w:color w:val="000000"/>
          <w:sz w:val="24"/>
          <w:szCs w:val="24"/>
        </w:rPr>
        <w:t xml:space="preserve"> </w:t>
      </w:r>
    </w:p>
    <w:p w:rsidR="00543832" w:rsidRDefault="00984FB1">
      <w:pPr>
        <w:spacing w:before="29" w:line="288" w:lineRule="auto"/>
        <w:ind w:firstLineChars="200" w:firstLine="480"/>
        <w:rPr>
          <w:color w:val="000000"/>
          <w:sz w:val="24"/>
          <w:szCs w:val="24"/>
        </w:rPr>
      </w:pPr>
      <w:r>
        <w:rPr>
          <w:color w:val="000000"/>
          <w:sz w:val="24"/>
          <w:szCs w:val="24"/>
        </w:rPr>
        <w:t>6</w:t>
      </w:r>
      <w:r>
        <w:rPr>
          <w:color w:val="000000"/>
          <w:sz w:val="24"/>
          <w:szCs w:val="24"/>
        </w:rPr>
        <w:t>、基金管理人业务资格批件、营业执照；</w:t>
      </w:r>
      <w:r>
        <w:rPr>
          <w:color w:val="000000"/>
          <w:sz w:val="24"/>
          <w:szCs w:val="24"/>
        </w:rPr>
        <w:t xml:space="preserve"> </w:t>
      </w:r>
    </w:p>
    <w:p w:rsidR="00543832" w:rsidRDefault="00984FB1">
      <w:pPr>
        <w:spacing w:before="29" w:line="288" w:lineRule="auto"/>
        <w:ind w:firstLineChars="200" w:firstLine="480"/>
        <w:rPr>
          <w:color w:val="000000"/>
          <w:sz w:val="24"/>
          <w:szCs w:val="24"/>
        </w:rPr>
      </w:pPr>
      <w:r>
        <w:rPr>
          <w:color w:val="000000"/>
          <w:sz w:val="24"/>
          <w:szCs w:val="24"/>
        </w:rPr>
        <w:t>7</w:t>
      </w:r>
      <w:r>
        <w:rPr>
          <w:color w:val="000000"/>
          <w:sz w:val="24"/>
          <w:szCs w:val="24"/>
        </w:rPr>
        <w:t>、基金托管人业务资格批件、营业执照；</w:t>
      </w:r>
      <w:r>
        <w:rPr>
          <w:color w:val="000000"/>
          <w:sz w:val="24"/>
          <w:szCs w:val="24"/>
        </w:rPr>
        <w:t xml:space="preserve"> </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8</w:t>
      </w:r>
      <w:r w:rsidRPr="00414345">
        <w:rPr>
          <w:color w:val="000000"/>
          <w:sz w:val="24"/>
          <w:szCs w:val="24"/>
        </w:rPr>
        <w:t>、报告期内交银施罗德定期支付双息平衡混合型证券投资基金在指定报刊上各项公告的原稿。</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8</w:t>
      </w:r>
      <w:r w:rsidR="004061AC" w:rsidRPr="00414345">
        <w:rPr>
          <w:b/>
          <w:bCs/>
          <w:color w:val="000000"/>
          <w:kern w:val="0"/>
          <w:sz w:val="24"/>
          <w:szCs w:val="24"/>
        </w:rPr>
        <w:t>.</w:t>
      </w:r>
      <w:r w:rsidR="00676095" w:rsidRPr="00414345">
        <w:rPr>
          <w:b/>
          <w:bCs/>
          <w:color w:val="000000"/>
          <w:kern w:val="0"/>
          <w:sz w:val="24"/>
          <w:szCs w:val="24"/>
        </w:rPr>
        <w:t>2</w:t>
      </w:r>
      <w:r w:rsidR="004061AC" w:rsidRPr="00414345">
        <w:rPr>
          <w:b/>
          <w:bCs/>
          <w:color w:val="000000"/>
          <w:kern w:val="0"/>
          <w:sz w:val="24"/>
          <w:szCs w:val="24"/>
        </w:rPr>
        <w:t>存放地点</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备查文件存放于基金管理人的办公场所。</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8</w:t>
      </w:r>
      <w:r w:rsidR="004061AC" w:rsidRPr="00414345">
        <w:rPr>
          <w:b/>
          <w:bCs/>
          <w:color w:val="000000"/>
          <w:kern w:val="0"/>
          <w:sz w:val="24"/>
          <w:szCs w:val="24"/>
        </w:rPr>
        <w:t>.</w:t>
      </w:r>
      <w:r w:rsidR="00676095" w:rsidRPr="00414345">
        <w:rPr>
          <w:b/>
          <w:bCs/>
          <w:color w:val="000000"/>
          <w:kern w:val="0"/>
          <w:sz w:val="24"/>
          <w:szCs w:val="24"/>
        </w:rPr>
        <w:t>3</w:t>
      </w:r>
      <w:r w:rsidR="004061AC" w:rsidRPr="00414345">
        <w:rPr>
          <w:b/>
          <w:bCs/>
          <w:color w:val="000000"/>
          <w:kern w:val="0"/>
          <w:sz w:val="24"/>
          <w:szCs w:val="24"/>
        </w:rPr>
        <w:t>查阅方式</w:t>
      </w:r>
    </w:p>
    <w:p w:rsidR="00543832" w:rsidRDefault="00984FB1">
      <w:pPr>
        <w:spacing w:before="29" w:line="288" w:lineRule="auto"/>
        <w:ind w:firstLineChars="200" w:firstLine="480"/>
        <w:rPr>
          <w:color w:val="000000"/>
          <w:sz w:val="24"/>
          <w:szCs w:val="24"/>
        </w:rPr>
      </w:pPr>
      <w:r>
        <w:rPr>
          <w:color w:val="000000"/>
          <w:sz w:val="24"/>
          <w:szCs w:val="24"/>
        </w:rPr>
        <w:t>投资者可在办公时间内至基金管理人的办公场所免费查阅备查文件，或者登录基金管理人的网站</w:t>
      </w:r>
      <w:r>
        <w:rPr>
          <w:color w:val="000000"/>
          <w:sz w:val="24"/>
          <w:szCs w:val="24"/>
        </w:rPr>
        <w:t>(www.fund001.com)</w:t>
      </w:r>
      <w:r>
        <w:rPr>
          <w:color w:val="000000"/>
          <w:sz w:val="24"/>
          <w:szCs w:val="24"/>
        </w:rPr>
        <w:t>查阅。在支付工本费后，投资者可在合理时间内取得上述文件的复制件或复印件。</w:t>
      </w:r>
      <w:r>
        <w:rPr>
          <w:color w:val="000000"/>
          <w:sz w:val="24"/>
          <w:szCs w:val="24"/>
        </w:rPr>
        <w:t xml:space="preserve"> </w:t>
      </w:r>
    </w:p>
    <w:p w:rsidR="00A90049" w:rsidRPr="00414345" w:rsidRDefault="006D7FF8" w:rsidP="00C15CAC">
      <w:pPr>
        <w:spacing w:before="29" w:line="288" w:lineRule="auto"/>
        <w:ind w:firstLineChars="200" w:firstLine="480"/>
        <w:rPr>
          <w:color w:val="000000"/>
          <w:sz w:val="24"/>
          <w:szCs w:val="24"/>
        </w:rPr>
      </w:pPr>
      <w:r w:rsidRPr="00414345">
        <w:rPr>
          <w:color w:val="000000"/>
          <w:sz w:val="24"/>
          <w:szCs w:val="24"/>
        </w:rPr>
        <w:t>投资者对本报告书如有疑问，可咨询本基金管理人交银施罗德基金管理有限公司。本公司客户服务中心电话：</w:t>
      </w:r>
      <w:r w:rsidRPr="00414345">
        <w:rPr>
          <w:color w:val="000000"/>
          <w:sz w:val="24"/>
          <w:szCs w:val="24"/>
        </w:rPr>
        <w:t>400-700-5000</w:t>
      </w:r>
      <w:r w:rsidRPr="00414345">
        <w:rPr>
          <w:color w:val="000000"/>
          <w:sz w:val="24"/>
          <w:szCs w:val="24"/>
        </w:rPr>
        <w:t>（免长途话费），</w:t>
      </w:r>
      <w:r w:rsidRPr="00414345">
        <w:rPr>
          <w:color w:val="000000"/>
          <w:sz w:val="24"/>
          <w:szCs w:val="24"/>
        </w:rPr>
        <w:t>021-61055000</w:t>
      </w:r>
      <w:r w:rsidRPr="00414345">
        <w:rPr>
          <w:color w:val="000000"/>
          <w:sz w:val="24"/>
          <w:szCs w:val="24"/>
        </w:rPr>
        <w:t>，电子邮件：</w:t>
      </w:r>
      <w:r w:rsidRPr="00414345">
        <w:rPr>
          <w:color w:val="000000"/>
          <w:sz w:val="24"/>
          <w:szCs w:val="24"/>
        </w:rPr>
        <w:t>services@jysld.com</w:t>
      </w:r>
      <w:r w:rsidRPr="00414345">
        <w:rPr>
          <w:color w:val="000000"/>
          <w:sz w:val="24"/>
          <w:szCs w:val="24"/>
        </w:rPr>
        <w:t>。</w:t>
      </w:r>
    </w:p>
    <w:p w:rsidR="002C3C7A" w:rsidRPr="00414345" w:rsidRDefault="002C3C7A" w:rsidP="00C15CAC">
      <w:pPr>
        <w:spacing w:before="29" w:line="288" w:lineRule="auto"/>
        <w:ind w:firstLineChars="200" w:firstLine="480"/>
        <w:rPr>
          <w:color w:val="000000"/>
          <w:sz w:val="24"/>
          <w:szCs w:val="24"/>
        </w:rPr>
      </w:pPr>
    </w:p>
    <w:sectPr w:rsidR="002C3C7A" w:rsidRPr="00414345" w:rsidSect="00000678">
      <w:pgSz w:w="11906" w:h="16838" w:code="9"/>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AA1" w:rsidRDefault="00C11AA1" w:rsidP="00876D65">
      <w:r>
        <w:separator/>
      </w:r>
    </w:p>
  </w:endnote>
  <w:endnote w:type="continuationSeparator" w:id="0">
    <w:p w:rsidR="00C11AA1" w:rsidRDefault="00C11AA1" w:rsidP="0087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angSong">
    <w:altName w:val="黑体"/>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93A" w:rsidRDefault="00D9393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40C" w:rsidRPr="001D0DB0" w:rsidRDefault="004D340C" w:rsidP="004D340C">
    <w:pPr>
      <w:pStyle w:val="a6"/>
      <w:jc w:val="center"/>
    </w:pPr>
    <w:r>
      <w:rPr>
        <w:rFonts w:hint="eastAsia"/>
        <w:kern w:val="0"/>
        <w:szCs w:val="21"/>
      </w:rPr>
      <w:t>第</w:t>
    </w:r>
    <w:r w:rsidR="00381EE8">
      <w:rPr>
        <w:kern w:val="0"/>
        <w:szCs w:val="21"/>
      </w:rPr>
      <w:fldChar w:fldCharType="begin"/>
    </w:r>
    <w:r>
      <w:rPr>
        <w:kern w:val="0"/>
        <w:szCs w:val="21"/>
      </w:rPr>
      <w:instrText xml:space="preserve"> PAGE </w:instrText>
    </w:r>
    <w:r w:rsidR="00381EE8">
      <w:rPr>
        <w:kern w:val="0"/>
        <w:szCs w:val="21"/>
      </w:rPr>
      <w:fldChar w:fldCharType="separate"/>
    </w:r>
    <w:r w:rsidR="00984FB1">
      <w:rPr>
        <w:noProof/>
        <w:kern w:val="0"/>
        <w:szCs w:val="21"/>
      </w:rPr>
      <w:t>12</w:t>
    </w:r>
    <w:r w:rsidR="00381EE8">
      <w:rPr>
        <w:kern w:val="0"/>
        <w:szCs w:val="21"/>
      </w:rPr>
      <w:fldChar w:fldCharType="end"/>
    </w:r>
    <w:proofErr w:type="gramStart"/>
    <w:r>
      <w:rPr>
        <w:rFonts w:hint="eastAsia"/>
        <w:kern w:val="0"/>
        <w:szCs w:val="21"/>
      </w:rPr>
      <w:t>页共</w:t>
    </w:r>
    <w:proofErr w:type="gramEnd"/>
    <w:r w:rsidR="00381EE8">
      <w:rPr>
        <w:kern w:val="0"/>
        <w:szCs w:val="21"/>
      </w:rPr>
      <w:fldChar w:fldCharType="begin"/>
    </w:r>
    <w:r>
      <w:rPr>
        <w:kern w:val="0"/>
        <w:szCs w:val="21"/>
      </w:rPr>
      <w:instrText xml:space="preserve"> NUMPAGES </w:instrText>
    </w:r>
    <w:r w:rsidR="00381EE8">
      <w:rPr>
        <w:kern w:val="0"/>
        <w:szCs w:val="21"/>
      </w:rPr>
      <w:fldChar w:fldCharType="separate"/>
    </w:r>
    <w:r w:rsidR="00984FB1">
      <w:rPr>
        <w:noProof/>
        <w:kern w:val="0"/>
        <w:szCs w:val="21"/>
      </w:rPr>
      <w:t>12</w:t>
    </w:r>
    <w:r w:rsidR="00381EE8">
      <w:rPr>
        <w:kern w:val="0"/>
        <w:szCs w:val="21"/>
      </w:rPr>
      <w:fldChar w:fldCharType="end"/>
    </w:r>
    <w:r>
      <w:rPr>
        <w:rFonts w:hint="eastAsia"/>
        <w:kern w:val="0"/>
        <w:szCs w:val="21"/>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93A" w:rsidRDefault="00D939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AA1" w:rsidRDefault="00C11AA1" w:rsidP="00876D65">
      <w:r>
        <w:separator/>
      </w:r>
    </w:p>
  </w:footnote>
  <w:footnote w:type="continuationSeparator" w:id="0">
    <w:p w:rsidR="00C11AA1" w:rsidRDefault="00C11AA1" w:rsidP="00876D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93A" w:rsidRDefault="00D9393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EF0" w:rsidRPr="00DC456F" w:rsidRDefault="00DC456F" w:rsidP="00090A26">
    <w:pPr>
      <w:pStyle w:val="a9"/>
      <w:pBdr>
        <w:bottom w:val="single" w:sz="6" w:space="0" w:color="auto"/>
      </w:pBdr>
      <w:jc w:val="right"/>
      <w:rPr>
        <w:sz w:val="24"/>
        <w:szCs w:val="24"/>
      </w:rPr>
    </w:pPr>
    <w:r w:rsidRPr="003E676C">
      <w:rPr>
        <w:sz w:val="24"/>
        <w:szCs w:val="24"/>
      </w:rPr>
      <w:t>交银施罗德定期支付双</w:t>
    </w:r>
    <w:proofErr w:type="gramStart"/>
    <w:r w:rsidRPr="003E676C">
      <w:rPr>
        <w:sz w:val="24"/>
        <w:szCs w:val="24"/>
      </w:rPr>
      <w:t>息平衡</w:t>
    </w:r>
    <w:proofErr w:type="gramEnd"/>
    <w:r w:rsidRPr="003E676C">
      <w:rPr>
        <w:sz w:val="24"/>
        <w:szCs w:val="24"/>
      </w:rPr>
      <w:t>混合型证券投资基金</w:t>
    </w:r>
    <w:r w:rsidRPr="003E676C">
      <w:rPr>
        <w:sz w:val="24"/>
        <w:szCs w:val="24"/>
      </w:rPr>
      <w:t>2020</w:t>
    </w:r>
    <w:r w:rsidRPr="003E676C">
      <w:rPr>
        <w:sz w:val="24"/>
        <w:szCs w:val="24"/>
      </w:rPr>
      <w:t>年第</w:t>
    </w:r>
    <w:r w:rsidRPr="003E676C">
      <w:rPr>
        <w:sz w:val="24"/>
        <w:szCs w:val="24"/>
      </w:rPr>
      <w:t>2</w:t>
    </w:r>
    <w:r w:rsidRPr="003E676C">
      <w:rPr>
        <w:sz w:val="24"/>
        <w:szCs w:val="24"/>
      </w:rPr>
      <w:t>季度报告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93A" w:rsidRDefault="00D9393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1"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szCs w:val="24"/>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2"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00678"/>
    <w:rsid w:val="00006A28"/>
    <w:rsid w:val="00014099"/>
    <w:rsid w:val="000160C5"/>
    <w:rsid w:val="000210E7"/>
    <w:rsid w:val="000243BD"/>
    <w:rsid w:val="00024F7F"/>
    <w:rsid w:val="00031EBB"/>
    <w:rsid w:val="00033B8D"/>
    <w:rsid w:val="0004308C"/>
    <w:rsid w:val="00043852"/>
    <w:rsid w:val="000450DD"/>
    <w:rsid w:val="000463DE"/>
    <w:rsid w:val="0006147E"/>
    <w:rsid w:val="000625ED"/>
    <w:rsid w:val="00064D40"/>
    <w:rsid w:val="00066A97"/>
    <w:rsid w:val="000815C0"/>
    <w:rsid w:val="000824E7"/>
    <w:rsid w:val="0008313A"/>
    <w:rsid w:val="00085E78"/>
    <w:rsid w:val="0008689B"/>
    <w:rsid w:val="00086D4E"/>
    <w:rsid w:val="000907D2"/>
    <w:rsid w:val="00090A26"/>
    <w:rsid w:val="000A2B53"/>
    <w:rsid w:val="000A2FC0"/>
    <w:rsid w:val="000A4173"/>
    <w:rsid w:val="000B1D21"/>
    <w:rsid w:val="000B1EB7"/>
    <w:rsid w:val="000B5C78"/>
    <w:rsid w:val="000B624F"/>
    <w:rsid w:val="000B73C6"/>
    <w:rsid w:val="000C190B"/>
    <w:rsid w:val="000C1E17"/>
    <w:rsid w:val="000C5216"/>
    <w:rsid w:val="000D0E6C"/>
    <w:rsid w:val="000D11DE"/>
    <w:rsid w:val="000D3ED4"/>
    <w:rsid w:val="000E5DA5"/>
    <w:rsid w:val="000E7E5E"/>
    <w:rsid w:val="000F6CC8"/>
    <w:rsid w:val="00111261"/>
    <w:rsid w:val="0011537B"/>
    <w:rsid w:val="00133015"/>
    <w:rsid w:val="00137452"/>
    <w:rsid w:val="00137B31"/>
    <w:rsid w:val="00144F93"/>
    <w:rsid w:val="00147376"/>
    <w:rsid w:val="0015450B"/>
    <w:rsid w:val="00154BE1"/>
    <w:rsid w:val="0015710B"/>
    <w:rsid w:val="00160EDC"/>
    <w:rsid w:val="00162D61"/>
    <w:rsid w:val="001675CD"/>
    <w:rsid w:val="0017126E"/>
    <w:rsid w:val="001717D5"/>
    <w:rsid w:val="00171EF0"/>
    <w:rsid w:val="00173B44"/>
    <w:rsid w:val="001761D2"/>
    <w:rsid w:val="00176C21"/>
    <w:rsid w:val="0018138B"/>
    <w:rsid w:val="001830D7"/>
    <w:rsid w:val="00185A34"/>
    <w:rsid w:val="001934F6"/>
    <w:rsid w:val="00196E6C"/>
    <w:rsid w:val="001A280A"/>
    <w:rsid w:val="001A73E8"/>
    <w:rsid w:val="001B0A62"/>
    <w:rsid w:val="001B2F35"/>
    <w:rsid w:val="001B4DD6"/>
    <w:rsid w:val="001B5607"/>
    <w:rsid w:val="001C0993"/>
    <w:rsid w:val="001C79F2"/>
    <w:rsid w:val="001D6A4B"/>
    <w:rsid w:val="001E4630"/>
    <w:rsid w:val="001F0964"/>
    <w:rsid w:val="001F30DA"/>
    <w:rsid w:val="001F3E2A"/>
    <w:rsid w:val="001F5DC5"/>
    <w:rsid w:val="00200FAB"/>
    <w:rsid w:val="00213821"/>
    <w:rsid w:val="00213DFB"/>
    <w:rsid w:val="00217B92"/>
    <w:rsid w:val="0022309F"/>
    <w:rsid w:val="00224294"/>
    <w:rsid w:val="002279D3"/>
    <w:rsid w:val="00240248"/>
    <w:rsid w:val="0024363B"/>
    <w:rsid w:val="00246049"/>
    <w:rsid w:val="00247332"/>
    <w:rsid w:val="00253578"/>
    <w:rsid w:val="00261111"/>
    <w:rsid w:val="00264E55"/>
    <w:rsid w:val="00270744"/>
    <w:rsid w:val="002731EC"/>
    <w:rsid w:val="00275745"/>
    <w:rsid w:val="0027688F"/>
    <w:rsid w:val="00276E44"/>
    <w:rsid w:val="00285DB3"/>
    <w:rsid w:val="00285F38"/>
    <w:rsid w:val="00286BEF"/>
    <w:rsid w:val="00286FA2"/>
    <w:rsid w:val="002902E9"/>
    <w:rsid w:val="002918E3"/>
    <w:rsid w:val="00295CD0"/>
    <w:rsid w:val="002973A9"/>
    <w:rsid w:val="002B1D1A"/>
    <w:rsid w:val="002C2834"/>
    <w:rsid w:val="002C3C7A"/>
    <w:rsid w:val="002C5F95"/>
    <w:rsid w:val="002C657A"/>
    <w:rsid w:val="002D48DF"/>
    <w:rsid w:val="002D6872"/>
    <w:rsid w:val="002D6FB6"/>
    <w:rsid w:val="002E3B09"/>
    <w:rsid w:val="002E52B3"/>
    <w:rsid w:val="00301559"/>
    <w:rsid w:val="00302816"/>
    <w:rsid w:val="00304A12"/>
    <w:rsid w:val="00305636"/>
    <w:rsid w:val="00311662"/>
    <w:rsid w:val="00312A9F"/>
    <w:rsid w:val="00315D5D"/>
    <w:rsid w:val="00316484"/>
    <w:rsid w:val="00316E01"/>
    <w:rsid w:val="00320300"/>
    <w:rsid w:val="00320E90"/>
    <w:rsid w:val="00324508"/>
    <w:rsid w:val="003259C8"/>
    <w:rsid w:val="003307FE"/>
    <w:rsid w:val="00333AD0"/>
    <w:rsid w:val="00336EAF"/>
    <w:rsid w:val="00345A47"/>
    <w:rsid w:val="003470E2"/>
    <w:rsid w:val="0035076C"/>
    <w:rsid w:val="00352719"/>
    <w:rsid w:val="0035383E"/>
    <w:rsid w:val="00355364"/>
    <w:rsid w:val="00364CCB"/>
    <w:rsid w:val="00365798"/>
    <w:rsid w:val="00372F16"/>
    <w:rsid w:val="00381EE8"/>
    <w:rsid w:val="0039085F"/>
    <w:rsid w:val="00394069"/>
    <w:rsid w:val="00396809"/>
    <w:rsid w:val="003A58DC"/>
    <w:rsid w:val="003A6061"/>
    <w:rsid w:val="003B3494"/>
    <w:rsid w:val="003B5E08"/>
    <w:rsid w:val="003B6FBC"/>
    <w:rsid w:val="003C32C0"/>
    <w:rsid w:val="003C50AD"/>
    <w:rsid w:val="003D2269"/>
    <w:rsid w:val="003D742E"/>
    <w:rsid w:val="003E62FB"/>
    <w:rsid w:val="003E6867"/>
    <w:rsid w:val="003F0956"/>
    <w:rsid w:val="003F09B5"/>
    <w:rsid w:val="003F1ECB"/>
    <w:rsid w:val="003F39DF"/>
    <w:rsid w:val="003F63BE"/>
    <w:rsid w:val="004003F8"/>
    <w:rsid w:val="004033ED"/>
    <w:rsid w:val="004061AC"/>
    <w:rsid w:val="00406DA6"/>
    <w:rsid w:val="00410630"/>
    <w:rsid w:val="00414345"/>
    <w:rsid w:val="004149AC"/>
    <w:rsid w:val="0042009D"/>
    <w:rsid w:val="004216D2"/>
    <w:rsid w:val="00421CD2"/>
    <w:rsid w:val="00426096"/>
    <w:rsid w:val="00426A8F"/>
    <w:rsid w:val="00427F58"/>
    <w:rsid w:val="00433805"/>
    <w:rsid w:val="00442F8D"/>
    <w:rsid w:val="00443869"/>
    <w:rsid w:val="00443ABF"/>
    <w:rsid w:val="00460575"/>
    <w:rsid w:val="00463EC0"/>
    <w:rsid w:val="00464787"/>
    <w:rsid w:val="00471408"/>
    <w:rsid w:val="00480B35"/>
    <w:rsid w:val="004858E0"/>
    <w:rsid w:val="00487A40"/>
    <w:rsid w:val="004917C3"/>
    <w:rsid w:val="00491C81"/>
    <w:rsid w:val="004934E9"/>
    <w:rsid w:val="004943C2"/>
    <w:rsid w:val="004949F3"/>
    <w:rsid w:val="004A0AA9"/>
    <w:rsid w:val="004A11A7"/>
    <w:rsid w:val="004A459C"/>
    <w:rsid w:val="004A6731"/>
    <w:rsid w:val="004A7B1D"/>
    <w:rsid w:val="004B2AF4"/>
    <w:rsid w:val="004C0914"/>
    <w:rsid w:val="004C20CA"/>
    <w:rsid w:val="004C702F"/>
    <w:rsid w:val="004D340C"/>
    <w:rsid w:val="004D495A"/>
    <w:rsid w:val="004E5975"/>
    <w:rsid w:val="004E790A"/>
    <w:rsid w:val="004F1A4E"/>
    <w:rsid w:val="004F50FD"/>
    <w:rsid w:val="00500A03"/>
    <w:rsid w:val="00512200"/>
    <w:rsid w:val="005143CD"/>
    <w:rsid w:val="005144F2"/>
    <w:rsid w:val="00516618"/>
    <w:rsid w:val="00517989"/>
    <w:rsid w:val="005242A5"/>
    <w:rsid w:val="0052479B"/>
    <w:rsid w:val="005249DD"/>
    <w:rsid w:val="00524D96"/>
    <w:rsid w:val="00530ABE"/>
    <w:rsid w:val="00531BA5"/>
    <w:rsid w:val="00531F10"/>
    <w:rsid w:val="00532E86"/>
    <w:rsid w:val="00536432"/>
    <w:rsid w:val="005401DB"/>
    <w:rsid w:val="00540818"/>
    <w:rsid w:val="00542434"/>
    <w:rsid w:val="00542470"/>
    <w:rsid w:val="00542546"/>
    <w:rsid w:val="00543832"/>
    <w:rsid w:val="005454FB"/>
    <w:rsid w:val="005608EF"/>
    <w:rsid w:val="005659E4"/>
    <w:rsid w:val="00570842"/>
    <w:rsid w:val="00572784"/>
    <w:rsid w:val="00572D9F"/>
    <w:rsid w:val="00573097"/>
    <w:rsid w:val="00575270"/>
    <w:rsid w:val="005761EE"/>
    <w:rsid w:val="00582D99"/>
    <w:rsid w:val="00585263"/>
    <w:rsid w:val="005866D3"/>
    <w:rsid w:val="0059076B"/>
    <w:rsid w:val="005910BF"/>
    <w:rsid w:val="005A0A33"/>
    <w:rsid w:val="005A0F1F"/>
    <w:rsid w:val="005A3D62"/>
    <w:rsid w:val="005A6675"/>
    <w:rsid w:val="005B04A5"/>
    <w:rsid w:val="005B09FA"/>
    <w:rsid w:val="005B2E9C"/>
    <w:rsid w:val="005B3CC0"/>
    <w:rsid w:val="005B4C8F"/>
    <w:rsid w:val="005B4F93"/>
    <w:rsid w:val="005B73D2"/>
    <w:rsid w:val="005D2B36"/>
    <w:rsid w:val="005E475E"/>
    <w:rsid w:val="005F118D"/>
    <w:rsid w:val="005F1F22"/>
    <w:rsid w:val="005F3996"/>
    <w:rsid w:val="005F3B86"/>
    <w:rsid w:val="005F6AF6"/>
    <w:rsid w:val="00604E50"/>
    <w:rsid w:val="006054CF"/>
    <w:rsid w:val="006066D2"/>
    <w:rsid w:val="006075E6"/>
    <w:rsid w:val="0061286A"/>
    <w:rsid w:val="00613BB8"/>
    <w:rsid w:val="00614CC4"/>
    <w:rsid w:val="0062025E"/>
    <w:rsid w:val="00625BFC"/>
    <w:rsid w:val="00626998"/>
    <w:rsid w:val="006269FB"/>
    <w:rsid w:val="00627E2D"/>
    <w:rsid w:val="00627EDE"/>
    <w:rsid w:val="00631ED8"/>
    <w:rsid w:val="006326E3"/>
    <w:rsid w:val="00632B0F"/>
    <w:rsid w:val="00636DB7"/>
    <w:rsid w:val="0063783A"/>
    <w:rsid w:val="00641048"/>
    <w:rsid w:val="006423B9"/>
    <w:rsid w:val="00642FA0"/>
    <w:rsid w:val="00653458"/>
    <w:rsid w:val="00654B0D"/>
    <w:rsid w:val="0065599B"/>
    <w:rsid w:val="00655CD8"/>
    <w:rsid w:val="00655E1C"/>
    <w:rsid w:val="006571DC"/>
    <w:rsid w:val="00660D4B"/>
    <w:rsid w:val="00664ECC"/>
    <w:rsid w:val="00670547"/>
    <w:rsid w:val="00670989"/>
    <w:rsid w:val="00672A26"/>
    <w:rsid w:val="006742DC"/>
    <w:rsid w:val="006757DC"/>
    <w:rsid w:val="00676095"/>
    <w:rsid w:val="006823C3"/>
    <w:rsid w:val="006928F1"/>
    <w:rsid w:val="00693843"/>
    <w:rsid w:val="0069426C"/>
    <w:rsid w:val="00694DFB"/>
    <w:rsid w:val="006A0893"/>
    <w:rsid w:val="006A10AB"/>
    <w:rsid w:val="006A1C62"/>
    <w:rsid w:val="006A48FD"/>
    <w:rsid w:val="006A5EA9"/>
    <w:rsid w:val="006A61EE"/>
    <w:rsid w:val="006A67F8"/>
    <w:rsid w:val="006A7AF1"/>
    <w:rsid w:val="006B0D08"/>
    <w:rsid w:val="006B11BB"/>
    <w:rsid w:val="006B2FF6"/>
    <w:rsid w:val="006B5457"/>
    <w:rsid w:val="006B5F69"/>
    <w:rsid w:val="006C12B8"/>
    <w:rsid w:val="006C2C1B"/>
    <w:rsid w:val="006C37FC"/>
    <w:rsid w:val="006C7EA3"/>
    <w:rsid w:val="006D2F96"/>
    <w:rsid w:val="006D39E9"/>
    <w:rsid w:val="006D3BE3"/>
    <w:rsid w:val="006D7004"/>
    <w:rsid w:val="006D789D"/>
    <w:rsid w:val="006D7FF8"/>
    <w:rsid w:val="006E042A"/>
    <w:rsid w:val="006E6726"/>
    <w:rsid w:val="006F5E68"/>
    <w:rsid w:val="00706D60"/>
    <w:rsid w:val="007075E3"/>
    <w:rsid w:val="00707F66"/>
    <w:rsid w:val="00710AE0"/>
    <w:rsid w:val="00713A1A"/>
    <w:rsid w:val="00713B5F"/>
    <w:rsid w:val="00720D28"/>
    <w:rsid w:val="00722509"/>
    <w:rsid w:val="00723CB2"/>
    <w:rsid w:val="0072794E"/>
    <w:rsid w:val="00727DD8"/>
    <w:rsid w:val="00727FCD"/>
    <w:rsid w:val="007311DB"/>
    <w:rsid w:val="00733DDD"/>
    <w:rsid w:val="00750CDF"/>
    <w:rsid w:val="00752BA5"/>
    <w:rsid w:val="00755D86"/>
    <w:rsid w:val="007570FE"/>
    <w:rsid w:val="00767C98"/>
    <w:rsid w:val="00770971"/>
    <w:rsid w:val="00772547"/>
    <w:rsid w:val="00775B61"/>
    <w:rsid w:val="007815D8"/>
    <w:rsid w:val="00794090"/>
    <w:rsid w:val="00796CA8"/>
    <w:rsid w:val="007972F5"/>
    <w:rsid w:val="00797305"/>
    <w:rsid w:val="007A0693"/>
    <w:rsid w:val="007A093F"/>
    <w:rsid w:val="007B035B"/>
    <w:rsid w:val="007B2639"/>
    <w:rsid w:val="007B4C04"/>
    <w:rsid w:val="007B5AFB"/>
    <w:rsid w:val="007B5F21"/>
    <w:rsid w:val="007C395A"/>
    <w:rsid w:val="007C5862"/>
    <w:rsid w:val="007D0922"/>
    <w:rsid w:val="007D100C"/>
    <w:rsid w:val="007E2686"/>
    <w:rsid w:val="007E57C0"/>
    <w:rsid w:val="007F29B1"/>
    <w:rsid w:val="007F6DD1"/>
    <w:rsid w:val="007F7F0B"/>
    <w:rsid w:val="008014F9"/>
    <w:rsid w:val="0080358B"/>
    <w:rsid w:val="008059BD"/>
    <w:rsid w:val="0081286B"/>
    <w:rsid w:val="00812D46"/>
    <w:rsid w:val="008148E0"/>
    <w:rsid w:val="00815769"/>
    <w:rsid w:val="00815A38"/>
    <w:rsid w:val="0082103F"/>
    <w:rsid w:val="00821235"/>
    <w:rsid w:val="00824239"/>
    <w:rsid w:val="008279FE"/>
    <w:rsid w:val="00831259"/>
    <w:rsid w:val="0083208A"/>
    <w:rsid w:val="0083218A"/>
    <w:rsid w:val="00832A00"/>
    <w:rsid w:val="00834E74"/>
    <w:rsid w:val="00837845"/>
    <w:rsid w:val="00843513"/>
    <w:rsid w:val="008442C4"/>
    <w:rsid w:val="00844DB2"/>
    <w:rsid w:val="00846739"/>
    <w:rsid w:val="00853140"/>
    <w:rsid w:val="00854537"/>
    <w:rsid w:val="00855F31"/>
    <w:rsid w:val="008606B6"/>
    <w:rsid w:val="00861E6D"/>
    <w:rsid w:val="008700EC"/>
    <w:rsid w:val="008749A7"/>
    <w:rsid w:val="00875DAC"/>
    <w:rsid w:val="00876D65"/>
    <w:rsid w:val="008837D3"/>
    <w:rsid w:val="00883B3C"/>
    <w:rsid w:val="00883D7C"/>
    <w:rsid w:val="008868F3"/>
    <w:rsid w:val="00891261"/>
    <w:rsid w:val="008A21B2"/>
    <w:rsid w:val="008A3DAA"/>
    <w:rsid w:val="008A5B20"/>
    <w:rsid w:val="008B2FDD"/>
    <w:rsid w:val="008B3C7E"/>
    <w:rsid w:val="008B4A75"/>
    <w:rsid w:val="008C15BF"/>
    <w:rsid w:val="008C75E7"/>
    <w:rsid w:val="008C7CA8"/>
    <w:rsid w:val="008C7FFA"/>
    <w:rsid w:val="008D09EC"/>
    <w:rsid w:val="008D7CBF"/>
    <w:rsid w:val="008E07EB"/>
    <w:rsid w:val="008E1D74"/>
    <w:rsid w:val="008E2DCB"/>
    <w:rsid w:val="008E326D"/>
    <w:rsid w:val="008E35F0"/>
    <w:rsid w:val="008F3B64"/>
    <w:rsid w:val="008F5F67"/>
    <w:rsid w:val="008F60F2"/>
    <w:rsid w:val="0090217D"/>
    <w:rsid w:val="00905C5E"/>
    <w:rsid w:val="009078DC"/>
    <w:rsid w:val="009200F6"/>
    <w:rsid w:val="00921735"/>
    <w:rsid w:val="00921AC7"/>
    <w:rsid w:val="00924582"/>
    <w:rsid w:val="00931291"/>
    <w:rsid w:val="0093367D"/>
    <w:rsid w:val="009431FA"/>
    <w:rsid w:val="00945AF6"/>
    <w:rsid w:val="009550BE"/>
    <w:rsid w:val="00955531"/>
    <w:rsid w:val="00955BE8"/>
    <w:rsid w:val="00957594"/>
    <w:rsid w:val="00963F40"/>
    <w:rsid w:val="009730B8"/>
    <w:rsid w:val="009734BB"/>
    <w:rsid w:val="0097424F"/>
    <w:rsid w:val="0098122D"/>
    <w:rsid w:val="00984FB1"/>
    <w:rsid w:val="00986596"/>
    <w:rsid w:val="00990685"/>
    <w:rsid w:val="009A0ABE"/>
    <w:rsid w:val="009A4E5D"/>
    <w:rsid w:val="009B2D4B"/>
    <w:rsid w:val="009C1009"/>
    <w:rsid w:val="009C5186"/>
    <w:rsid w:val="009C60F7"/>
    <w:rsid w:val="009D0952"/>
    <w:rsid w:val="009D1BD9"/>
    <w:rsid w:val="009E19A9"/>
    <w:rsid w:val="009E31DA"/>
    <w:rsid w:val="009E402C"/>
    <w:rsid w:val="009E7C6A"/>
    <w:rsid w:val="009F27F9"/>
    <w:rsid w:val="009F3659"/>
    <w:rsid w:val="009F4861"/>
    <w:rsid w:val="009F61BE"/>
    <w:rsid w:val="009F7643"/>
    <w:rsid w:val="009F7ED4"/>
    <w:rsid w:val="00A03AAC"/>
    <w:rsid w:val="00A047D1"/>
    <w:rsid w:val="00A21300"/>
    <w:rsid w:val="00A22AD0"/>
    <w:rsid w:val="00A22DA8"/>
    <w:rsid w:val="00A3030E"/>
    <w:rsid w:val="00A31574"/>
    <w:rsid w:val="00A31671"/>
    <w:rsid w:val="00A324F4"/>
    <w:rsid w:val="00A36930"/>
    <w:rsid w:val="00A45320"/>
    <w:rsid w:val="00A504C9"/>
    <w:rsid w:val="00A54C7D"/>
    <w:rsid w:val="00A5612C"/>
    <w:rsid w:val="00A5689C"/>
    <w:rsid w:val="00A57AE4"/>
    <w:rsid w:val="00A63A97"/>
    <w:rsid w:val="00A63F19"/>
    <w:rsid w:val="00A669FC"/>
    <w:rsid w:val="00A66F42"/>
    <w:rsid w:val="00A76625"/>
    <w:rsid w:val="00A81F53"/>
    <w:rsid w:val="00A83500"/>
    <w:rsid w:val="00A8721A"/>
    <w:rsid w:val="00A90049"/>
    <w:rsid w:val="00A917BF"/>
    <w:rsid w:val="00A96A94"/>
    <w:rsid w:val="00AA3969"/>
    <w:rsid w:val="00AA3A38"/>
    <w:rsid w:val="00AA4F94"/>
    <w:rsid w:val="00AA6513"/>
    <w:rsid w:val="00AB047E"/>
    <w:rsid w:val="00AB4DB6"/>
    <w:rsid w:val="00AB6E79"/>
    <w:rsid w:val="00AC063D"/>
    <w:rsid w:val="00AC592E"/>
    <w:rsid w:val="00AC6C10"/>
    <w:rsid w:val="00AC7BC6"/>
    <w:rsid w:val="00AD24AA"/>
    <w:rsid w:val="00AE7962"/>
    <w:rsid w:val="00AF0A7F"/>
    <w:rsid w:val="00AF1BA1"/>
    <w:rsid w:val="00AF3AB2"/>
    <w:rsid w:val="00AF6FFB"/>
    <w:rsid w:val="00B11A78"/>
    <w:rsid w:val="00B11BE5"/>
    <w:rsid w:val="00B11F31"/>
    <w:rsid w:val="00B12B7D"/>
    <w:rsid w:val="00B16985"/>
    <w:rsid w:val="00B22DEE"/>
    <w:rsid w:val="00B27479"/>
    <w:rsid w:val="00B32AA7"/>
    <w:rsid w:val="00B34678"/>
    <w:rsid w:val="00B34FB5"/>
    <w:rsid w:val="00B35024"/>
    <w:rsid w:val="00B371B4"/>
    <w:rsid w:val="00B40CF0"/>
    <w:rsid w:val="00B40F64"/>
    <w:rsid w:val="00B42A76"/>
    <w:rsid w:val="00B47982"/>
    <w:rsid w:val="00B56F53"/>
    <w:rsid w:val="00B61C8A"/>
    <w:rsid w:val="00B62AC1"/>
    <w:rsid w:val="00B64723"/>
    <w:rsid w:val="00B7378D"/>
    <w:rsid w:val="00B7444D"/>
    <w:rsid w:val="00B816A7"/>
    <w:rsid w:val="00B82413"/>
    <w:rsid w:val="00B83A00"/>
    <w:rsid w:val="00B85352"/>
    <w:rsid w:val="00B86CD8"/>
    <w:rsid w:val="00B87214"/>
    <w:rsid w:val="00B92FF5"/>
    <w:rsid w:val="00B959E6"/>
    <w:rsid w:val="00BA604D"/>
    <w:rsid w:val="00BB5DA7"/>
    <w:rsid w:val="00BB5E0E"/>
    <w:rsid w:val="00BC14B3"/>
    <w:rsid w:val="00BC216C"/>
    <w:rsid w:val="00BC4585"/>
    <w:rsid w:val="00BC50F1"/>
    <w:rsid w:val="00BC73E5"/>
    <w:rsid w:val="00BD0031"/>
    <w:rsid w:val="00BD05E0"/>
    <w:rsid w:val="00BD70E0"/>
    <w:rsid w:val="00BD7473"/>
    <w:rsid w:val="00BD7703"/>
    <w:rsid w:val="00BE14ED"/>
    <w:rsid w:val="00BE420D"/>
    <w:rsid w:val="00BE5388"/>
    <w:rsid w:val="00BF0019"/>
    <w:rsid w:val="00BF0E1D"/>
    <w:rsid w:val="00C012F9"/>
    <w:rsid w:val="00C102E6"/>
    <w:rsid w:val="00C11AA1"/>
    <w:rsid w:val="00C15CAC"/>
    <w:rsid w:val="00C21520"/>
    <w:rsid w:val="00C222B2"/>
    <w:rsid w:val="00C225FB"/>
    <w:rsid w:val="00C23547"/>
    <w:rsid w:val="00C2499B"/>
    <w:rsid w:val="00C451A3"/>
    <w:rsid w:val="00C46B88"/>
    <w:rsid w:val="00C47163"/>
    <w:rsid w:val="00C5218C"/>
    <w:rsid w:val="00C52191"/>
    <w:rsid w:val="00C53472"/>
    <w:rsid w:val="00C53D1B"/>
    <w:rsid w:val="00C5642F"/>
    <w:rsid w:val="00C6002A"/>
    <w:rsid w:val="00C6209F"/>
    <w:rsid w:val="00C629B1"/>
    <w:rsid w:val="00C63554"/>
    <w:rsid w:val="00C678B0"/>
    <w:rsid w:val="00C7047C"/>
    <w:rsid w:val="00C71497"/>
    <w:rsid w:val="00C72F5B"/>
    <w:rsid w:val="00C73BCD"/>
    <w:rsid w:val="00C74E5E"/>
    <w:rsid w:val="00C77AEF"/>
    <w:rsid w:val="00C85A6E"/>
    <w:rsid w:val="00C87129"/>
    <w:rsid w:val="00C91E1B"/>
    <w:rsid w:val="00C9613D"/>
    <w:rsid w:val="00C9690F"/>
    <w:rsid w:val="00CA574C"/>
    <w:rsid w:val="00CA5FD5"/>
    <w:rsid w:val="00CA7703"/>
    <w:rsid w:val="00CB0F92"/>
    <w:rsid w:val="00CD4E6D"/>
    <w:rsid w:val="00CD4F19"/>
    <w:rsid w:val="00CD5707"/>
    <w:rsid w:val="00CD7702"/>
    <w:rsid w:val="00CE29EA"/>
    <w:rsid w:val="00CE39AB"/>
    <w:rsid w:val="00CE473F"/>
    <w:rsid w:val="00CE7169"/>
    <w:rsid w:val="00CF04CF"/>
    <w:rsid w:val="00CF2D3E"/>
    <w:rsid w:val="00CF6572"/>
    <w:rsid w:val="00D01FE6"/>
    <w:rsid w:val="00D02347"/>
    <w:rsid w:val="00D03EB3"/>
    <w:rsid w:val="00D046DB"/>
    <w:rsid w:val="00D04755"/>
    <w:rsid w:val="00D1076E"/>
    <w:rsid w:val="00D1116B"/>
    <w:rsid w:val="00D13737"/>
    <w:rsid w:val="00D1638E"/>
    <w:rsid w:val="00D2061C"/>
    <w:rsid w:val="00D21FFF"/>
    <w:rsid w:val="00D2206B"/>
    <w:rsid w:val="00D272A5"/>
    <w:rsid w:val="00D346D9"/>
    <w:rsid w:val="00D43AFB"/>
    <w:rsid w:val="00D44EE8"/>
    <w:rsid w:val="00D57B7C"/>
    <w:rsid w:val="00D65B44"/>
    <w:rsid w:val="00D75E69"/>
    <w:rsid w:val="00D8099B"/>
    <w:rsid w:val="00D866A8"/>
    <w:rsid w:val="00D91E06"/>
    <w:rsid w:val="00D9393A"/>
    <w:rsid w:val="00D94B8D"/>
    <w:rsid w:val="00D96C8D"/>
    <w:rsid w:val="00D974EF"/>
    <w:rsid w:val="00DA0C61"/>
    <w:rsid w:val="00DA14B0"/>
    <w:rsid w:val="00DA2876"/>
    <w:rsid w:val="00DA66D0"/>
    <w:rsid w:val="00DC0B51"/>
    <w:rsid w:val="00DC141F"/>
    <w:rsid w:val="00DC28F1"/>
    <w:rsid w:val="00DC456F"/>
    <w:rsid w:val="00DC6B55"/>
    <w:rsid w:val="00DD7A00"/>
    <w:rsid w:val="00DE27F7"/>
    <w:rsid w:val="00DE4B43"/>
    <w:rsid w:val="00E02660"/>
    <w:rsid w:val="00E04BE1"/>
    <w:rsid w:val="00E12DBF"/>
    <w:rsid w:val="00E20C3C"/>
    <w:rsid w:val="00E215BA"/>
    <w:rsid w:val="00E36549"/>
    <w:rsid w:val="00E40D31"/>
    <w:rsid w:val="00E41260"/>
    <w:rsid w:val="00E44E18"/>
    <w:rsid w:val="00E45584"/>
    <w:rsid w:val="00E52DBC"/>
    <w:rsid w:val="00E54301"/>
    <w:rsid w:val="00E54BF5"/>
    <w:rsid w:val="00E554A1"/>
    <w:rsid w:val="00E55ABD"/>
    <w:rsid w:val="00E60817"/>
    <w:rsid w:val="00E609C6"/>
    <w:rsid w:val="00E62DE5"/>
    <w:rsid w:val="00E705CC"/>
    <w:rsid w:val="00E84C7E"/>
    <w:rsid w:val="00E85E4B"/>
    <w:rsid w:val="00E8670B"/>
    <w:rsid w:val="00EA1826"/>
    <w:rsid w:val="00EA70F1"/>
    <w:rsid w:val="00EB2516"/>
    <w:rsid w:val="00EB2C07"/>
    <w:rsid w:val="00EB572B"/>
    <w:rsid w:val="00EC14ED"/>
    <w:rsid w:val="00EC1E04"/>
    <w:rsid w:val="00ED0328"/>
    <w:rsid w:val="00ED14D5"/>
    <w:rsid w:val="00ED2620"/>
    <w:rsid w:val="00ED4D47"/>
    <w:rsid w:val="00ED62BE"/>
    <w:rsid w:val="00ED6E80"/>
    <w:rsid w:val="00ED7B83"/>
    <w:rsid w:val="00EE3BC8"/>
    <w:rsid w:val="00EE49FE"/>
    <w:rsid w:val="00EF17AB"/>
    <w:rsid w:val="00EF6FA5"/>
    <w:rsid w:val="00F04FC3"/>
    <w:rsid w:val="00F11104"/>
    <w:rsid w:val="00F11BB5"/>
    <w:rsid w:val="00F16E3F"/>
    <w:rsid w:val="00F2070B"/>
    <w:rsid w:val="00F22499"/>
    <w:rsid w:val="00F22B0F"/>
    <w:rsid w:val="00F24B42"/>
    <w:rsid w:val="00F24F73"/>
    <w:rsid w:val="00F27299"/>
    <w:rsid w:val="00F31B0C"/>
    <w:rsid w:val="00F31F6E"/>
    <w:rsid w:val="00F323FF"/>
    <w:rsid w:val="00F3389C"/>
    <w:rsid w:val="00F375F2"/>
    <w:rsid w:val="00F45C47"/>
    <w:rsid w:val="00F51C4E"/>
    <w:rsid w:val="00F534A2"/>
    <w:rsid w:val="00F53B0E"/>
    <w:rsid w:val="00F54EAE"/>
    <w:rsid w:val="00F66A51"/>
    <w:rsid w:val="00F71057"/>
    <w:rsid w:val="00F71A4B"/>
    <w:rsid w:val="00F728CF"/>
    <w:rsid w:val="00F743D4"/>
    <w:rsid w:val="00F80AC3"/>
    <w:rsid w:val="00F81917"/>
    <w:rsid w:val="00F83B17"/>
    <w:rsid w:val="00F87EDA"/>
    <w:rsid w:val="00F970EE"/>
    <w:rsid w:val="00FA775C"/>
    <w:rsid w:val="00FB0BC9"/>
    <w:rsid w:val="00FB41D3"/>
    <w:rsid w:val="00FB4F70"/>
    <w:rsid w:val="00FB5EFC"/>
    <w:rsid w:val="00FB77BB"/>
    <w:rsid w:val="00FC15AA"/>
    <w:rsid w:val="00FC2922"/>
    <w:rsid w:val="00FC7FBA"/>
    <w:rsid w:val="00FD1375"/>
    <w:rsid w:val="00FD359E"/>
    <w:rsid w:val="00FD5F37"/>
    <w:rsid w:val="00FD6B92"/>
    <w:rsid w:val="00FE0A17"/>
    <w:rsid w:val="00FE179F"/>
    <w:rsid w:val="00FE1A3B"/>
    <w:rsid w:val="00FF213A"/>
    <w:rsid w:val="00FF3F27"/>
    <w:rsid w:val="00FF469F"/>
    <w:rsid w:val="00FF5196"/>
    <w:rsid w:val="00FF6E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B5B536B-9DA6-4920-8EA4-43C10A5F3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1AC"/>
    <w:pPr>
      <w:widowControl w:val="0"/>
      <w:jc w:val="both"/>
    </w:pPr>
    <w:rPr>
      <w:rFonts w:ascii="Times New Roman" w:eastAsia="宋体" w:hAnsi="Times New Roman" w:cs="Times New Roman"/>
      <w:szCs w:val="21"/>
    </w:rPr>
  </w:style>
  <w:style w:type="paragraph" w:styleId="1">
    <w:name w:val="heading 1"/>
    <w:basedOn w:val="a"/>
    <w:next w:val="a"/>
    <w:link w:val="1Char"/>
    <w:uiPriority w:val="99"/>
    <w:qFormat/>
    <w:rsid w:val="004061AC"/>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rsid w:val="004061AC"/>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Char"/>
    <w:uiPriority w:val="99"/>
    <w:qFormat/>
    <w:rsid w:val="004061A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rsid w:val="004061AC"/>
    <w:rPr>
      <w:rFonts w:ascii="Times New Roman" w:eastAsia="宋体" w:hAnsi="Times New Roman" w:cs="Times New Roman"/>
      <w:b/>
      <w:bCs/>
      <w:kern w:val="44"/>
      <w:sz w:val="44"/>
      <w:szCs w:val="44"/>
    </w:rPr>
  </w:style>
  <w:style w:type="character" w:customStyle="1" w:styleId="2Char">
    <w:name w:val="标题 2 Char"/>
    <w:basedOn w:val="a1"/>
    <w:link w:val="2"/>
    <w:uiPriority w:val="99"/>
    <w:rsid w:val="004061AC"/>
    <w:rPr>
      <w:rFonts w:ascii="Arial" w:eastAsia="宋体" w:hAnsi="Arial" w:cs="Arial"/>
      <w:b/>
      <w:bCs/>
      <w:sz w:val="24"/>
      <w:szCs w:val="24"/>
    </w:rPr>
  </w:style>
  <w:style w:type="character" w:customStyle="1" w:styleId="3Char">
    <w:name w:val="标题 3 Char"/>
    <w:basedOn w:val="a1"/>
    <w:link w:val="3"/>
    <w:uiPriority w:val="99"/>
    <w:rsid w:val="004061AC"/>
    <w:rPr>
      <w:rFonts w:ascii="Times New Roman" w:eastAsia="宋体" w:hAnsi="Times New Roman" w:cs="Times New Roman"/>
      <w:b/>
      <w:bCs/>
      <w:sz w:val="32"/>
      <w:szCs w:val="32"/>
    </w:rPr>
  </w:style>
  <w:style w:type="paragraph" w:styleId="a0">
    <w:name w:val="Normal Indent"/>
    <w:basedOn w:val="a"/>
    <w:uiPriority w:val="99"/>
    <w:rsid w:val="004061AC"/>
    <w:pPr>
      <w:ind w:firstLineChars="200" w:firstLine="420"/>
    </w:pPr>
  </w:style>
  <w:style w:type="paragraph" w:styleId="a4">
    <w:name w:val="Body Text Indent"/>
    <w:basedOn w:val="a"/>
    <w:link w:val="Char"/>
    <w:uiPriority w:val="99"/>
    <w:rsid w:val="004061AC"/>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Char">
    <w:name w:val="正文文本缩进 Char"/>
    <w:basedOn w:val="a1"/>
    <w:link w:val="a4"/>
    <w:uiPriority w:val="99"/>
    <w:rsid w:val="004061AC"/>
    <w:rPr>
      <w:rFonts w:ascii="Arial Unicode MS" w:eastAsia="Arial Unicode MS" w:hAnsi="Arial Unicode MS" w:cs="Arial Unicode MS"/>
      <w:kern w:val="0"/>
      <w:sz w:val="24"/>
      <w:szCs w:val="24"/>
    </w:rPr>
  </w:style>
  <w:style w:type="paragraph" w:styleId="a5">
    <w:name w:val="Plain Text"/>
    <w:basedOn w:val="a"/>
    <w:link w:val="Char0"/>
    <w:uiPriority w:val="99"/>
    <w:rsid w:val="004061AC"/>
    <w:rPr>
      <w:rFonts w:ascii="宋体" w:hAnsi="Courier New" w:cs="宋体"/>
    </w:rPr>
  </w:style>
  <w:style w:type="character" w:customStyle="1" w:styleId="Char0">
    <w:name w:val="纯文本 Char"/>
    <w:basedOn w:val="a1"/>
    <w:link w:val="a5"/>
    <w:uiPriority w:val="99"/>
    <w:rsid w:val="004061AC"/>
    <w:rPr>
      <w:rFonts w:ascii="宋体" w:eastAsia="宋体" w:hAnsi="Courier New" w:cs="宋体"/>
      <w:szCs w:val="21"/>
    </w:rPr>
  </w:style>
  <w:style w:type="paragraph" w:styleId="20">
    <w:name w:val="Body Text Indent 2"/>
    <w:basedOn w:val="a"/>
    <w:link w:val="2Char0"/>
    <w:uiPriority w:val="99"/>
    <w:rsid w:val="004061AC"/>
    <w:pPr>
      <w:spacing w:line="560" w:lineRule="exact"/>
      <w:ind w:firstLineChars="200" w:firstLine="480"/>
    </w:pPr>
    <w:rPr>
      <w:rFonts w:ascii="宋体" w:hAnsi="宋体" w:cs="宋体"/>
      <w:color w:val="FF0000"/>
      <w:sz w:val="24"/>
      <w:szCs w:val="24"/>
    </w:rPr>
  </w:style>
  <w:style w:type="character" w:customStyle="1" w:styleId="2Char0">
    <w:name w:val="正文文本缩进 2 Char"/>
    <w:basedOn w:val="a1"/>
    <w:link w:val="20"/>
    <w:uiPriority w:val="99"/>
    <w:rsid w:val="004061AC"/>
    <w:rPr>
      <w:rFonts w:ascii="宋体" w:eastAsia="宋体" w:hAnsi="宋体" w:cs="宋体"/>
      <w:color w:val="FF0000"/>
      <w:sz w:val="24"/>
      <w:szCs w:val="24"/>
    </w:rPr>
  </w:style>
  <w:style w:type="paragraph" w:styleId="a6">
    <w:name w:val="footer"/>
    <w:basedOn w:val="a"/>
    <w:link w:val="Char1"/>
    <w:rsid w:val="004061AC"/>
    <w:pPr>
      <w:tabs>
        <w:tab w:val="center" w:pos="4153"/>
        <w:tab w:val="right" w:pos="8306"/>
      </w:tabs>
      <w:snapToGrid w:val="0"/>
      <w:jc w:val="left"/>
    </w:pPr>
    <w:rPr>
      <w:sz w:val="18"/>
      <w:szCs w:val="18"/>
    </w:rPr>
  </w:style>
  <w:style w:type="character" w:customStyle="1" w:styleId="Char1">
    <w:name w:val="页脚 Char"/>
    <w:basedOn w:val="a1"/>
    <w:link w:val="a6"/>
    <w:uiPriority w:val="99"/>
    <w:rsid w:val="004061AC"/>
    <w:rPr>
      <w:rFonts w:ascii="Times New Roman" w:eastAsia="宋体" w:hAnsi="Times New Roman" w:cs="Times New Roman"/>
      <w:sz w:val="18"/>
      <w:szCs w:val="18"/>
    </w:rPr>
  </w:style>
  <w:style w:type="character" w:styleId="a7">
    <w:name w:val="page number"/>
    <w:basedOn w:val="a1"/>
    <w:uiPriority w:val="99"/>
    <w:rsid w:val="004061AC"/>
  </w:style>
  <w:style w:type="character" w:styleId="a8">
    <w:name w:val="Hyperlink"/>
    <w:basedOn w:val="a1"/>
    <w:uiPriority w:val="99"/>
    <w:rsid w:val="004061AC"/>
    <w:rPr>
      <w:color w:val="0000FF"/>
      <w:u w:val="single"/>
    </w:rPr>
  </w:style>
  <w:style w:type="paragraph" w:styleId="30">
    <w:name w:val="Body Text Indent 3"/>
    <w:basedOn w:val="a"/>
    <w:link w:val="3Char0"/>
    <w:uiPriority w:val="99"/>
    <w:rsid w:val="004061AC"/>
    <w:pPr>
      <w:spacing w:line="560" w:lineRule="exact"/>
      <w:ind w:firstLineChars="200" w:firstLine="420"/>
    </w:pPr>
    <w:rPr>
      <w:rFonts w:ascii="Arial" w:hAnsi="Arial" w:cs="Arial"/>
      <w:color w:val="FF0000"/>
    </w:rPr>
  </w:style>
  <w:style w:type="character" w:customStyle="1" w:styleId="3Char0">
    <w:name w:val="正文文本缩进 3 Char"/>
    <w:basedOn w:val="a1"/>
    <w:link w:val="30"/>
    <w:uiPriority w:val="99"/>
    <w:rsid w:val="004061AC"/>
    <w:rPr>
      <w:rFonts w:ascii="Arial" w:eastAsia="宋体" w:hAnsi="Arial" w:cs="Arial"/>
      <w:color w:val="FF0000"/>
      <w:szCs w:val="21"/>
    </w:rPr>
  </w:style>
  <w:style w:type="paragraph" w:styleId="a9">
    <w:name w:val="header"/>
    <w:basedOn w:val="a"/>
    <w:link w:val="Char2"/>
    <w:uiPriority w:val="99"/>
    <w:rsid w:val="004061A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9"/>
    <w:uiPriority w:val="99"/>
    <w:rsid w:val="004061AC"/>
    <w:rPr>
      <w:rFonts w:ascii="Times New Roman" w:eastAsia="宋体" w:hAnsi="Times New Roman" w:cs="Times New Roman"/>
      <w:sz w:val="18"/>
      <w:szCs w:val="18"/>
    </w:rPr>
  </w:style>
  <w:style w:type="character" w:styleId="aa">
    <w:name w:val="FollowedHyperlink"/>
    <w:basedOn w:val="a1"/>
    <w:uiPriority w:val="99"/>
    <w:rsid w:val="004061AC"/>
    <w:rPr>
      <w:color w:val="800080"/>
      <w:u w:val="single"/>
    </w:rPr>
  </w:style>
  <w:style w:type="paragraph" w:styleId="ab">
    <w:name w:val="List"/>
    <w:basedOn w:val="ac"/>
    <w:uiPriority w:val="99"/>
    <w:rsid w:val="004061AC"/>
    <w:pPr>
      <w:spacing w:after="220" w:line="220" w:lineRule="atLeast"/>
      <w:ind w:left="1440" w:hanging="360"/>
    </w:pPr>
  </w:style>
  <w:style w:type="paragraph" w:styleId="ac">
    <w:name w:val="Body Text"/>
    <w:basedOn w:val="a"/>
    <w:link w:val="Char3"/>
    <w:uiPriority w:val="99"/>
    <w:rsid w:val="004061AC"/>
    <w:pPr>
      <w:spacing w:after="120"/>
    </w:pPr>
  </w:style>
  <w:style w:type="character" w:customStyle="1" w:styleId="Char3">
    <w:name w:val="正文文本 Char"/>
    <w:basedOn w:val="a1"/>
    <w:link w:val="ac"/>
    <w:uiPriority w:val="99"/>
    <w:rsid w:val="004061AC"/>
    <w:rPr>
      <w:rFonts w:ascii="Times New Roman" w:eastAsia="宋体" w:hAnsi="Times New Roman" w:cs="Times New Roman"/>
      <w:szCs w:val="21"/>
    </w:rPr>
  </w:style>
  <w:style w:type="paragraph" w:styleId="ad">
    <w:name w:val="Date"/>
    <w:basedOn w:val="a"/>
    <w:next w:val="a"/>
    <w:link w:val="Char4"/>
    <w:rsid w:val="004061AC"/>
    <w:rPr>
      <w:sz w:val="24"/>
      <w:szCs w:val="24"/>
    </w:rPr>
  </w:style>
  <w:style w:type="character" w:customStyle="1" w:styleId="Char4">
    <w:name w:val="日期 Char"/>
    <w:basedOn w:val="a1"/>
    <w:link w:val="ad"/>
    <w:rsid w:val="004061AC"/>
    <w:rPr>
      <w:rFonts w:ascii="Times New Roman" w:eastAsia="宋体" w:hAnsi="Times New Roman" w:cs="Times New Roman"/>
      <w:sz w:val="24"/>
      <w:szCs w:val="24"/>
    </w:rPr>
  </w:style>
  <w:style w:type="character" w:customStyle="1" w:styleId="c1">
    <w:name w:val="c1"/>
    <w:basedOn w:val="a1"/>
    <w:uiPriority w:val="99"/>
    <w:rsid w:val="004061AC"/>
    <w:rPr>
      <w:color w:val="000000"/>
      <w:sz w:val="18"/>
      <w:szCs w:val="18"/>
    </w:rPr>
  </w:style>
  <w:style w:type="paragraph" w:styleId="10">
    <w:name w:val="index 1"/>
    <w:basedOn w:val="a"/>
    <w:next w:val="a"/>
    <w:autoRedefine/>
    <w:uiPriority w:val="99"/>
    <w:semiHidden/>
    <w:rsid w:val="004061AC"/>
    <w:pPr>
      <w:jc w:val="right"/>
    </w:pPr>
    <w:rPr>
      <w:color w:val="008000"/>
    </w:rPr>
  </w:style>
  <w:style w:type="paragraph" w:customStyle="1" w:styleId="font5">
    <w:name w:val="font5"/>
    <w:basedOn w:val="a"/>
    <w:uiPriority w:val="99"/>
    <w:rsid w:val="004061AC"/>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rsid w:val="004061AC"/>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uiPriority w:val="99"/>
    <w:semiHidden/>
    <w:rsid w:val="004061AC"/>
    <w:rPr>
      <w:sz w:val="18"/>
      <w:szCs w:val="18"/>
    </w:rPr>
  </w:style>
  <w:style w:type="character" w:customStyle="1" w:styleId="Char5">
    <w:name w:val="批注框文本 Char"/>
    <w:basedOn w:val="a1"/>
    <w:link w:val="ae"/>
    <w:uiPriority w:val="99"/>
    <w:semiHidden/>
    <w:rsid w:val="004061AC"/>
    <w:rPr>
      <w:rFonts w:ascii="Times New Roman" w:eastAsia="宋体" w:hAnsi="Times New Roman" w:cs="Times New Roman"/>
      <w:sz w:val="18"/>
      <w:szCs w:val="18"/>
    </w:rPr>
  </w:style>
  <w:style w:type="character" w:styleId="af">
    <w:name w:val="annotation reference"/>
    <w:basedOn w:val="a1"/>
    <w:uiPriority w:val="99"/>
    <w:semiHidden/>
    <w:rsid w:val="004061AC"/>
    <w:rPr>
      <w:sz w:val="21"/>
      <w:szCs w:val="21"/>
    </w:rPr>
  </w:style>
  <w:style w:type="paragraph" w:styleId="af0">
    <w:name w:val="annotation text"/>
    <w:basedOn w:val="a"/>
    <w:link w:val="Char6"/>
    <w:uiPriority w:val="99"/>
    <w:semiHidden/>
    <w:rsid w:val="004061AC"/>
    <w:pPr>
      <w:jc w:val="left"/>
    </w:pPr>
  </w:style>
  <w:style w:type="character" w:customStyle="1" w:styleId="Char6">
    <w:name w:val="批注文字 Char"/>
    <w:basedOn w:val="a1"/>
    <w:link w:val="af0"/>
    <w:uiPriority w:val="99"/>
    <w:semiHidden/>
    <w:rsid w:val="004061AC"/>
    <w:rPr>
      <w:rFonts w:ascii="Times New Roman" w:eastAsia="宋体" w:hAnsi="Times New Roman" w:cs="Times New Roman"/>
      <w:szCs w:val="21"/>
    </w:rPr>
  </w:style>
  <w:style w:type="paragraph" w:styleId="af1">
    <w:name w:val="annotation subject"/>
    <w:basedOn w:val="af0"/>
    <w:next w:val="af0"/>
    <w:link w:val="Char7"/>
    <w:uiPriority w:val="99"/>
    <w:semiHidden/>
    <w:rsid w:val="004061AC"/>
    <w:rPr>
      <w:b/>
      <w:bCs/>
    </w:rPr>
  </w:style>
  <w:style w:type="character" w:customStyle="1" w:styleId="Char7">
    <w:name w:val="批注主题 Char"/>
    <w:basedOn w:val="Char6"/>
    <w:link w:val="af1"/>
    <w:uiPriority w:val="99"/>
    <w:semiHidden/>
    <w:rsid w:val="004061AC"/>
    <w:rPr>
      <w:rFonts w:ascii="Times New Roman" w:eastAsia="宋体" w:hAnsi="Times New Roman" w:cs="Times New Roman"/>
      <w:b/>
      <w:bCs/>
      <w:szCs w:val="21"/>
    </w:rPr>
  </w:style>
  <w:style w:type="paragraph" w:customStyle="1" w:styleId="Char8">
    <w:name w:val="Char"/>
    <w:basedOn w:val="a"/>
    <w:uiPriority w:val="99"/>
    <w:rsid w:val="004061AC"/>
  </w:style>
  <w:style w:type="paragraph" w:styleId="af2">
    <w:name w:val="Document Map"/>
    <w:basedOn w:val="a"/>
    <w:link w:val="Char9"/>
    <w:uiPriority w:val="99"/>
    <w:semiHidden/>
    <w:rsid w:val="004061AC"/>
    <w:pPr>
      <w:shd w:val="clear" w:color="auto" w:fill="000080"/>
    </w:pPr>
  </w:style>
  <w:style w:type="character" w:customStyle="1" w:styleId="Char9">
    <w:name w:val="文档结构图 Char"/>
    <w:basedOn w:val="a1"/>
    <w:link w:val="af2"/>
    <w:uiPriority w:val="99"/>
    <w:semiHidden/>
    <w:rsid w:val="004061AC"/>
    <w:rPr>
      <w:rFonts w:ascii="Times New Roman" w:eastAsia="宋体" w:hAnsi="Times New Roman" w:cs="Times New Roman"/>
      <w:szCs w:val="21"/>
      <w:shd w:val="clear" w:color="auto" w:fill="000080"/>
    </w:rPr>
  </w:style>
  <w:style w:type="paragraph" w:customStyle="1" w:styleId="af3">
    <w:name w:val="正文 + (符号) 宋体"/>
    <w:aliases w:val="小四,紧缩量  0.2 磅"/>
    <w:basedOn w:val="a"/>
    <w:uiPriority w:val="99"/>
    <w:rsid w:val="004061AC"/>
    <w:pPr>
      <w:autoSpaceDE w:val="0"/>
      <w:autoSpaceDN w:val="0"/>
      <w:adjustRightInd w:val="0"/>
      <w:ind w:rightChars="671" w:right="1409" w:firstLineChars="512" w:firstLine="1229"/>
      <w:jc w:val="distribute"/>
    </w:pPr>
    <w:rPr>
      <w:sz w:val="24"/>
      <w:szCs w:val="24"/>
    </w:rPr>
  </w:style>
  <w:style w:type="paragraph" w:styleId="af4">
    <w:name w:val="footnote text"/>
    <w:basedOn w:val="a"/>
    <w:link w:val="Chara"/>
    <w:rsid w:val="004061AC"/>
    <w:pPr>
      <w:snapToGrid w:val="0"/>
      <w:jc w:val="left"/>
    </w:pPr>
    <w:rPr>
      <w:sz w:val="18"/>
      <w:szCs w:val="18"/>
    </w:rPr>
  </w:style>
  <w:style w:type="character" w:customStyle="1" w:styleId="Chara">
    <w:name w:val="脚注文本 Char"/>
    <w:basedOn w:val="a1"/>
    <w:link w:val="af4"/>
    <w:rsid w:val="004061AC"/>
    <w:rPr>
      <w:rFonts w:ascii="Times New Roman" w:eastAsia="宋体" w:hAnsi="Times New Roman" w:cs="Times New Roman"/>
      <w:sz w:val="18"/>
      <w:szCs w:val="18"/>
    </w:rPr>
  </w:style>
  <w:style w:type="character" w:styleId="af5">
    <w:name w:val="footnote reference"/>
    <w:basedOn w:val="a1"/>
    <w:rsid w:val="004061AC"/>
    <w:rPr>
      <w:vertAlign w:val="superscript"/>
    </w:rPr>
  </w:style>
  <w:style w:type="paragraph" w:styleId="af6">
    <w:name w:val="Normal (Web)"/>
    <w:basedOn w:val="a"/>
    <w:uiPriority w:val="99"/>
    <w:rsid w:val="004061AC"/>
    <w:pPr>
      <w:widowControl/>
      <w:spacing w:before="100" w:beforeAutospacing="1" w:after="100" w:afterAutospacing="1"/>
      <w:jc w:val="left"/>
    </w:pPr>
    <w:rPr>
      <w:rFonts w:ascii="宋体" w:hAnsi="宋体" w:cs="宋体"/>
      <w:kern w:val="0"/>
      <w:sz w:val="24"/>
      <w:szCs w:val="24"/>
    </w:rPr>
  </w:style>
  <w:style w:type="table" w:styleId="af7">
    <w:name w:val="Table Grid"/>
    <w:basedOn w:val="a2"/>
    <w:qFormat/>
    <w:rsid w:val="004061A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4061AC"/>
  </w:style>
  <w:style w:type="paragraph" w:customStyle="1" w:styleId="CharCharCharCharCharChar1CharCharChar">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8">
    <w:name w:val="Title"/>
    <w:basedOn w:val="a"/>
    <w:next w:val="a"/>
    <w:link w:val="Charb"/>
    <w:uiPriority w:val="99"/>
    <w:qFormat/>
    <w:rsid w:val="004061AC"/>
    <w:pPr>
      <w:spacing w:before="240" w:after="60"/>
      <w:jc w:val="center"/>
      <w:outlineLvl w:val="0"/>
    </w:pPr>
    <w:rPr>
      <w:rFonts w:ascii="Cambria" w:hAnsi="Cambria" w:cs="Cambria"/>
      <w:b/>
      <w:bCs/>
      <w:sz w:val="32"/>
      <w:szCs w:val="32"/>
    </w:rPr>
  </w:style>
  <w:style w:type="character" w:customStyle="1" w:styleId="Charb">
    <w:name w:val="标题 Char"/>
    <w:basedOn w:val="a1"/>
    <w:link w:val="af8"/>
    <w:uiPriority w:val="99"/>
    <w:rsid w:val="004061AC"/>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9">
    <w:name w:val="No Spacing"/>
    <w:link w:val="Charc"/>
    <w:uiPriority w:val="1"/>
    <w:qFormat/>
    <w:rsid w:val="004061AC"/>
    <w:rPr>
      <w:rFonts w:ascii="Calibri" w:eastAsia="宋体" w:hAnsi="Calibri" w:cs="Calibri"/>
      <w:kern w:val="0"/>
      <w:sz w:val="22"/>
    </w:rPr>
  </w:style>
  <w:style w:type="character" w:customStyle="1" w:styleId="Charc">
    <w:name w:val="无间隔 Char"/>
    <w:basedOn w:val="a1"/>
    <w:link w:val="af9"/>
    <w:uiPriority w:val="1"/>
    <w:locked/>
    <w:rsid w:val="004061AC"/>
    <w:rPr>
      <w:rFonts w:ascii="Calibri" w:eastAsia="宋体" w:hAnsi="Calibri" w:cs="Calibri"/>
      <w:kern w:val="0"/>
      <w:sz w:val="22"/>
    </w:rPr>
  </w:style>
  <w:style w:type="character" w:customStyle="1" w:styleId="t1">
    <w:name w:val="t1"/>
    <w:basedOn w:val="a1"/>
    <w:uiPriority w:val="99"/>
    <w:rsid w:val="004061AC"/>
    <w:rPr>
      <w:color w:val="auto"/>
    </w:rPr>
  </w:style>
  <w:style w:type="paragraph" w:styleId="afa">
    <w:name w:val="List Paragraph"/>
    <w:basedOn w:val="a"/>
    <w:uiPriority w:val="34"/>
    <w:qFormat/>
    <w:rsid w:val="00154BE1"/>
    <w:pPr>
      <w:ind w:firstLineChars="200" w:firstLine="420"/>
    </w:pPr>
  </w:style>
  <w:style w:type="paragraph" w:customStyle="1" w:styleId="Default">
    <w:name w:val="Default"/>
    <w:rsid w:val="00275745"/>
    <w:pPr>
      <w:widowControl w:val="0"/>
      <w:autoSpaceDE w:val="0"/>
      <w:autoSpaceDN w:val="0"/>
      <w:adjustRightInd w:val="0"/>
    </w:pPr>
    <w:rPr>
      <w:rFonts w:ascii="FangSong" w:eastAsia="宋体" w:hAnsi="FangSong" w:cs="FangSong"/>
      <w:color w:val="000000"/>
      <w:kern w:val="0"/>
      <w:sz w:val="24"/>
      <w:szCs w:val="24"/>
    </w:rPr>
  </w:style>
  <w:style w:type="character" w:styleId="afb">
    <w:name w:val="Strong"/>
    <w:basedOn w:val="a1"/>
    <w:uiPriority w:val="22"/>
    <w:qFormat/>
    <w:rsid w:val="00E52D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149922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9218E-6FF6-4FAC-B018-B3D69D6E0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1829</TotalTime>
  <Pages>12</Pages>
  <Words>1084</Words>
  <Characters>6181</Characters>
  <Application>Microsoft Office Word</Application>
  <DocSecurity>0</DocSecurity>
  <Lines>51</Lines>
  <Paragraphs>14</Paragraphs>
  <ScaleCrop>false</ScaleCrop>
  <Company/>
  <LinksUpToDate>false</LinksUpToDate>
  <CharactersWithSpaces>7251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biz-cailiqun</cp:lastModifiedBy>
  <cp:revision>602</cp:revision>
  <dcterms:created xsi:type="dcterms:W3CDTF">2012-10-16T06:07:00Z</dcterms:created>
  <dcterms:modified xsi:type="dcterms:W3CDTF">2020-07-10T11:58:00Z</dcterms:modified>
</cp:coreProperties>
</file>