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3832" w:rsidRDefault="00984FB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1,025,486,209.30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F0E1D" w:rsidRPr="00414345" w:rsidTr="00BF0E1D">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F0E1D" w:rsidRPr="00414345" w:rsidTr="00BF0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63,028,635.96</w:t>
            </w:r>
          </w:p>
        </w:tc>
      </w:tr>
      <w:tr w:rsidR="00BF0E1D" w:rsidRPr="00414345" w:rsidTr="00BF0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617,533,941.63</w:t>
            </w:r>
          </w:p>
        </w:tc>
      </w:tr>
      <w:tr w:rsidR="00BF0E1D" w:rsidRPr="00414345" w:rsidTr="00BF0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0.7026</w:t>
            </w:r>
          </w:p>
        </w:tc>
      </w:tr>
      <w:tr w:rsidR="00BF0E1D" w:rsidRPr="00414345" w:rsidTr="00BF0E1D">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4,808,400,138.06</w:t>
            </w:r>
          </w:p>
        </w:tc>
      </w:tr>
      <w:tr w:rsidR="00BF0E1D" w:rsidRPr="00414345" w:rsidTr="00BF0E1D">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4.689</w:t>
            </w:r>
          </w:p>
        </w:tc>
      </w:tr>
    </w:tbl>
    <w:p w:rsidR="00543832" w:rsidRDefault="00984F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984FB1">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984FB1">
        <w:trPr>
          <w:jc w:val="center"/>
        </w:trPr>
        <w:tc>
          <w:tcPr>
            <w:tcW w:w="1701" w:type="dxa"/>
            <w:vAlign w:val="center"/>
          </w:tcPr>
          <w:p w:rsidR="00984FB1" w:rsidRDefault="00984FB1" w:rsidP="00984FB1">
            <w:pPr>
              <w:jc w:val="left"/>
            </w:pPr>
            <w:r>
              <w:rPr>
                <w:color w:val="000000"/>
                <w:sz w:val="24"/>
                <w:szCs w:val="24"/>
              </w:rPr>
              <w:t>过去三个月</w:t>
            </w:r>
          </w:p>
        </w:tc>
        <w:tc>
          <w:tcPr>
            <w:tcW w:w="1045" w:type="dxa"/>
            <w:vAlign w:val="center"/>
          </w:tcPr>
          <w:p w:rsidR="00984FB1" w:rsidRPr="00984FB1" w:rsidRDefault="00984FB1" w:rsidP="00984FB1">
            <w:pPr>
              <w:widowControl/>
              <w:jc w:val="right"/>
              <w:rPr>
                <w:color w:val="000000"/>
                <w:sz w:val="24"/>
                <w:szCs w:val="24"/>
              </w:rPr>
            </w:pPr>
            <w:r w:rsidRPr="00984FB1">
              <w:rPr>
                <w:color w:val="000000"/>
                <w:sz w:val="24"/>
                <w:szCs w:val="24"/>
              </w:rPr>
              <w:t>17.11%</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0.78%</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0.94%</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0.37%</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16.17%</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0.41%</w:t>
            </w:r>
          </w:p>
        </w:tc>
      </w:tr>
      <w:tr w:rsidR="00984FB1">
        <w:trPr>
          <w:jc w:val="center"/>
        </w:trPr>
        <w:tc>
          <w:tcPr>
            <w:tcW w:w="1701" w:type="dxa"/>
            <w:vAlign w:val="center"/>
          </w:tcPr>
          <w:p w:rsidR="00984FB1" w:rsidRDefault="00984FB1" w:rsidP="00984FB1">
            <w:pPr>
              <w:jc w:val="left"/>
              <w:rPr>
                <w:rFonts w:hint="eastAsia"/>
                <w:color w:val="000000"/>
                <w:sz w:val="24"/>
                <w:szCs w:val="24"/>
              </w:rPr>
            </w:pPr>
            <w:r>
              <w:rPr>
                <w:color w:val="000000"/>
                <w:sz w:val="24"/>
                <w:szCs w:val="24"/>
              </w:rPr>
              <w:t>过去</w:t>
            </w:r>
            <w:r>
              <w:rPr>
                <w:rFonts w:hint="eastAsia"/>
                <w:color w:val="000000"/>
                <w:sz w:val="24"/>
                <w:szCs w:val="24"/>
              </w:rPr>
              <w:t>六个月</w:t>
            </w:r>
          </w:p>
        </w:tc>
        <w:tc>
          <w:tcPr>
            <w:tcW w:w="1045" w:type="dxa"/>
            <w:vAlign w:val="center"/>
          </w:tcPr>
          <w:p w:rsidR="00984FB1" w:rsidRPr="00984FB1" w:rsidRDefault="00984FB1" w:rsidP="00984FB1">
            <w:pPr>
              <w:jc w:val="right"/>
              <w:rPr>
                <w:color w:val="000000"/>
                <w:sz w:val="24"/>
                <w:szCs w:val="24"/>
              </w:rPr>
            </w:pPr>
            <w:r w:rsidRPr="00984FB1">
              <w:rPr>
                <w:color w:val="000000"/>
                <w:sz w:val="24"/>
                <w:szCs w:val="24"/>
              </w:rPr>
              <w:t>24.48%</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1.23%</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-3.34%</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0.69%</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27.82%</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0.54%</w:t>
            </w:r>
          </w:p>
        </w:tc>
      </w:tr>
      <w:tr w:rsidR="00984FB1">
        <w:trPr>
          <w:jc w:val="center"/>
        </w:trPr>
        <w:tc>
          <w:tcPr>
            <w:tcW w:w="1701" w:type="dxa"/>
            <w:vAlign w:val="center"/>
          </w:tcPr>
          <w:p w:rsidR="00984FB1" w:rsidRDefault="00984FB1" w:rsidP="00984FB1">
            <w:pPr>
              <w:jc w:val="left"/>
              <w:rPr>
                <w:rFonts w:hint="eastAsia"/>
                <w:color w:val="000000"/>
                <w:sz w:val="24"/>
                <w:szCs w:val="24"/>
              </w:rPr>
            </w:pPr>
            <w:r>
              <w:rPr>
                <w:color w:val="000000"/>
                <w:sz w:val="24"/>
                <w:szCs w:val="24"/>
              </w:rPr>
              <w:t>过去</w:t>
            </w:r>
            <w:r>
              <w:rPr>
                <w:rFonts w:hint="eastAsia"/>
                <w:color w:val="000000"/>
                <w:sz w:val="24"/>
                <w:szCs w:val="24"/>
              </w:rPr>
              <w:t>一年</w:t>
            </w:r>
          </w:p>
        </w:tc>
        <w:tc>
          <w:tcPr>
            <w:tcW w:w="1045" w:type="dxa"/>
            <w:vAlign w:val="center"/>
          </w:tcPr>
          <w:p w:rsidR="00984FB1" w:rsidRPr="00984FB1" w:rsidRDefault="00984FB1" w:rsidP="00984FB1">
            <w:pPr>
              <w:jc w:val="right"/>
              <w:rPr>
                <w:color w:val="000000"/>
                <w:sz w:val="24"/>
                <w:szCs w:val="24"/>
              </w:rPr>
            </w:pPr>
            <w:r w:rsidRPr="00984FB1">
              <w:rPr>
                <w:color w:val="000000"/>
                <w:sz w:val="24"/>
                <w:szCs w:val="24"/>
              </w:rPr>
              <w:t>50.43%</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1.08%</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-2.35%</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0.56%</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52.78%</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0.52%</w:t>
            </w:r>
          </w:p>
        </w:tc>
      </w:tr>
      <w:tr w:rsidR="00984FB1">
        <w:trPr>
          <w:jc w:val="center"/>
        </w:trPr>
        <w:tc>
          <w:tcPr>
            <w:tcW w:w="1701" w:type="dxa"/>
            <w:vAlign w:val="center"/>
          </w:tcPr>
          <w:p w:rsidR="00984FB1" w:rsidRDefault="00984FB1" w:rsidP="00984FB1">
            <w:pPr>
              <w:jc w:val="left"/>
              <w:rPr>
                <w:rFonts w:hint="eastAsia"/>
                <w:color w:val="000000"/>
                <w:sz w:val="24"/>
                <w:szCs w:val="24"/>
              </w:rPr>
            </w:pPr>
            <w:r>
              <w:rPr>
                <w:color w:val="000000"/>
                <w:sz w:val="24"/>
                <w:szCs w:val="24"/>
              </w:rPr>
              <w:t>过去</w:t>
            </w:r>
            <w:r>
              <w:rPr>
                <w:rFonts w:hint="eastAsia"/>
                <w:color w:val="000000"/>
                <w:sz w:val="24"/>
                <w:szCs w:val="24"/>
              </w:rPr>
              <w:t>三年</w:t>
            </w:r>
          </w:p>
        </w:tc>
        <w:tc>
          <w:tcPr>
            <w:tcW w:w="1045" w:type="dxa"/>
            <w:vAlign w:val="center"/>
          </w:tcPr>
          <w:p w:rsidR="00984FB1" w:rsidRPr="00984FB1" w:rsidRDefault="00984FB1" w:rsidP="00984FB1">
            <w:pPr>
              <w:jc w:val="right"/>
              <w:rPr>
                <w:color w:val="000000"/>
                <w:sz w:val="24"/>
                <w:szCs w:val="24"/>
              </w:rPr>
            </w:pPr>
            <w:r w:rsidRPr="00984FB1">
              <w:rPr>
                <w:color w:val="000000"/>
                <w:sz w:val="24"/>
                <w:szCs w:val="24"/>
              </w:rPr>
              <w:t>113.62%</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1</w:t>
            </w:r>
            <w:bookmarkStart w:id="0" w:name="_GoBack"/>
            <w:bookmarkEnd w:id="0"/>
            <w:r w:rsidRPr="00984FB1">
              <w:rPr>
                <w:color w:val="000000"/>
                <w:sz w:val="24"/>
                <w:szCs w:val="24"/>
              </w:rPr>
              <w:t>.13%</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-1.12%</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0.56%</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114.74%</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0.57%</w:t>
            </w:r>
          </w:p>
        </w:tc>
      </w:tr>
      <w:tr w:rsidR="00984FB1">
        <w:trPr>
          <w:jc w:val="center"/>
        </w:trPr>
        <w:tc>
          <w:tcPr>
            <w:tcW w:w="1701" w:type="dxa"/>
            <w:vAlign w:val="center"/>
          </w:tcPr>
          <w:p w:rsidR="00984FB1" w:rsidRDefault="00984FB1" w:rsidP="00984FB1">
            <w:pPr>
              <w:jc w:val="left"/>
              <w:rPr>
                <w:rFonts w:hint="eastAsia"/>
                <w:color w:val="000000"/>
                <w:sz w:val="24"/>
                <w:szCs w:val="24"/>
              </w:rPr>
            </w:pPr>
            <w:r>
              <w:rPr>
                <w:color w:val="000000"/>
                <w:sz w:val="24"/>
                <w:szCs w:val="24"/>
              </w:rPr>
              <w:t>过去</w:t>
            </w:r>
            <w:r>
              <w:rPr>
                <w:rFonts w:hint="eastAsia"/>
                <w:color w:val="000000"/>
                <w:sz w:val="24"/>
                <w:szCs w:val="24"/>
              </w:rPr>
              <w:t>五年</w:t>
            </w:r>
          </w:p>
        </w:tc>
        <w:tc>
          <w:tcPr>
            <w:tcW w:w="1045" w:type="dxa"/>
            <w:vAlign w:val="center"/>
          </w:tcPr>
          <w:p w:rsidR="00984FB1" w:rsidRPr="00984FB1" w:rsidRDefault="00984FB1" w:rsidP="00984FB1">
            <w:pPr>
              <w:jc w:val="right"/>
              <w:rPr>
                <w:color w:val="000000"/>
                <w:sz w:val="24"/>
                <w:szCs w:val="24"/>
              </w:rPr>
            </w:pPr>
            <w:r w:rsidRPr="00984FB1">
              <w:rPr>
                <w:color w:val="000000"/>
                <w:sz w:val="24"/>
                <w:szCs w:val="24"/>
              </w:rPr>
              <w:t>151.56%</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1.26%</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-5.49%</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0.72%</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157.05%</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0.54%</w:t>
            </w:r>
          </w:p>
        </w:tc>
      </w:tr>
      <w:tr w:rsidR="00984FB1">
        <w:trPr>
          <w:jc w:val="center"/>
        </w:trPr>
        <w:tc>
          <w:tcPr>
            <w:tcW w:w="1701" w:type="dxa"/>
            <w:vAlign w:val="center"/>
          </w:tcPr>
          <w:p w:rsidR="00984FB1" w:rsidRDefault="00984FB1" w:rsidP="00984FB1">
            <w:pPr>
              <w:jc w:val="left"/>
              <w:rPr>
                <w:rFonts w:hint="eastAsia"/>
                <w:color w:val="000000"/>
                <w:sz w:val="24"/>
                <w:szCs w:val="24"/>
              </w:rPr>
            </w:pPr>
            <w:r>
              <w:rPr>
                <w:rFonts w:hint="eastAsia"/>
                <w:color w:val="000000"/>
                <w:sz w:val="24"/>
                <w:szCs w:val="24"/>
              </w:rPr>
              <w:t>自</w:t>
            </w:r>
            <w:r>
              <w:rPr>
                <w:color w:val="000000"/>
                <w:sz w:val="24"/>
                <w:szCs w:val="24"/>
              </w:rPr>
              <w:t>基金合同</w:t>
            </w:r>
            <w:r>
              <w:rPr>
                <w:rFonts w:hint="eastAsia"/>
                <w:color w:val="000000"/>
                <w:sz w:val="24"/>
                <w:szCs w:val="24"/>
              </w:rPr>
              <w:t>生效</w:t>
            </w:r>
            <w:r>
              <w:rPr>
                <w:color w:val="000000"/>
                <w:sz w:val="24"/>
                <w:szCs w:val="24"/>
              </w:rPr>
              <w:t>起至今</w:t>
            </w:r>
          </w:p>
        </w:tc>
        <w:tc>
          <w:tcPr>
            <w:tcW w:w="1045" w:type="dxa"/>
            <w:vAlign w:val="center"/>
          </w:tcPr>
          <w:p w:rsidR="00984FB1" w:rsidRPr="00984FB1" w:rsidRDefault="00984FB1" w:rsidP="00984FB1">
            <w:pPr>
              <w:jc w:val="right"/>
              <w:rPr>
                <w:color w:val="000000"/>
                <w:sz w:val="24"/>
                <w:szCs w:val="24"/>
              </w:rPr>
            </w:pPr>
            <w:r w:rsidRPr="00984FB1">
              <w:rPr>
                <w:color w:val="000000"/>
                <w:sz w:val="24"/>
                <w:szCs w:val="24"/>
              </w:rPr>
              <w:t>368.90%</w:t>
            </w:r>
          </w:p>
        </w:tc>
        <w:tc>
          <w:tcPr>
            <w:tcW w:w="1344" w:type="dxa"/>
            <w:vAlign w:val="center"/>
          </w:tcPr>
          <w:p w:rsidR="00984FB1" w:rsidRPr="00984FB1" w:rsidRDefault="00984FB1" w:rsidP="00984FB1">
            <w:pPr>
              <w:jc w:val="right"/>
              <w:rPr>
                <w:color w:val="000000"/>
                <w:sz w:val="24"/>
                <w:szCs w:val="24"/>
              </w:rPr>
            </w:pPr>
            <w:r w:rsidRPr="00984FB1">
              <w:rPr>
                <w:color w:val="000000"/>
                <w:sz w:val="24"/>
                <w:szCs w:val="24"/>
              </w:rPr>
              <w:t>1.26%</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45.84%</w:t>
            </w:r>
          </w:p>
        </w:tc>
        <w:tc>
          <w:tcPr>
            <w:tcW w:w="1492" w:type="dxa"/>
            <w:vAlign w:val="center"/>
          </w:tcPr>
          <w:p w:rsidR="00984FB1" w:rsidRPr="00984FB1" w:rsidRDefault="00984FB1" w:rsidP="00984FB1">
            <w:pPr>
              <w:jc w:val="right"/>
              <w:rPr>
                <w:color w:val="000000"/>
                <w:sz w:val="24"/>
                <w:szCs w:val="24"/>
              </w:rPr>
            </w:pPr>
            <w:r w:rsidRPr="00984FB1">
              <w:rPr>
                <w:color w:val="000000"/>
                <w:sz w:val="24"/>
                <w:szCs w:val="24"/>
              </w:rPr>
              <w:t>0.74%</w:t>
            </w:r>
          </w:p>
        </w:tc>
        <w:tc>
          <w:tcPr>
            <w:tcW w:w="1194" w:type="dxa"/>
            <w:vAlign w:val="center"/>
          </w:tcPr>
          <w:p w:rsidR="00984FB1" w:rsidRPr="00984FB1" w:rsidRDefault="00984FB1" w:rsidP="00984FB1">
            <w:pPr>
              <w:jc w:val="right"/>
              <w:rPr>
                <w:color w:val="000000"/>
                <w:sz w:val="24"/>
                <w:szCs w:val="24"/>
              </w:rPr>
            </w:pPr>
            <w:r w:rsidRPr="00984FB1">
              <w:rPr>
                <w:color w:val="000000"/>
                <w:sz w:val="24"/>
                <w:szCs w:val="24"/>
              </w:rPr>
              <w:t>323.06%</w:t>
            </w:r>
          </w:p>
        </w:tc>
        <w:tc>
          <w:tcPr>
            <w:tcW w:w="898" w:type="dxa"/>
            <w:vAlign w:val="center"/>
          </w:tcPr>
          <w:p w:rsidR="00984FB1" w:rsidRPr="00984FB1" w:rsidRDefault="00984FB1" w:rsidP="00984FB1">
            <w:pPr>
              <w:jc w:val="right"/>
              <w:rPr>
                <w:color w:val="000000"/>
                <w:sz w:val="24"/>
                <w:szCs w:val="24"/>
              </w:rPr>
            </w:pPr>
            <w:r w:rsidRPr="00984FB1">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3832">
        <w:trPr>
          <w:jc w:val="center"/>
        </w:trPr>
        <w:tc>
          <w:tcPr>
            <w:tcW w:w="846" w:type="dxa"/>
            <w:vAlign w:val="center"/>
          </w:tcPr>
          <w:p w:rsidR="00543832" w:rsidRDefault="00984FB1">
            <w:pPr>
              <w:jc w:val="center"/>
            </w:pPr>
            <w:r>
              <w:rPr>
                <w:color w:val="000000"/>
                <w:sz w:val="24"/>
                <w:szCs w:val="24"/>
              </w:rPr>
              <w:t>杨浩</w:t>
            </w:r>
          </w:p>
        </w:tc>
        <w:tc>
          <w:tcPr>
            <w:tcW w:w="845" w:type="dxa"/>
            <w:vAlign w:val="center"/>
          </w:tcPr>
          <w:p w:rsidR="00543832" w:rsidRDefault="00984FB1">
            <w:pPr>
              <w:jc w:val="center"/>
            </w:pPr>
            <w:r>
              <w:rPr>
                <w:color w:val="000000"/>
                <w:sz w:val="24"/>
                <w:szCs w:val="24"/>
              </w:rPr>
              <w:t>交银定期支付双息平衡混合、交银新生活力灵活配置混合、交银内核驱动</w:t>
            </w:r>
            <w:r>
              <w:rPr>
                <w:color w:val="000000"/>
                <w:sz w:val="24"/>
                <w:szCs w:val="24"/>
              </w:rPr>
              <w:lastRenderedPageBreak/>
              <w:t>混合、交银科锐科技创新混合的基金经理</w:t>
            </w:r>
          </w:p>
        </w:tc>
        <w:tc>
          <w:tcPr>
            <w:tcW w:w="1549" w:type="dxa"/>
            <w:vAlign w:val="center"/>
          </w:tcPr>
          <w:p w:rsidR="00543832" w:rsidRDefault="00984FB1">
            <w:pPr>
              <w:jc w:val="center"/>
            </w:pPr>
            <w:r>
              <w:rPr>
                <w:color w:val="000000"/>
                <w:sz w:val="24"/>
                <w:szCs w:val="24"/>
              </w:rPr>
              <w:lastRenderedPageBreak/>
              <w:t>2015-08-15</w:t>
            </w:r>
          </w:p>
        </w:tc>
        <w:tc>
          <w:tcPr>
            <w:tcW w:w="1548" w:type="dxa"/>
            <w:vAlign w:val="center"/>
          </w:tcPr>
          <w:p w:rsidR="00543832" w:rsidRDefault="00984FB1">
            <w:pPr>
              <w:jc w:val="center"/>
            </w:pPr>
            <w:r>
              <w:rPr>
                <w:color w:val="000000"/>
                <w:sz w:val="24"/>
                <w:szCs w:val="24"/>
              </w:rPr>
              <w:t>-</w:t>
            </w:r>
          </w:p>
        </w:tc>
        <w:tc>
          <w:tcPr>
            <w:tcW w:w="1407" w:type="dxa"/>
            <w:vAlign w:val="center"/>
          </w:tcPr>
          <w:p w:rsidR="00543832" w:rsidRDefault="00984FB1">
            <w:pPr>
              <w:jc w:val="center"/>
            </w:pPr>
            <w:r>
              <w:rPr>
                <w:color w:val="000000"/>
                <w:sz w:val="24"/>
                <w:szCs w:val="24"/>
              </w:rPr>
              <w:t>10</w:t>
            </w:r>
            <w:r>
              <w:rPr>
                <w:color w:val="000000"/>
                <w:sz w:val="24"/>
                <w:szCs w:val="24"/>
              </w:rPr>
              <w:t>年</w:t>
            </w:r>
          </w:p>
        </w:tc>
        <w:tc>
          <w:tcPr>
            <w:tcW w:w="2673" w:type="dxa"/>
            <w:vAlign w:val="center"/>
          </w:tcPr>
          <w:p w:rsidR="00543832" w:rsidRDefault="00984FB1">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3832" w:rsidRDefault="00984FB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3832" w:rsidRDefault="00984FB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43832" w:rsidRDefault="00984FB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3832" w:rsidRDefault="00984FB1">
      <w:pPr>
        <w:spacing w:before="29" w:line="288" w:lineRule="auto"/>
        <w:ind w:firstLineChars="200" w:firstLine="480"/>
        <w:rPr>
          <w:color w:val="000000"/>
          <w:sz w:val="24"/>
          <w:szCs w:val="24"/>
        </w:rPr>
      </w:pPr>
      <w:r>
        <w:rPr>
          <w:color w:val="000000"/>
          <w:sz w:val="24"/>
          <w:szCs w:val="24"/>
        </w:rPr>
        <w:t>2020</w:t>
      </w:r>
      <w:r>
        <w:rPr>
          <w:color w:val="000000"/>
          <w:sz w:val="24"/>
          <w:szCs w:val="24"/>
        </w:rPr>
        <w:t>年第二季度，上证指数上涨</w:t>
      </w:r>
      <w:r>
        <w:rPr>
          <w:color w:val="000000"/>
          <w:sz w:val="24"/>
          <w:szCs w:val="24"/>
        </w:rPr>
        <w:t>8.52%</w:t>
      </w:r>
      <w:r>
        <w:rPr>
          <w:color w:val="000000"/>
          <w:sz w:val="24"/>
          <w:szCs w:val="24"/>
        </w:rPr>
        <w:t>，创业板指数上涨</w:t>
      </w:r>
      <w:r>
        <w:rPr>
          <w:color w:val="000000"/>
          <w:sz w:val="24"/>
          <w:szCs w:val="24"/>
        </w:rPr>
        <w:t>30.25%</w:t>
      </w:r>
      <w:r>
        <w:rPr>
          <w:color w:val="000000"/>
          <w:sz w:val="24"/>
          <w:szCs w:val="24"/>
        </w:rPr>
        <w:t>，市场呈现出较为极端的成长股风格偏好，与当下流动性宽松低利率环境有较大关系。同时因为疫情对全球经济的负面影响和中美贸易摩擦，成长股板块中的相对逆经济周期品种表现更为突出，比如医药、半导体、食品饮料、基建等。</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本报告期跑赢业绩比较基准，主要是我们在线上娱乐与办公、新零售与供应链物流、可穿戴设备以及云计算等领域上投资的个股获得不错的收益。我们的基金产品更为重视个股研究，追求平衡和稳健。在纷繁的成长股牛市中，我们一方面警惕风格化资金对于热门行业的疯狂追逐导致的估值泡沫，一方面也在积极的去体会社会经济的深层次变化，努力不错过这个革新的时代。商业社会在供给侧改革、科技赋能、消费升级三重作用下带来的投资机会是接下来我们最关注的。虽然我们在过去几个季报中也先后有所提及，但随着产业的发展，商业革新的变化更为清晰。我们特别关注一些具备平台化能力的公司而不是大单品公司，我们相信这些有能力把产品做得规整，甚至具备多产品类别能力的公司将会创造更多增量价值。</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3,038,957,405.10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3,038,957,405.10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62.21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193,967,179.48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193,967,179.48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1,265,711,272.86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298,212,343.01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88,542,532.36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4,885,390,732.81</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98,742,027.33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1,621,414,506.26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269,051,560.22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455,175,742.68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42,544,392.26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41,297,570.08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25,549,276.00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162,081,950.25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323,087,613.70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3,038,957,405.10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63.20</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3832">
        <w:trPr>
          <w:jc w:val="center"/>
        </w:trPr>
        <w:tc>
          <w:tcPr>
            <w:tcW w:w="855" w:type="dxa"/>
            <w:vAlign w:val="center"/>
          </w:tcPr>
          <w:p w:rsidR="00543832" w:rsidRDefault="00984FB1">
            <w:pPr>
              <w:jc w:val="center"/>
            </w:pPr>
            <w:r>
              <w:rPr>
                <w:color w:val="000000"/>
                <w:sz w:val="24"/>
                <w:szCs w:val="24"/>
              </w:rPr>
              <w:t>1</w:t>
            </w:r>
          </w:p>
        </w:tc>
        <w:tc>
          <w:tcPr>
            <w:tcW w:w="1334" w:type="dxa"/>
            <w:vAlign w:val="center"/>
          </w:tcPr>
          <w:p w:rsidR="00543832" w:rsidRDefault="00984FB1">
            <w:pPr>
              <w:jc w:val="center"/>
            </w:pPr>
            <w:r>
              <w:rPr>
                <w:color w:val="000000"/>
                <w:sz w:val="24"/>
                <w:szCs w:val="24"/>
              </w:rPr>
              <w:t>300413</w:t>
            </w:r>
          </w:p>
        </w:tc>
        <w:tc>
          <w:tcPr>
            <w:tcW w:w="1777" w:type="dxa"/>
            <w:vAlign w:val="center"/>
          </w:tcPr>
          <w:p w:rsidR="00543832" w:rsidRDefault="00984FB1">
            <w:pPr>
              <w:jc w:val="center"/>
            </w:pPr>
            <w:r>
              <w:rPr>
                <w:color w:val="000000"/>
                <w:sz w:val="24"/>
                <w:szCs w:val="24"/>
              </w:rPr>
              <w:t>芒果超媒</w:t>
            </w:r>
          </w:p>
        </w:tc>
        <w:tc>
          <w:tcPr>
            <w:tcW w:w="1334" w:type="dxa"/>
            <w:vAlign w:val="center"/>
          </w:tcPr>
          <w:p w:rsidR="00543832" w:rsidRDefault="00984FB1">
            <w:pPr>
              <w:jc w:val="right"/>
            </w:pPr>
            <w:r>
              <w:rPr>
                <w:color w:val="000000"/>
                <w:sz w:val="24"/>
                <w:szCs w:val="24"/>
              </w:rPr>
              <w:t>4,281,418</w:t>
            </w:r>
          </w:p>
        </w:tc>
        <w:tc>
          <w:tcPr>
            <w:tcW w:w="1924" w:type="dxa"/>
            <w:vAlign w:val="center"/>
          </w:tcPr>
          <w:p w:rsidR="00543832" w:rsidRDefault="00984FB1">
            <w:pPr>
              <w:jc w:val="right"/>
            </w:pPr>
            <w:r>
              <w:rPr>
                <w:color w:val="000000"/>
                <w:sz w:val="24"/>
                <w:szCs w:val="24"/>
              </w:rPr>
              <w:t>279,148,453.60</w:t>
            </w:r>
          </w:p>
        </w:tc>
        <w:tc>
          <w:tcPr>
            <w:tcW w:w="1644" w:type="dxa"/>
            <w:vAlign w:val="center"/>
          </w:tcPr>
          <w:p w:rsidR="00543832" w:rsidRDefault="00984FB1">
            <w:pPr>
              <w:jc w:val="right"/>
            </w:pPr>
            <w:r>
              <w:rPr>
                <w:color w:val="000000"/>
                <w:sz w:val="24"/>
                <w:szCs w:val="24"/>
              </w:rPr>
              <w:t>5.81</w:t>
            </w:r>
          </w:p>
        </w:tc>
      </w:tr>
      <w:tr w:rsidR="00543832">
        <w:trPr>
          <w:jc w:val="center"/>
        </w:trPr>
        <w:tc>
          <w:tcPr>
            <w:tcW w:w="855" w:type="dxa"/>
            <w:vAlign w:val="center"/>
          </w:tcPr>
          <w:p w:rsidR="00543832" w:rsidRDefault="00984FB1">
            <w:pPr>
              <w:jc w:val="center"/>
            </w:pPr>
            <w:r>
              <w:rPr>
                <w:color w:val="000000"/>
                <w:sz w:val="24"/>
                <w:szCs w:val="24"/>
              </w:rPr>
              <w:t>2</w:t>
            </w:r>
          </w:p>
        </w:tc>
        <w:tc>
          <w:tcPr>
            <w:tcW w:w="1334" w:type="dxa"/>
            <w:vAlign w:val="center"/>
          </w:tcPr>
          <w:p w:rsidR="00543832" w:rsidRDefault="00984FB1">
            <w:pPr>
              <w:jc w:val="center"/>
            </w:pPr>
            <w:r>
              <w:rPr>
                <w:color w:val="000000"/>
                <w:sz w:val="24"/>
                <w:szCs w:val="24"/>
              </w:rPr>
              <w:t>002352</w:t>
            </w:r>
          </w:p>
        </w:tc>
        <w:tc>
          <w:tcPr>
            <w:tcW w:w="1777" w:type="dxa"/>
            <w:vAlign w:val="center"/>
          </w:tcPr>
          <w:p w:rsidR="00543832" w:rsidRDefault="00984FB1">
            <w:pPr>
              <w:jc w:val="center"/>
            </w:pPr>
            <w:r>
              <w:rPr>
                <w:color w:val="000000"/>
                <w:sz w:val="24"/>
                <w:szCs w:val="24"/>
              </w:rPr>
              <w:t>顺丰控股</w:t>
            </w:r>
          </w:p>
        </w:tc>
        <w:tc>
          <w:tcPr>
            <w:tcW w:w="1334" w:type="dxa"/>
            <w:vAlign w:val="center"/>
          </w:tcPr>
          <w:p w:rsidR="00543832" w:rsidRDefault="00984FB1">
            <w:pPr>
              <w:jc w:val="right"/>
            </w:pPr>
            <w:r>
              <w:rPr>
                <w:color w:val="000000"/>
                <w:sz w:val="24"/>
                <w:szCs w:val="24"/>
              </w:rPr>
              <w:t>4,819,273</w:t>
            </w:r>
          </w:p>
        </w:tc>
        <w:tc>
          <w:tcPr>
            <w:tcW w:w="1924" w:type="dxa"/>
            <w:vAlign w:val="center"/>
          </w:tcPr>
          <w:p w:rsidR="00543832" w:rsidRDefault="00984FB1">
            <w:pPr>
              <w:jc w:val="right"/>
            </w:pPr>
            <w:r>
              <w:rPr>
                <w:color w:val="000000"/>
                <w:sz w:val="24"/>
                <w:szCs w:val="24"/>
              </w:rPr>
              <w:t>263,458,233.10</w:t>
            </w:r>
          </w:p>
        </w:tc>
        <w:tc>
          <w:tcPr>
            <w:tcW w:w="1644" w:type="dxa"/>
            <w:vAlign w:val="center"/>
          </w:tcPr>
          <w:p w:rsidR="00543832" w:rsidRDefault="00984FB1">
            <w:pPr>
              <w:jc w:val="right"/>
            </w:pPr>
            <w:r>
              <w:rPr>
                <w:color w:val="000000"/>
                <w:sz w:val="24"/>
                <w:szCs w:val="24"/>
              </w:rPr>
              <w:t>5.48</w:t>
            </w:r>
          </w:p>
        </w:tc>
      </w:tr>
      <w:tr w:rsidR="00543832">
        <w:trPr>
          <w:jc w:val="center"/>
        </w:trPr>
        <w:tc>
          <w:tcPr>
            <w:tcW w:w="855" w:type="dxa"/>
            <w:vAlign w:val="center"/>
          </w:tcPr>
          <w:p w:rsidR="00543832" w:rsidRDefault="00984FB1">
            <w:pPr>
              <w:jc w:val="center"/>
            </w:pPr>
            <w:r>
              <w:rPr>
                <w:color w:val="000000"/>
                <w:sz w:val="24"/>
                <w:szCs w:val="24"/>
              </w:rPr>
              <w:t>3</w:t>
            </w:r>
          </w:p>
        </w:tc>
        <w:tc>
          <w:tcPr>
            <w:tcW w:w="1334" w:type="dxa"/>
            <w:vAlign w:val="center"/>
          </w:tcPr>
          <w:p w:rsidR="00543832" w:rsidRDefault="00984FB1">
            <w:pPr>
              <w:jc w:val="center"/>
            </w:pPr>
            <w:r>
              <w:rPr>
                <w:color w:val="000000"/>
                <w:sz w:val="24"/>
                <w:szCs w:val="24"/>
              </w:rPr>
              <w:t>002841</w:t>
            </w:r>
          </w:p>
        </w:tc>
        <w:tc>
          <w:tcPr>
            <w:tcW w:w="1777" w:type="dxa"/>
            <w:vAlign w:val="center"/>
          </w:tcPr>
          <w:p w:rsidR="00543832" w:rsidRDefault="00984FB1">
            <w:pPr>
              <w:jc w:val="center"/>
            </w:pPr>
            <w:r>
              <w:rPr>
                <w:color w:val="000000"/>
                <w:sz w:val="24"/>
                <w:szCs w:val="24"/>
              </w:rPr>
              <w:t>视源股份</w:t>
            </w:r>
          </w:p>
        </w:tc>
        <w:tc>
          <w:tcPr>
            <w:tcW w:w="1334" w:type="dxa"/>
            <w:vAlign w:val="center"/>
          </w:tcPr>
          <w:p w:rsidR="00543832" w:rsidRDefault="00984FB1">
            <w:pPr>
              <w:jc w:val="right"/>
            </w:pPr>
            <w:r>
              <w:rPr>
                <w:color w:val="000000"/>
                <w:sz w:val="24"/>
                <w:szCs w:val="24"/>
              </w:rPr>
              <w:t>2,405,628</w:t>
            </w:r>
          </w:p>
        </w:tc>
        <w:tc>
          <w:tcPr>
            <w:tcW w:w="1924" w:type="dxa"/>
            <w:vAlign w:val="center"/>
          </w:tcPr>
          <w:p w:rsidR="00543832" w:rsidRDefault="00984FB1">
            <w:pPr>
              <w:jc w:val="right"/>
            </w:pPr>
            <w:r>
              <w:rPr>
                <w:color w:val="000000"/>
                <w:sz w:val="24"/>
                <w:szCs w:val="24"/>
              </w:rPr>
              <w:t>234,093,098.56</w:t>
            </w:r>
          </w:p>
        </w:tc>
        <w:tc>
          <w:tcPr>
            <w:tcW w:w="1644" w:type="dxa"/>
            <w:vAlign w:val="center"/>
          </w:tcPr>
          <w:p w:rsidR="00543832" w:rsidRDefault="00984FB1">
            <w:pPr>
              <w:jc w:val="right"/>
            </w:pPr>
            <w:r>
              <w:rPr>
                <w:color w:val="000000"/>
                <w:sz w:val="24"/>
                <w:szCs w:val="24"/>
              </w:rPr>
              <w:t>4.87</w:t>
            </w:r>
          </w:p>
        </w:tc>
      </w:tr>
      <w:tr w:rsidR="00543832">
        <w:trPr>
          <w:jc w:val="center"/>
        </w:trPr>
        <w:tc>
          <w:tcPr>
            <w:tcW w:w="855" w:type="dxa"/>
            <w:vAlign w:val="center"/>
          </w:tcPr>
          <w:p w:rsidR="00543832" w:rsidRDefault="00984FB1">
            <w:pPr>
              <w:jc w:val="center"/>
            </w:pPr>
            <w:r>
              <w:rPr>
                <w:color w:val="000000"/>
                <w:sz w:val="24"/>
                <w:szCs w:val="24"/>
              </w:rPr>
              <w:t>4</w:t>
            </w:r>
          </w:p>
        </w:tc>
        <w:tc>
          <w:tcPr>
            <w:tcW w:w="1334" w:type="dxa"/>
            <w:vAlign w:val="center"/>
          </w:tcPr>
          <w:p w:rsidR="00543832" w:rsidRDefault="00984FB1">
            <w:pPr>
              <w:jc w:val="center"/>
            </w:pPr>
            <w:r>
              <w:rPr>
                <w:color w:val="000000"/>
                <w:sz w:val="24"/>
                <w:szCs w:val="24"/>
              </w:rPr>
              <w:t>603517</w:t>
            </w:r>
          </w:p>
        </w:tc>
        <w:tc>
          <w:tcPr>
            <w:tcW w:w="1777" w:type="dxa"/>
            <w:vAlign w:val="center"/>
          </w:tcPr>
          <w:p w:rsidR="00543832" w:rsidRDefault="00984FB1">
            <w:pPr>
              <w:jc w:val="center"/>
            </w:pPr>
            <w:r>
              <w:rPr>
                <w:color w:val="000000"/>
                <w:sz w:val="24"/>
                <w:szCs w:val="24"/>
              </w:rPr>
              <w:t>绝味食品</w:t>
            </w:r>
          </w:p>
        </w:tc>
        <w:tc>
          <w:tcPr>
            <w:tcW w:w="1334" w:type="dxa"/>
            <w:vAlign w:val="center"/>
          </w:tcPr>
          <w:p w:rsidR="00543832" w:rsidRDefault="00984FB1">
            <w:pPr>
              <w:jc w:val="right"/>
            </w:pPr>
            <w:r>
              <w:rPr>
                <w:color w:val="000000"/>
                <w:sz w:val="24"/>
                <w:szCs w:val="24"/>
              </w:rPr>
              <w:t>2,948,962</w:t>
            </w:r>
          </w:p>
        </w:tc>
        <w:tc>
          <w:tcPr>
            <w:tcW w:w="1924" w:type="dxa"/>
            <w:vAlign w:val="center"/>
          </w:tcPr>
          <w:p w:rsidR="00543832" w:rsidRDefault="00984FB1">
            <w:pPr>
              <w:jc w:val="right"/>
            </w:pPr>
            <w:r>
              <w:rPr>
                <w:color w:val="000000"/>
                <w:sz w:val="24"/>
                <w:szCs w:val="24"/>
              </w:rPr>
              <w:t>208,609,571.88</w:t>
            </w:r>
          </w:p>
        </w:tc>
        <w:tc>
          <w:tcPr>
            <w:tcW w:w="1644" w:type="dxa"/>
            <w:vAlign w:val="center"/>
          </w:tcPr>
          <w:p w:rsidR="00543832" w:rsidRDefault="00984FB1">
            <w:pPr>
              <w:jc w:val="right"/>
            </w:pPr>
            <w:r>
              <w:rPr>
                <w:color w:val="000000"/>
                <w:sz w:val="24"/>
                <w:szCs w:val="24"/>
              </w:rPr>
              <w:t>4.34</w:t>
            </w:r>
          </w:p>
        </w:tc>
      </w:tr>
      <w:tr w:rsidR="00543832">
        <w:trPr>
          <w:jc w:val="center"/>
        </w:trPr>
        <w:tc>
          <w:tcPr>
            <w:tcW w:w="855" w:type="dxa"/>
            <w:vAlign w:val="center"/>
          </w:tcPr>
          <w:p w:rsidR="00543832" w:rsidRDefault="00984FB1">
            <w:pPr>
              <w:jc w:val="center"/>
            </w:pPr>
            <w:r>
              <w:rPr>
                <w:color w:val="000000"/>
                <w:sz w:val="24"/>
                <w:szCs w:val="24"/>
              </w:rPr>
              <w:t>5</w:t>
            </w:r>
          </w:p>
        </w:tc>
        <w:tc>
          <w:tcPr>
            <w:tcW w:w="1334" w:type="dxa"/>
            <w:vAlign w:val="center"/>
          </w:tcPr>
          <w:p w:rsidR="00543832" w:rsidRDefault="00984FB1">
            <w:pPr>
              <w:jc w:val="center"/>
            </w:pPr>
            <w:r>
              <w:rPr>
                <w:color w:val="000000"/>
                <w:sz w:val="24"/>
                <w:szCs w:val="24"/>
              </w:rPr>
              <w:t>600690</w:t>
            </w:r>
          </w:p>
        </w:tc>
        <w:tc>
          <w:tcPr>
            <w:tcW w:w="1777" w:type="dxa"/>
            <w:vAlign w:val="center"/>
          </w:tcPr>
          <w:p w:rsidR="00543832" w:rsidRDefault="00984FB1">
            <w:pPr>
              <w:jc w:val="center"/>
            </w:pPr>
            <w:r>
              <w:rPr>
                <w:color w:val="000000"/>
                <w:sz w:val="24"/>
                <w:szCs w:val="24"/>
              </w:rPr>
              <w:t>海尔智家</w:t>
            </w:r>
          </w:p>
        </w:tc>
        <w:tc>
          <w:tcPr>
            <w:tcW w:w="1334" w:type="dxa"/>
            <w:vAlign w:val="center"/>
          </w:tcPr>
          <w:p w:rsidR="00543832" w:rsidRDefault="00984FB1">
            <w:pPr>
              <w:jc w:val="right"/>
            </w:pPr>
            <w:r>
              <w:rPr>
                <w:color w:val="000000"/>
                <w:sz w:val="24"/>
                <w:szCs w:val="24"/>
              </w:rPr>
              <w:t>10,508,846</w:t>
            </w:r>
          </w:p>
        </w:tc>
        <w:tc>
          <w:tcPr>
            <w:tcW w:w="1924" w:type="dxa"/>
            <w:vAlign w:val="center"/>
          </w:tcPr>
          <w:p w:rsidR="00543832" w:rsidRDefault="00984FB1">
            <w:pPr>
              <w:jc w:val="right"/>
            </w:pPr>
            <w:r>
              <w:rPr>
                <w:color w:val="000000"/>
                <w:sz w:val="24"/>
                <w:szCs w:val="24"/>
              </w:rPr>
              <w:t>186,006,574.20</w:t>
            </w:r>
          </w:p>
        </w:tc>
        <w:tc>
          <w:tcPr>
            <w:tcW w:w="1644" w:type="dxa"/>
            <w:vAlign w:val="center"/>
          </w:tcPr>
          <w:p w:rsidR="00543832" w:rsidRDefault="00984FB1">
            <w:pPr>
              <w:jc w:val="right"/>
            </w:pPr>
            <w:r>
              <w:rPr>
                <w:color w:val="000000"/>
                <w:sz w:val="24"/>
                <w:szCs w:val="24"/>
              </w:rPr>
              <w:t>3.87</w:t>
            </w:r>
          </w:p>
        </w:tc>
      </w:tr>
      <w:tr w:rsidR="00543832">
        <w:trPr>
          <w:jc w:val="center"/>
        </w:trPr>
        <w:tc>
          <w:tcPr>
            <w:tcW w:w="855" w:type="dxa"/>
            <w:vAlign w:val="center"/>
          </w:tcPr>
          <w:p w:rsidR="00543832" w:rsidRDefault="00984FB1">
            <w:pPr>
              <w:jc w:val="center"/>
            </w:pPr>
            <w:r>
              <w:rPr>
                <w:color w:val="000000"/>
                <w:sz w:val="24"/>
                <w:szCs w:val="24"/>
              </w:rPr>
              <w:t>6</w:t>
            </w:r>
          </w:p>
        </w:tc>
        <w:tc>
          <w:tcPr>
            <w:tcW w:w="1334" w:type="dxa"/>
            <w:vAlign w:val="center"/>
          </w:tcPr>
          <w:p w:rsidR="00543832" w:rsidRDefault="00984FB1">
            <w:pPr>
              <w:jc w:val="center"/>
            </w:pPr>
            <w:r>
              <w:rPr>
                <w:color w:val="000000"/>
                <w:sz w:val="24"/>
                <w:szCs w:val="24"/>
              </w:rPr>
              <w:t>002050</w:t>
            </w:r>
          </w:p>
        </w:tc>
        <w:tc>
          <w:tcPr>
            <w:tcW w:w="1777" w:type="dxa"/>
            <w:vAlign w:val="center"/>
          </w:tcPr>
          <w:p w:rsidR="00543832" w:rsidRDefault="00984FB1">
            <w:pPr>
              <w:jc w:val="center"/>
            </w:pPr>
            <w:r>
              <w:rPr>
                <w:color w:val="000000"/>
                <w:sz w:val="24"/>
                <w:szCs w:val="24"/>
              </w:rPr>
              <w:t>三花智控</w:t>
            </w:r>
          </w:p>
        </w:tc>
        <w:tc>
          <w:tcPr>
            <w:tcW w:w="1334" w:type="dxa"/>
            <w:vAlign w:val="center"/>
          </w:tcPr>
          <w:p w:rsidR="00543832" w:rsidRDefault="00984FB1">
            <w:pPr>
              <w:jc w:val="right"/>
            </w:pPr>
            <w:r>
              <w:rPr>
                <w:color w:val="000000"/>
                <w:sz w:val="24"/>
                <w:szCs w:val="24"/>
              </w:rPr>
              <w:t>8,245,111</w:t>
            </w:r>
          </w:p>
        </w:tc>
        <w:tc>
          <w:tcPr>
            <w:tcW w:w="1924" w:type="dxa"/>
            <w:vAlign w:val="center"/>
          </w:tcPr>
          <w:p w:rsidR="00543832" w:rsidRDefault="00984FB1">
            <w:pPr>
              <w:jc w:val="right"/>
            </w:pPr>
            <w:r>
              <w:rPr>
                <w:color w:val="000000"/>
                <w:sz w:val="24"/>
                <w:szCs w:val="24"/>
              </w:rPr>
              <w:t>180,567,930.90</w:t>
            </w:r>
          </w:p>
        </w:tc>
        <w:tc>
          <w:tcPr>
            <w:tcW w:w="1644" w:type="dxa"/>
            <w:vAlign w:val="center"/>
          </w:tcPr>
          <w:p w:rsidR="00543832" w:rsidRDefault="00984FB1">
            <w:pPr>
              <w:jc w:val="right"/>
            </w:pPr>
            <w:r>
              <w:rPr>
                <w:color w:val="000000"/>
                <w:sz w:val="24"/>
                <w:szCs w:val="24"/>
              </w:rPr>
              <w:t>3.76</w:t>
            </w:r>
          </w:p>
        </w:tc>
      </w:tr>
      <w:tr w:rsidR="00543832">
        <w:trPr>
          <w:jc w:val="center"/>
        </w:trPr>
        <w:tc>
          <w:tcPr>
            <w:tcW w:w="855" w:type="dxa"/>
            <w:vAlign w:val="center"/>
          </w:tcPr>
          <w:p w:rsidR="00543832" w:rsidRDefault="00984FB1">
            <w:pPr>
              <w:jc w:val="center"/>
            </w:pPr>
            <w:r>
              <w:rPr>
                <w:color w:val="000000"/>
                <w:sz w:val="24"/>
                <w:szCs w:val="24"/>
              </w:rPr>
              <w:t>7</w:t>
            </w:r>
          </w:p>
        </w:tc>
        <w:tc>
          <w:tcPr>
            <w:tcW w:w="1334" w:type="dxa"/>
            <w:vAlign w:val="center"/>
          </w:tcPr>
          <w:p w:rsidR="00543832" w:rsidRDefault="00984FB1">
            <w:pPr>
              <w:jc w:val="center"/>
            </w:pPr>
            <w:r>
              <w:rPr>
                <w:color w:val="000000"/>
                <w:sz w:val="24"/>
                <w:szCs w:val="24"/>
              </w:rPr>
              <w:t>002555</w:t>
            </w:r>
          </w:p>
        </w:tc>
        <w:tc>
          <w:tcPr>
            <w:tcW w:w="1777" w:type="dxa"/>
            <w:vAlign w:val="center"/>
          </w:tcPr>
          <w:p w:rsidR="00543832" w:rsidRDefault="00984FB1">
            <w:pPr>
              <w:jc w:val="center"/>
            </w:pPr>
            <w:r>
              <w:rPr>
                <w:color w:val="000000"/>
                <w:sz w:val="24"/>
                <w:szCs w:val="24"/>
              </w:rPr>
              <w:t>三七互娱</w:t>
            </w:r>
          </w:p>
        </w:tc>
        <w:tc>
          <w:tcPr>
            <w:tcW w:w="1334" w:type="dxa"/>
            <w:vAlign w:val="center"/>
          </w:tcPr>
          <w:p w:rsidR="00543832" w:rsidRDefault="00984FB1">
            <w:pPr>
              <w:jc w:val="right"/>
            </w:pPr>
            <w:r>
              <w:rPr>
                <w:color w:val="000000"/>
                <w:sz w:val="24"/>
                <w:szCs w:val="24"/>
              </w:rPr>
              <w:t>3,817,899</w:t>
            </w:r>
          </w:p>
        </w:tc>
        <w:tc>
          <w:tcPr>
            <w:tcW w:w="1924" w:type="dxa"/>
            <w:vAlign w:val="center"/>
          </w:tcPr>
          <w:p w:rsidR="00543832" w:rsidRDefault="00984FB1">
            <w:pPr>
              <w:jc w:val="right"/>
            </w:pPr>
            <w:r>
              <w:rPr>
                <w:color w:val="000000"/>
                <w:sz w:val="24"/>
                <w:szCs w:val="24"/>
              </w:rPr>
              <w:t>177,052,673.20</w:t>
            </w:r>
          </w:p>
        </w:tc>
        <w:tc>
          <w:tcPr>
            <w:tcW w:w="1644" w:type="dxa"/>
            <w:vAlign w:val="center"/>
          </w:tcPr>
          <w:p w:rsidR="00543832" w:rsidRDefault="00984FB1">
            <w:pPr>
              <w:jc w:val="right"/>
            </w:pPr>
            <w:r>
              <w:rPr>
                <w:color w:val="000000"/>
                <w:sz w:val="24"/>
                <w:szCs w:val="24"/>
              </w:rPr>
              <w:t>3.68</w:t>
            </w:r>
          </w:p>
        </w:tc>
      </w:tr>
      <w:tr w:rsidR="00543832">
        <w:trPr>
          <w:jc w:val="center"/>
        </w:trPr>
        <w:tc>
          <w:tcPr>
            <w:tcW w:w="855" w:type="dxa"/>
            <w:vAlign w:val="center"/>
          </w:tcPr>
          <w:p w:rsidR="00543832" w:rsidRDefault="00984FB1">
            <w:pPr>
              <w:jc w:val="center"/>
            </w:pPr>
            <w:r>
              <w:rPr>
                <w:color w:val="000000"/>
                <w:sz w:val="24"/>
                <w:szCs w:val="24"/>
              </w:rPr>
              <w:t>8</w:t>
            </w:r>
          </w:p>
        </w:tc>
        <w:tc>
          <w:tcPr>
            <w:tcW w:w="1334" w:type="dxa"/>
            <w:vAlign w:val="center"/>
          </w:tcPr>
          <w:p w:rsidR="00543832" w:rsidRDefault="00984FB1">
            <w:pPr>
              <w:jc w:val="center"/>
            </w:pPr>
            <w:r>
              <w:rPr>
                <w:color w:val="000000"/>
                <w:sz w:val="24"/>
                <w:szCs w:val="24"/>
              </w:rPr>
              <w:t>002607</w:t>
            </w:r>
          </w:p>
        </w:tc>
        <w:tc>
          <w:tcPr>
            <w:tcW w:w="1777" w:type="dxa"/>
            <w:vAlign w:val="center"/>
          </w:tcPr>
          <w:p w:rsidR="00543832" w:rsidRDefault="00984FB1">
            <w:pPr>
              <w:jc w:val="center"/>
            </w:pPr>
            <w:r>
              <w:rPr>
                <w:color w:val="000000"/>
                <w:sz w:val="24"/>
                <w:szCs w:val="24"/>
              </w:rPr>
              <w:t>中公教育</w:t>
            </w:r>
          </w:p>
        </w:tc>
        <w:tc>
          <w:tcPr>
            <w:tcW w:w="1334" w:type="dxa"/>
            <w:vAlign w:val="center"/>
          </w:tcPr>
          <w:p w:rsidR="00543832" w:rsidRDefault="00984FB1">
            <w:pPr>
              <w:jc w:val="right"/>
            </w:pPr>
            <w:r>
              <w:rPr>
                <w:color w:val="000000"/>
                <w:sz w:val="24"/>
                <w:szCs w:val="24"/>
              </w:rPr>
              <w:t>5,840,791</w:t>
            </w:r>
          </w:p>
        </w:tc>
        <w:tc>
          <w:tcPr>
            <w:tcW w:w="1924" w:type="dxa"/>
            <w:vAlign w:val="center"/>
          </w:tcPr>
          <w:p w:rsidR="00543832" w:rsidRDefault="00984FB1">
            <w:pPr>
              <w:jc w:val="right"/>
            </w:pPr>
            <w:r>
              <w:rPr>
                <w:color w:val="000000"/>
                <w:sz w:val="24"/>
                <w:szCs w:val="24"/>
              </w:rPr>
              <w:t>162,081,950.25</w:t>
            </w:r>
          </w:p>
        </w:tc>
        <w:tc>
          <w:tcPr>
            <w:tcW w:w="1644" w:type="dxa"/>
            <w:vAlign w:val="center"/>
          </w:tcPr>
          <w:p w:rsidR="00543832" w:rsidRDefault="00984FB1">
            <w:pPr>
              <w:jc w:val="right"/>
            </w:pPr>
            <w:r>
              <w:rPr>
                <w:color w:val="000000"/>
                <w:sz w:val="24"/>
                <w:szCs w:val="24"/>
              </w:rPr>
              <w:t>3.37</w:t>
            </w:r>
          </w:p>
        </w:tc>
      </w:tr>
      <w:tr w:rsidR="00543832">
        <w:trPr>
          <w:jc w:val="center"/>
        </w:trPr>
        <w:tc>
          <w:tcPr>
            <w:tcW w:w="855" w:type="dxa"/>
            <w:vAlign w:val="center"/>
          </w:tcPr>
          <w:p w:rsidR="00543832" w:rsidRDefault="00984FB1">
            <w:pPr>
              <w:jc w:val="center"/>
            </w:pPr>
            <w:r>
              <w:rPr>
                <w:color w:val="000000"/>
                <w:sz w:val="24"/>
                <w:szCs w:val="24"/>
              </w:rPr>
              <w:t>9</w:t>
            </w:r>
          </w:p>
        </w:tc>
        <w:tc>
          <w:tcPr>
            <w:tcW w:w="1334" w:type="dxa"/>
            <w:vAlign w:val="center"/>
          </w:tcPr>
          <w:p w:rsidR="00543832" w:rsidRDefault="00984FB1">
            <w:pPr>
              <w:jc w:val="center"/>
            </w:pPr>
            <w:r>
              <w:rPr>
                <w:color w:val="000000"/>
                <w:sz w:val="24"/>
                <w:szCs w:val="24"/>
              </w:rPr>
              <w:t>002271</w:t>
            </w:r>
          </w:p>
        </w:tc>
        <w:tc>
          <w:tcPr>
            <w:tcW w:w="1777" w:type="dxa"/>
            <w:vAlign w:val="center"/>
          </w:tcPr>
          <w:p w:rsidR="00543832" w:rsidRDefault="00984FB1">
            <w:pPr>
              <w:jc w:val="center"/>
            </w:pPr>
            <w:r>
              <w:rPr>
                <w:color w:val="000000"/>
                <w:sz w:val="24"/>
                <w:szCs w:val="24"/>
              </w:rPr>
              <w:t>东方雨虹</w:t>
            </w:r>
          </w:p>
        </w:tc>
        <w:tc>
          <w:tcPr>
            <w:tcW w:w="1334" w:type="dxa"/>
            <w:vAlign w:val="center"/>
          </w:tcPr>
          <w:p w:rsidR="00543832" w:rsidRDefault="00984FB1">
            <w:pPr>
              <w:jc w:val="right"/>
            </w:pPr>
            <w:r>
              <w:rPr>
                <w:color w:val="000000"/>
                <w:sz w:val="24"/>
                <w:szCs w:val="24"/>
              </w:rPr>
              <w:t>3,908,450</w:t>
            </w:r>
          </w:p>
        </w:tc>
        <w:tc>
          <w:tcPr>
            <w:tcW w:w="1924" w:type="dxa"/>
            <w:vAlign w:val="center"/>
          </w:tcPr>
          <w:p w:rsidR="00543832" w:rsidRDefault="00984FB1">
            <w:pPr>
              <w:jc w:val="right"/>
            </w:pPr>
            <w:r>
              <w:rPr>
                <w:color w:val="000000"/>
                <w:sz w:val="24"/>
                <w:szCs w:val="24"/>
              </w:rPr>
              <w:t>158,800,323.50</w:t>
            </w:r>
          </w:p>
        </w:tc>
        <w:tc>
          <w:tcPr>
            <w:tcW w:w="1644" w:type="dxa"/>
            <w:vAlign w:val="center"/>
          </w:tcPr>
          <w:p w:rsidR="00543832" w:rsidRDefault="00984FB1">
            <w:pPr>
              <w:jc w:val="right"/>
            </w:pPr>
            <w:r>
              <w:rPr>
                <w:color w:val="000000"/>
                <w:sz w:val="24"/>
                <w:szCs w:val="24"/>
              </w:rPr>
              <w:t>3.30</w:t>
            </w:r>
          </w:p>
        </w:tc>
      </w:tr>
      <w:tr w:rsidR="00543832">
        <w:trPr>
          <w:jc w:val="center"/>
        </w:trPr>
        <w:tc>
          <w:tcPr>
            <w:tcW w:w="855" w:type="dxa"/>
            <w:vAlign w:val="center"/>
          </w:tcPr>
          <w:p w:rsidR="00543832" w:rsidRDefault="00984FB1">
            <w:pPr>
              <w:jc w:val="center"/>
            </w:pPr>
            <w:r>
              <w:rPr>
                <w:color w:val="000000"/>
                <w:sz w:val="24"/>
                <w:szCs w:val="24"/>
              </w:rPr>
              <w:t>10</w:t>
            </w:r>
          </w:p>
        </w:tc>
        <w:tc>
          <w:tcPr>
            <w:tcW w:w="1334" w:type="dxa"/>
            <w:vAlign w:val="center"/>
          </w:tcPr>
          <w:p w:rsidR="00543832" w:rsidRDefault="00984FB1">
            <w:pPr>
              <w:jc w:val="center"/>
            </w:pPr>
            <w:r>
              <w:rPr>
                <w:color w:val="000000"/>
                <w:sz w:val="24"/>
                <w:szCs w:val="24"/>
              </w:rPr>
              <w:t>600522</w:t>
            </w:r>
          </w:p>
        </w:tc>
        <w:tc>
          <w:tcPr>
            <w:tcW w:w="1777" w:type="dxa"/>
            <w:vAlign w:val="center"/>
          </w:tcPr>
          <w:p w:rsidR="00543832" w:rsidRDefault="00984FB1">
            <w:pPr>
              <w:jc w:val="center"/>
            </w:pPr>
            <w:r>
              <w:rPr>
                <w:color w:val="000000"/>
                <w:sz w:val="24"/>
                <w:szCs w:val="24"/>
              </w:rPr>
              <w:t>中天科技</w:t>
            </w:r>
          </w:p>
        </w:tc>
        <w:tc>
          <w:tcPr>
            <w:tcW w:w="1334" w:type="dxa"/>
            <w:vAlign w:val="center"/>
          </w:tcPr>
          <w:p w:rsidR="00543832" w:rsidRDefault="00984FB1">
            <w:pPr>
              <w:jc w:val="right"/>
            </w:pPr>
            <w:r>
              <w:rPr>
                <w:color w:val="000000"/>
                <w:sz w:val="24"/>
                <w:szCs w:val="24"/>
              </w:rPr>
              <w:t>13,271,889</w:t>
            </w:r>
          </w:p>
        </w:tc>
        <w:tc>
          <w:tcPr>
            <w:tcW w:w="1924" w:type="dxa"/>
            <w:vAlign w:val="center"/>
          </w:tcPr>
          <w:p w:rsidR="00543832" w:rsidRDefault="00984FB1">
            <w:pPr>
              <w:jc w:val="right"/>
            </w:pPr>
            <w:r>
              <w:rPr>
                <w:color w:val="000000"/>
                <w:sz w:val="24"/>
                <w:szCs w:val="24"/>
              </w:rPr>
              <w:t>151,963,129.05</w:t>
            </w:r>
          </w:p>
        </w:tc>
        <w:tc>
          <w:tcPr>
            <w:tcW w:w="1644" w:type="dxa"/>
            <w:vAlign w:val="center"/>
          </w:tcPr>
          <w:p w:rsidR="00543832" w:rsidRDefault="00984FB1">
            <w:pPr>
              <w:jc w:val="right"/>
            </w:pPr>
            <w:r>
              <w:rPr>
                <w:color w:val="000000"/>
                <w:sz w:val="24"/>
                <w:szCs w:val="24"/>
              </w:rPr>
              <w:t>3.16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189,811,000.00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189,811,000.00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4,156,179.48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193,967,179.48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43832">
        <w:trPr>
          <w:jc w:val="center"/>
        </w:trPr>
        <w:tc>
          <w:tcPr>
            <w:tcW w:w="850" w:type="dxa"/>
            <w:vAlign w:val="center"/>
          </w:tcPr>
          <w:p w:rsidR="00543832" w:rsidRDefault="00984FB1">
            <w:pPr>
              <w:jc w:val="center"/>
            </w:pPr>
            <w:r>
              <w:rPr>
                <w:color w:val="000000"/>
                <w:sz w:val="24"/>
                <w:szCs w:val="24"/>
              </w:rPr>
              <w:t>1</w:t>
            </w:r>
          </w:p>
        </w:tc>
        <w:tc>
          <w:tcPr>
            <w:tcW w:w="1475" w:type="dxa"/>
            <w:vAlign w:val="center"/>
          </w:tcPr>
          <w:p w:rsidR="00543832" w:rsidRDefault="00984FB1">
            <w:pPr>
              <w:jc w:val="center"/>
            </w:pPr>
            <w:r>
              <w:rPr>
                <w:color w:val="000000"/>
                <w:sz w:val="24"/>
                <w:szCs w:val="24"/>
              </w:rPr>
              <w:t>190307</w:t>
            </w:r>
          </w:p>
        </w:tc>
        <w:tc>
          <w:tcPr>
            <w:tcW w:w="1769" w:type="dxa"/>
            <w:vAlign w:val="center"/>
          </w:tcPr>
          <w:p w:rsidR="00543832" w:rsidRDefault="00984FB1">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543832" w:rsidRDefault="00984FB1">
            <w:pPr>
              <w:jc w:val="right"/>
            </w:pPr>
            <w:r>
              <w:rPr>
                <w:color w:val="000000"/>
                <w:sz w:val="24"/>
                <w:szCs w:val="24"/>
              </w:rPr>
              <w:t>1,300,000</w:t>
            </w:r>
          </w:p>
        </w:tc>
        <w:tc>
          <w:tcPr>
            <w:tcW w:w="2150" w:type="dxa"/>
            <w:vAlign w:val="center"/>
          </w:tcPr>
          <w:p w:rsidR="00543832" w:rsidRDefault="00984FB1">
            <w:pPr>
              <w:jc w:val="right"/>
            </w:pPr>
            <w:r>
              <w:rPr>
                <w:color w:val="000000"/>
                <w:sz w:val="24"/>
                <w:szCs w:val="24"/>
              </w:rPr>
              <w:t>130,273,000.00</w:t>
            </w:r>
          </w:p>
        </w:tc>
        <w:tc>
          <w:tcPr>
            <w:tcW w:w="1237" w:type="dxa"/>
            <w:vAlign w:val="center"/>
          </w:tcPr>
          <w:p w:rsidR="00543832" w:rsidRDefault="00984FB1">
            <w:pPr>
              <w:jc w:val="right"/>
            </w:pPr>
            <w:r>
              <w:rPr>
                <w:color w:val="000000"/>
                <w:sz w:val="24"/>
                <w:szCs w:val="24"/>
              </w:rPr>
              <w:t>2.71</w:t>
            </w:r>
          </w:p>
        </w:tc>
      </w:tr>
      <w:tr w:rsidR="00543832">
        <w:trPr>
          <w:jc w:val="center"/>
        </w:trPr>
        <w:tc>
          <w:tcPr>
            <w:tcW w:w="850" w:type="dxa"/>
            <w:vAlign w:val="center"/>
          </w:tcPr>
          <w:p w:rsidR="00543832" w:rsidRDefault="00984FB1">
            <w:pPr>
              <w:jc w:val="center"/>
            </w:pPr>
            <w:r>
              <w:rPr>
                <w:color w:val="000000"/>
                <w:sz w:val="24"/>
                <w:szCs w:val="24"/>
              </w:rPr>
              <w:t>2</w:t>
            </w:r>
          </w:p>
        </w:tc>
        <w:tc>
          <w:tcPr>
            <w:tcW w:w="1475" w:type="dxa"/>
            <w:vAlign w:val="center"/>
          </w:tcPr>
          <w:p w:rsidR="00543832" w:rsidRDefault="00984FB1">
            <w:pPr>
              <w:jc w:val="center"/>
            </w:pPr>
            <w:r>
              <w:rPr>
                <w:color w:val="000000"/>
                <w:sz w:val="24"/>
                <w:szCs w:val="24"/>
              </w:rPr>
              <w:t>200211</w:t>
            </w:r>
          </w:p>
        </w:tc>
        <w:tc>
          <w:tcPr>
            <w:tcW w:w="1769" w:type="dxa"/>
            <w:vAlign w:val="center"/>
          </w:tcPr>
          <w:p w:rsidR="00543832" w:rsidRDefault="00984FB1">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543832" w:rsidRDefault="00984FB1">
            <w:pPr>
              <w:jc w:val="right"/>
            </w:pPr>
            <w:r>
              <w:rPr>
                <w:color w:val="000000"/>
                <w:sz w:val="24"/>
                <w:szCs w:val="24"/>
              </w:rPr>
              <w:t>600,000</w:t>
            </w:r>
          </w:p>
        </w:tc>
        <w:tc>
          <w:tcPr>
            <w:tcW w:w="2150" w:type="dxa"/>
            <w:vAlign w:val="center"/>
          </w:tcPr>
          <w:p w:rsidR="00543832" w:rsidRDefault="00984FB1">
            <w:pPr>
              <w:jc w:val="right"/>
            </w:pPr>
            <w:r>
              <w:rPr>
                <w:color w:val="000000"/>
                <w:sz w:val="24"/>
                <w:szCs w:val="24"/>
              </w:rPr>
              <w:t>59,538,000.00</w:t>
            </w:r>
          </w:p>
        </w:tc>
        <w:tc>
          <w:tcPr>
            <w:tcW w:w="1237" w:type="dxa"/>
            <w:vAlign w:val="center"/>
          </w:tcPr>
          <w:p w:rsidR="00543832" w:rsidRDefault="00984FB1">
            <w:pPr>
              <w:jc w:val="right"/>
            </w:pPr>
            <w:r>
              <w:rPr>
                <w:color w:val="000000"/>
                <w:sz w:val="24"/>
                <w:szCs w:val="24"/>
              </w:rPr>
              <w:t>1.24</w:t>
            </w:r>
          </w:p>
        </w:tc>
      </w:tr>
      <w:tr w:rsidR="00543832">
        <w:trPr>
          <w:jc w:val="center"/>
        </w:trPr>
        <w:tc>
          <w:tcPr>
            <w:tcW w:w="850" w:type="dxa"/>
            <w:vAlign w:val="center"/>
          </w:tcPr>
          <w:p w:rsidR="00543832" w:rsidRDefault="00984FB1">
            <w:pPr>
              <w:jc w:val="center"/>
            </w:pPr>
            <w:r>
              <w:rPr>
                <w:color w:val="000000"/>
                <w:sz w:val="24"/>
                <w:szCs w:val="24"/>
              </w:rPr>
              <w:t>3</w:t>
            </w:r>
          </w:p>
        </w:tc>
        <w:tc>
          <w:tcPr>
            <w:tcW w:w="1475" w:type="dxa"/>
            <w:vAlign w:val="center"/>
          </w:tcPr>
          <w:p w:rsidR="00543832" w:rsidRDefault="00984FB1">
            <w:pPr>
              <w:jc w:val="center"/>
            </w:pPr>
            <w:r>
              <w:rPr>
                <w:color w:val="000000"/>
                <w:sz w:val="24"/>
                <w:szCs w:val="24"/>
              </w:rPr>
              <w:t>110069</w:t>
            </w:r>
          </w:p>
        </w:tc>
        <w:tc>
          <w:tcPr>
            <w:tcW w:w="1769" w:type="dxa"/>
            <w:vAlign w:val="center"/>
          </w:tcPr>
          <w:p w:rsidR="00543832" w:rsidRDefault="00984FB1">
            <w:pPr>
              <w:jc w:val="center"/>
            </w:pPr>
            <w:r>
              <w:rPr>
                <w:color w:val="000000"/>
                <w:sz w:val="24"/>
                <w:szCs w:val="24"/>
              </w:rPr>
              <w:t>瀚蓝转债</w:t>
            </w:r>
          </w:p>
        </w:tc>
        <w:tc>
          <w:tcPr>
            <w:tcW w:w="1387" w:type="dxa"/>
            <w:vAlign w:val="center"/>
          </w:tcPr>
          <w:p w:rsidR="00543832" w:rsidRDefault="00984FB1">
            <w:pPr>
              <w:jc w:val="right"/>
            </w:pPr>
            <w:r>
              <w:rPr>
                <w:color w:val="000000"/>
                <w:sz w:val="24"/>
                <w:szCs w:val="24"/>
              </w:rPr>
              <w:t>18,710</w:t>
            </w:r>
          </w:p>
        </w:tc>
        <w:tc>
          <w:tcPr>
            <w:tcW w:w="2150" w:type="dxa"/>
            <w:vAlign w:val="center"/>
          </w:tcPr>
          <w:p w:rsidR="00543832" w:rsidRDefault="00984FB1">
            <w:pPr>
              <w:jc w:val="right"/>
            </w:pPr>
            <w:r>
              <w:rPr>
                <w:color w:val="000000"/>
                <w:sz w:val="24"/>
                <w:szCs w:val="24"/>
              </w:rPr>
              <w:t>2,342,117.80</w:t>
            </w:r>
          </w:p>
        </w:tc>
        <w:tc>
          <w:tcPr>
            <w:tcW w:w="1237" w:type="dxa"/>
            <w:vAlign w:val="center"/>
          </w:tcPr>
          <w:p w:rsidR="00543832" w:rsidRDefault="00984FB1">
            <w:pPr>
              <w:jc w:val="right"/>
            </w:pPr>
            <w:r>
              <w:rPr>
                <w:color w:val="000000"/>
                <w:sz w:val="24"/>
                <w:szCs w:val="24"/>
              </w:rPr>
              <w:t>0.05</w:t>
            </w:r>
          </w:p>
        </w:tc>
      </w:tr>
      <w:tr w:rsidR="00543832">
        <w:trPr>
          <w:jc w:val="center"/>
        </w:trPr>
        <w:tc>
          <w:tcPr>
            <w:tcW w:w="850" w:type="dxa"/>
            <w:vAlign w:val="center"/>
          </w:tcPr>
          <w:p w:rsidR="00543832" w:rsidRDefault="00984FB1">
            <w:pPr>
              <w:jc w:val="center"/>
            </w:pPr>
            <w:r>
              <w:rPr>
                <w:color w:val="000000"/>
                <w:sz w:val="24"/>
                <w:szCs w:val="24"/>
              </w:rPr>
              <w:t>4</w:t>
            </w:r>
          </w:p>
        </w:tc>
        <w:tc>
          <w:tcPr>
            <w:tcW w:w="1475" w:type="dxa"/>
            <w:vAlign w:val="center"/>
          </w:tcPr>
          <w:p w:rsidR="00543832" w:rsidRDefault="00984FB1">
            <w:pPr>
              <w:jc w:val="center"/>
            </w:pPr>
            <w:r>
              <w:rPr>
                <w:color w:val="000000"/>
                <w:sz w:val="24"/>
                <w:szCs w:val="24"/>
              </w:rPr>
              <w:t>113587</w:t>
            </w:r>
          </w:p>
        </w:tc>
        <w:tc>
          <w:tcPr>
            <w:tcW w:w="1769" w:type="dxa"/>
            <w:vAlign w:val="center"/>
          </w:tcPr>
          <w:p w:rsidR="00543832" w:rsidRDefault="00984FB1">
            <w:pPr>
              <w:jc w:val="center"/>
            </w:pPr>
            <w:r>
              <w:rPr>
                <w:color w:val="000000"/>
                <w:sz w:val="24"/>
                <w:szCs w:val="24"/>
              </w:rPr>
              <w:t>泛微转债</w:t>
            </w:r>
          </w:p>
        </w:tc>
        <w:tc>
          <w:tcPr>
            <w:tcW w:w="1387" w:type="dxa"/>
            <w:vAlign w:val="center"/>
          </w:tcPr>
          <w:p w:rsidR="00543832" w:rsidRDefault="00984FB1">
            <w:pPr>
              <w:jc w:val="right"/>
            </w:pPr>
            <w:r>
              <w:rPr>
                <w:color w:val="000000"/>
                <w:sz w:val="24"/>
                <w:szCs w:val="24"/>
              </w:rPr>
              <w:t>11,150</w:t>
            </w:r>
          </w:p>
        </w:tc>
        <w:tc>
          <w:tcPr>
            <w:tcW w:w="2150" w:type="dxa"/>
            <w:vAlign w:val="center"/>
          </w:tcPr>
          <w:p w:rsidR="00543832" w:rsidRDefault="00984FB1">
            <w:pPr>
              <w:jc w:val="right"/>
            </w:pPr>
            <w:r>
              <w:rPr>
                <w:color w:val="000000"/>
                <w:sz w:val="24"/>
                <w:szCs w:val="24"/>
              </w:rPr>
              <w:t>1,115,000.00</w:t>
            </w:r>
          </w:p>
        </w:tc>
        <w:tc>
          <w:tcPr>
            <w:tcW w:w="1237" w:type="dxa"/>
            <w:vAlign w:val="center"/>
          </w:tcPr>
          <w:p w:rsidR="00543832" w:rsidRDefault="00984FB1">
            <w:pPr>
              <w:jc w:val="right"/>
            </w:pPr>
            <w:r>
              <w:rPr>
                <w:color w:val="000000"/>
                <w:sz w:val="24"/>
                <w:szCs w:val="24"/>
              </w:rPr>
              <w:t>0.02</w:t>
            </w:r>
          </w:p>
        </w:tc>
      </w:tr>
      <w:tr w:rsidR="00543832">
        <w:trPr>
          <w:jc w:val="center"/>
        </w:trPr>
        <w:tc>
          <w:tcPr>
            <w:tcW w:w="850" w:type="dxa"/>
            <w:vAlign w:val="center"/>
          </w:tcPr>
          <w:p w:rsidR="00543832" w:rsidRDefault="00984FB1">
            <w:pPr>
              <w:jc w:val="center"/>
            </w:pPr>
            <w:r>
              <w:rPr>
                <w:color w:val="000000"/>
                <w:sz w:val="24"/>
                <w:szCs w:val="24"/>
              </w:rPr>
              <w:t>5</w:t>
            </w:r>
          </w:p>
        </w:tc>
        <w:tc>
          <w:tcPr>
            <w:tcW w:w="1475" w:type="dxa"/>
            <w:vAlign w:val="center"/>
          </w:tcPr>
          <w:p w:rsidR="00543832" w:rsidRDefault="00984FB1">
            <w:pPr>
              <w:jc w:val="center"/>
            </w:pPr>
            <w:r>
              <w:rPr>
                <w:color w:val="000000"/>
                <w:sz w:val="24"/>
                <w:szCs w:val="24"/>
              </w:rPr>
              <w:t>128102</w:t>
            </w:r>
          </w:p>
        </w:tc>
        <w:tc>
          <w:tcPr>
            <w:tcW w:w="1769" w:type="dxa"/>
            <w:vAlign w:val="center"/>
          </w:tcPr>
          <w:p w:rsidR="00543832" w:rsidRDefault="00984FB1">
            <w:pPr>
              <w:jc w:val="center"/>
            </w:pPr>
            <w:r>
              <w:rPr>
                <w:color w:val="000000"/>
                <w:sz w:val="24"/>
                <w:szCs w:val="24"/>
              </w:rPr>
              <w:t>海大转债</w:t>
            </w:r>
          </w:p>
        </w:tc>
        <w:tc>
          <w:tcPr>
            <w:tcW w:w="1387" w:type="dxa"/>
            <w:vAlign w:val="center"/>
          </w:tcPr>
          <w:p w:rsidR="00543832" w:rsidRDefault="00984FB1">
            <w:pPr>
              <w:jc w:val="right"/>
            </w:pPr>
            <w:r>
              <w:rPr>
                <w:color w:val="000000"/>
                <w:sz w:val="24"/>
                <w:szCs w:val="24"/>
              </w:rPr>
              <w:t>4,932</w:t>
            </w:r>
          </w:p>
        </w:tc>
        <w:tc>
          <w:tcPr>
            <w:tcW w:w="2150" w:type="dxa"/>
            <w:vAlign w:val="center"/>
          </w:tcPr>
          <w:p w:rsidR="00543832" w:rsidRDefault="00984FB1">
            <w:pPr>
              <w:jc w:val="right"/>
            </w:pPr>
            <w:r>
              <w:rPr>
                <w:color w:val="000000"/>
                <w:sz w:val="24"/>
                <w:szCs w:val="24"/>
              </w:rPr>
              <w:t>699,061.68</w:t>
            </w:r>
          </w:p>
        </w:tc>
        <w:tc>
          <w:tcPr>
            <w:tcW w:w="1237" w:type="dxa"/>
            <w:vAlign w:val="center"/>
          </w:tcPr>
          <w:p w:rsidR="00543832" w:rsidRDefault="00984FB1">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814,497.77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2,679,467.44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85,048,567.15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88,542,532.36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43832">
        <w:trPr>
          <w:jc w:val="center"/>
        </w:trPr>
        <w:tc>
          <w:tcPr>
            <w:tcW w:w="1129" w:type="dxa"/>
            <w:vAlign w:val="center"/>
          </w:tcPr>
          <w:p w:rsidR="00543832" w:rsidRDefault="00984FB1">
            <w:pPr>
              <w:jc w:val="center"/>
            </w:pPr>
            <w:r>
              <w:rPr>
                <w:color w:val="000000"/>
                <w:sz w:val="24"/>
                <w:szCs w:val="24"/>
              </w:rPr>
              <w:t>1</w:t>
            </w:r>
          </w:p>
        </w:tc>
        <w:tc>
          <w:tcPr>
            <w:tcW w:w="1356" w:type="dxa"/>
            <w:vAlign w:val="center"/>
          </w:tcPr>
          <w:p w:rsidR="00543832" w:rsidRDefault="00984FB1">
            <w:pPr>
              <w:jc w:val="center"/>
            </w:pPr>
            <w:r>
              <w:rPr>
                <w:color w:val="000000"/>
                <w:sz w:val="24"/>
                <w:szCs w:val="24"/>
              </w:rPr>
              <w:t>002841</w:t>
            </w:r>
          </w:p>
        </w:tc>
        <w:tc>
          <w:tcPr>
            <w:tcW w:w="1355" w:type="dxa"/>
            <w:vAlign w:val="center"/>
          </w:tcPr>
          <w:p w:rsidR="00543832" w:rsidRDefault="00984FB1">
            <w:pPr>
              <w:jc w:val="center"/>
            </w:pPr>
            <w:r>
              <w:rPr>
                <w:color w:val="000000"/>
                <w:sz w:val="24"/>
                <w:szCs w:val="24"/>
              </w:rPr>
              <w:t>视源股份</w:t>
            </w:r>
          </w:p>
        </w:tc>
        <w:tc>
          <w:tcPr>
            <w:tcW w:w="1880" w:type="dxa"/>
            <w:vAlign w:val="center"/>
          </w:tcPr>
          <w:p w:rsidR="00543832" w:rsidRDefault="00984FB1">
            <w:pPr>
              <w:jc w:val="right"/>
            </w:pPr>
            <w:r>
              <w:rPr>
                <w:color w:val="000000"/>
                <w:sz w:val="24"/>
                <w:szCs w:val="24"/>
              </w:rPr>
              <w:t>79,277,000.00</w:t>
            </w:r>
          </w:p>
        </w:tc>
        <w:tc>
          <w:tcPr>
            <w:tcW w:w="1724" w:type="dxa"/>
            <w:vAlign w:val="center"/>
          </w:tcPr>
          <w:p w:rsidR="00543832" w:rsidRDefault="00984FB1">
            <w:pPr>
              <w:jc w:val="right"/>
            </w:pPr>
            <w:r>
              <w:rPr>
                <w:color w:val="000000"/>
                <w:sz w:val="24"/>
                <w:szCs w:val="24"/>
              </w:rPr>
              <w:t>1.65</w:t>
            </w:r>
          </w:p>
        </w:tc>
        <w:tc>
          <w:tcPr>
            <w:tcW w:w="1424" w:type="dxa"/>
            <w:vAlign w:val="center"/>
          </w:tcPr>
          <w:p w:rsidR="00543832" w:rsidRDefault="00984FB1">
            <w:pPr>
              <w:jc w:val="right"/>
            </w:pPr>
            <w:r>
              <w:rPr>
                <w:color w:val="000000"/>
                <w:sz w:val="24"/>
                <w:szCs w:val="24"/>
              </w:rPr>
              <w:t>限售股</w:t>
            </w:r>
          </w:p>
        </w:tc>
      </w:tr>
      <w:tr w:rsidR="00543832">
        <w:trPr>
          <w:jc w:val="center"/>
        </w:trPr>
        <w:tc>
          <w:tcPr>
            <w:tcW w:w="1129" w:type="dxa"/>
            <w:vAlign w:val="center"/>
          </w:tcPr>
          <w:p w:rsidR="00543832" w:rsidRDefault="00984FB1">
            <w:pPr>
              <w:jc w:val="center"/>
            </w:pPr>
            <w:r>
              <w:rPr>
                <w:color w:val="000000"/>
                <w:sz w:val="24"/>
                <w:szCs w:val="24"/>
              </w:rPr>
              <w:t>2</w:t>
            </w:r>
          </w:p>
        </w:tc>
        <w:tc>
          <w:tcPr>
            <w:tcW w:w="1356" w:type="dxa"/>
            <w:vAlign w:val="center"/>
          </w:tcPr>
          <w:p w:rsidR="00543832" w:rsidRDefault="00984FB1">
            <w:pPr>
              <w:jc w:val="center"/>
            </w:pPr>
            <w:r>
              <w:rPr>
                <w:color w:val="000000"/>
                <w:sz w:val="24"/>
                <w:szCs w:val="24"/>
              </w:rPr>
              <w:t>002555</w:t>
            </w:r>
          </w:p>
        </w:tc>
        <w:tc>
          <w:tcPr>
            <w:tcW w:w="1355" w:type="dxa"/>
            <w:vAlign w:val="center"/>
          </w:tcPr>
          <w:p w:rsidR="00543832" w:rsidRDefault="00984FB1">
            <w:pPr>
              <w:jc w:val="center"/>
            </w:pPr>
            <w:r>
              <w:rPr>
                <w:color w:val="000000"/>
                <w:sz w:val="24"/>
                <w:szCs w:val="24"/>
              </w:rPr>
              <w:t>三七互娱</w:t>
            </w:r>
          </w:p>
        </w:tc>
        <w:tc>
          <w:tcPr>
            <w:tcW w:w="1880" w:type="dxa"/>
            <w:vAlign w:val="center"/>
          </w:tcPr>
          <w:p w:rsidR="00543832" w:rsidRDefault="00984FB1">
            <w:pPr>
              <w:jc w:val="right"/>
            </w:pPr>
            <w:r>
              <w:rPr>
                <w:color w:val="000000"/>
                <w:sz w:val="24"/>
                <w:szCs w:val="24"/>
              </w:rPr>
              <w:t>21,775,000.00</w:t>
            </w:r>
          </w:p>
        </w:tc>
        <w:tc>
          <w:tcPr>
            <w:tcW w:w="1724" w:type="dxa"/>
            <w:vAlign w:val="center"/>
          </w:tcPr>
          <w:p w:rsidR="00543832" w:rsidRDefault="00984FB1">
            <w:pPr>
              <w:jc w:val="right"/>
            </w:pPr>
            <w:r>
              <w:rPr>
                <w:color w:val="000000"/>
                <w:sz w:val="24"/>
                <w:szCs w:val="24"/>
              </w:rPr>
              <w:t>0.45</w:t>
            </w:r>
          </w:p>
        </w:tc>
        <w:tc>
          <w:tcPr>
            <w:tcW w:w="1424" w:type="dxa"/>
            <w:vAlign w:val="center"/>
          </w:tcPr>
          <w:p w:rsidR="00543832" w:rsidRDefault="00984FB1">
            <w:pPr>
              <w:jc w:val="right"/>
            </w:pPr>
            <w:r>
              <w:rPr>
                <w:color w:val="000000"/>
                <w:sz w:val="24"/>
                <w:szCs w:val="24"/>
              </w:rPr>
              <w:t>限售股</w:t>
            </w:r>
          </w:p>
        </w:tc>
      </w:tr>
      <w:tr w:rsidR="00543832">
        <w:trPr>
          <w:jc w:val="center"/>
        </w:trPr>
        <w:tc>
          <w:tcPr>
            <w:tcW w:w="1129" w:type="dxa"/>
            <w:vAlign w:val="center"/>
          </w:tcPr>
          <w:p w:rsidR="00543832" w:rsidRDefault="00984FB1">
            <w:pPr>
              <w:jc w:val="center"/>
            </w:pPr>
            <w:r>
              <w:rPr>
                <w:color w:val="000000"/>
                <w:sz w:val="24"/>
                <w:szCs w:val="24"/>
              </w:rPr>
              <w:t>3</w:t>
            </w:r>
          </w:p>
        </w:tc>
        <w:tc>
          <w:tcPr>
            <w:tcW w:w="1356" w:type="dxa"/>
            <w:vAlign w:val="center"/>
          </w:tcPr>
          <w:p w:rsidR="00543832" w:rsidRDefault="00984FB1">
            <w:pPr>
              <w:jc w:val="center"/>
            </w:pPr>
            <w:r>
              <w:rPr>
                <w:color w:val="000000"/>
                <w:sz w:val="24"/>
                <w:szCs w:val="24"/>
              </w:rPr>
              <w:t>002352</w:t>
            </w:r>
          </w:p>
        </w:tc>
        <w:tc>
          <w:tcPr>
            <w:tcW w:w="1355" w:type="dxa"/>
            <w:vAlign w:val="center"/>
          </w:tcPr>
          <w:p w:rsidR="00543832" w:rsidRDefault="00984FB1">
            <w:pPr>
              <w:jc w:val="center"/>
            </w:pPr>
            <w:r>
              <w:rPr>
                <w:color w:val="000000"/>
                <w:sz w:val="24"/>
                <w:szCs w:val="24"/>
              </w:rPr>
              <w:t>顺丰控股</w:t>
            </w:r>
          </w:p>
        </w:tc>
        <w:tc>
          <w:tcPr>
            <w:tcW w:w="1880" w:type="dxa"/>
            <w:vAlign w:val="center"/>
          </w:tcPr>
          <w:p w:rsidR="00543832" w:rsidRDefault="00984FB1">
            <w:pPr>
              <w:jc w:val="right"/>
            </w:pPr>
            <w:r>
              <w:rPr>
                <w:color w:val="000000"/>
                <w:sz w:val="24"/>
                <w:szCs w:val="24"/>
              </w:rPr>
              <w:t>8,049,000.00</w:t>
            </w:r>
          </w:p>
        </w:tc>
        <w:tc>
          <w:tcPr>
            <w:tcW w:w="1724" w:type="dxa"/>
            <w:vAlign w:val="center"/>
          </w:tcPr>
          <w:p w:rsidR="00543832" w:rsidRDefault="00984FB1">
            <w:pPr>
              <w:jc w:val="right"/>
            </w:pPr>
            <w:r>
              <w:rPr>
                <w:color w:val="000000"/>
                <w:sz w:val="24"/>
                <w:szCs w:val="24"/>
              </w:rPr>
              <w:t>0.17</w:t>
            </w:r>
          </w:p>
        </w:tc>
        <w:tc>
          <w:tcPr>
            <w:tcW w:w="1424" w:type="dxa"/>
            <w:vAlign w:val="center"/>
          </w:tcPr>
          <w:p w:rsidR="00543832" w:rsidRDefault="00984FB1">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818,728,255.58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430,618,523.90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223,860,570.18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1,025,486,209.30</w:t>
            </w:r>
          </w:p>
        </w:tc>
      </w:tr>
    </w:tbl>
    <w:p w:rsidR="00543832" w:rsidRDefault="00984FB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3832" w:rsidRDefault="00984FB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3832" w:rsidRDefault="00984FB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3832" w:rsidRDefault="00984FB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984FB1">
      <w:rPr>
        <w:noProof/>
        <w:kern w:val="0"/>
        <w:szCs w:val="21"/>
      </w:rPr>
      <w:t>12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984FB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交银施罗德定期支付双</w:t>
    </w:r>
    <w:proofErr w:type="gramStart"/>
    <w:r w:rsidRPr="003E676C">
      <w:rPr>
        <w:sz w:val="24"/>
        <w:szCs w:val="24"/>
      </w:rPr>
      <w:t>息平衡</w:t>
    </w:r>
    <w:proofErr w:type="gramEnd"/>
    <w:r w:rsidRPr="003E676C">
      <w:rPr>
        <w:sz w:val="24"/>
        <w:szCs w:val="24"/>
      </w:rPr>
      <w:t>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3832"/>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4FB1"/>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BF0E1D"/>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9218E-6FF6-4FAC-B018-B3D69D6E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12</Pages>
  <Words>1084</Words>
  <Characters>6181</Characters>
  <Application>Microsoft Office Word</Application>
  <DocSecurity>0</DocSecurity>
  <Lines>51</Lines>
  <Paragraphs>14</Paragraphs>
  <ScaleCrop>false</ScaleCrop>
  <Company/>
  <LinksUpToDate>false</LinksUpToDate>
  <CharactersWithSpaces>7251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biz-cailiqun</cp:lastModifiedBy>
  <cp:revision>602</cp:revision>
  <dcterms:created xsi:type="dcterms:W3CDTF">2012-10-16T06:07:00Z</dcterms:created>
  <dcterms:modified xsi:type="dcterms:W3CDTF">2020-07-10T11:58:00Z</dcterms:modified>
</cp:coreProperties>
</file>