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2015年5月15日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799,073,069.29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交银新回报灵活配置混合A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交银新回报灵活配置混合C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519752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519760</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788,254,332.03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10,818,737.26</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交银新回报灵活配置混合A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交银新回报灵活配置混合C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13,065,514.29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697,115.93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13,867,574.74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852,630.83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0.0190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0.0706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1,021,674,012.91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48,533,494.36</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1.296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4.486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交银新回报灵活配置混合A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1.73%</w:t>
            </w:r>
          </w:p>
        </w:tc>
        <w:tc>
          <w:tcPr>
            <w:vAlign w:val="center"/>
          </w:tcPr>
          <w:p>
            <w:pPr>
              <w:jc w:val="center"/>
            </w:pPr>
            <w:r>
              <w:rPr>
                <w:color w:val="000000"/>
                <w:sz w:val="24"/>
              </w:rPr>
              <w:t>0.10%</w:t>
            </w:r>
          </w:p>
        </w:tc>
        <w:tc>
          <w:tcPr>
            <w:vAlign w:val="center"/>
          </w:tcPr>
          <w:p>
            <w:pPr>
              <w:jc w:val="center"/>
            </w:pPr>
            <w:r>
              <w:rPr>
                <w:color w:val="000000"/>
                <w:sz w:val="24"/>
              </w:rPr>
              <w:t>5.80%</w:t>
            </w:r>
          </w:p>
        </w:tc>
        <w:tc>
          <w:tcPr>
            <w:vAlign w:val="center"/>
          </w:tcPr>
          <w:p>
            <w:pPr>
              <w:jc w:val="center"/>
            </w:pPr>
            <w:r>
              <w:rPr>
                <w:color w:val="000000"/>
                <w:sz w:val="24"/>
              </w:rPr>
              <w:t>0.45%</w:t>
            </w:r>
          </w:p>
        </w:tc>
        <w:tc>
          <w:tcPr>
            <w:vAlign w:val="center"/>
          </w:tcPr>
          <w:p>
            <w:pPr>
              <w:jc w:val="center"/>
            </w:pPr>
            <w:r>
              <w:rPr>
                <w:color w:val="000000"/>
                <w:sz w:val="24"/>
              </w:rPr>
              <w:t>-4.07%</w:t>
            </w:r>
          </w:p>
        </w:tc>
        <w:tc>
          <w:tcPr>
            <w:vAlign w:val="center"/>
          </w:tcPr>
          <w:p>
            <w:pPr>
              <w:jc w:val="center"/>
            </w:pPr>
            <w:r>
              <w:rPr>
                <w:color w:val="000000"/>
                <w:sz w:val="24"/>
              </w:rPr>
              <w:t>-0.35%</w:t>
            </w:r>
          </w:p>
        </w:tc>
      </w:tr>
      <w:tr>
        <w:tc>
          <w:tcPr>
            <w:vAlign w:val="center"/>
          </w:tcPr>
          <w:p>
            <w:pPr>
              <w:jc w:val="left"/>
            </w:pPr>
            <w:r>
              <w:rPr>
                <w:color w:val="000000"/>
                <w:sz w:val="24"/>
              </w:rPr>
              <w:t>过去六个月</w:t>
            </w:r>
          </w:p>
        </w:tc>
        <w:tc>
          <w:tcPr>
            <w:vAlign w:val="center"/>
          </w:tcPr>
          <w:p>
            <w:pPr>
              <w:jc w:val="center"/>
            </w:pPr>
            <w:r>
              <w:rPr>
                <w:color w:val="000000"/>
                <w:sz w:val="24"/>
              </w:rPr>
              <w:t>3.02%</w:t>
            </w:r>
          </w:p>
        </w:tc>
        <w:tc>
          <w:tcPr>
            <w:vAlign w:val="center"/>
          </w:tcPr>
          <w:p>
            <w:pPr>
              <w:jc w:val="center"/>
            </w:pPr>
            <w:r>
              <w:rPr>
                <w:color w:val="000000"/>
                <w:sz w:val="24"/>
              </w:rPr>
              <w:t>0.18%</w:t>
            </w:r>
          </w:p>
        </w:tc>
        <w:tc>
          <w:tcPr>
            <w:vAlign w:val="center"/>
          </w:tcPr>
          <w:p>
            <w:pPr>
              <w:jc w:val="center"/>
            </w:pPr>
            <w:r>
              <w:rPr>
                <w:color w:val="000000"/>
                <w:sz w:val="24"/>
              </w:rPr>
              <w:t>1.59%</w:t>
            </w:r>
          </w:p>
        </w:tc>
        <w:tc>
          <w:tcPr>
            <w:vAlign w:val="center"/>
          </w:tcPr>
          <w:p>
            <w:pPr>
              <w:jc w:val="center"/>
            </w:pPr>
            <w:r>
              <w:rPr>
                <w:color w:val="000000"/>
                <w:sz w:val="24"/>
              </w:rPr>
              <w:t>0.74%</w:t>
            </w:r>
          </w:p>
        </w:tc>
        <w:tc>
          <w:tcPr>
            <w:vAlign w:val="center"/>
          </w:tcPr>
          <w:p>
            <w:pPr>
              <w:jc w:val="center"/>
            </w:pPr>
            <w:r>
              <w:rPr>
                <w:color w:val="000000"/>
                <w:sz w:val="24"/>
              </w:rPr>
              <w:t>1.43%</w:t>
            </w:r>
          </w:p>
        </w:tc>
        <w:tc>
          <w:tcPr>
            <w:vAlign w:val="center"/>
          </w:tcPr>
          <w:p>
            <w:pPr>
              <w:jc w:val="center"/>
            </w:pPr>
            <w:r>
              <w:rPr>
                <w:color w:val="000000"/>
                <w:sz w:val="24"/>
              </w:rPr>
              <w:t>-0.56%</w:t>
            </w:r>
          </w:p>
        </w:tc>
      </w:tr>
      <w:tr>
        <w:tc>
          <w:tcPr>
            <w:vAlign w:val="center"/>
          </w:tcPr>
          <w:p>
            <w:pPr>
              <w:jc w:val="left"/>
            </w:pPr>
            <w:r>
              <w:rPr>
                <w:color w:val="000000"/>
                <w:sz w:val="24"/>
              </w:rPr>
              <w:t>过去一年</w:t>
            </w:r>
          </w:p>
        </w:tc>
        <w:tc>
          <w:tcPr>
            <w:vAlign w:val="center"/>
          </w:tcPr>
          <w:p>
            <w:pPr>
              <w:jc w:val="center"/>
            </w:pPr>
            <w:r>
              <w:rPr>
                <w:color w:val="000000"/>
                <w:sz w:val="24"/>
              </w:rPr>
              <w:t>8.91%</w:t>
            </w:r>
          </w:p>
        </w:tc>
        <w:tc>
          <w:tcPr>
            <w:vAlign w:val="center"/>
          </w:tcPr>
          <w:p>
            <w:pPr>
              <w:jc w:val="center"/>
            </w:pPr>
            <w:r>
              <w:rPr>
                <w:color w:val="000000"/>
                <w:sz w:val="24"/>
              </w:rPr>
              <w:t>0.17%</w:t>
            </w:r>
          </w:p>
        </w:tc>
        <w:tc>
          <w:tcPr>
            <w:vAlign w:val="center"/>
          </w:tcPr>
          <w:p>
            <w:pPr>
              <w:jc w:val="center"/>
            </w:pPr>
            <w:r>
              <w:rPr>
                <w:color w:val="000000"/>
                <w:sz w:val="24"/>
              </w:rPr>
              <w:t>5.81%</w:t>
            </w:r>
          </w:p>
        </w:tc>
        <w:tc>
          <w:tcPr>
            <w:vAlign w:val="center"/>
          </w:tcPr>
          <w:p>
            <w:pPr>
              <w:jc w:val="center"/>
            </w:pPr>
            <w:r>
              <w:rPr>
                <w:color w:val="000000"/>
                <w:sz w:val="24"/>
              </w:rPr>
              <w:t>0.60%</w:t>
            </w:r>
          </w:p>
        </w:tc>
        <w:tc>
          <w:tcPr>
            <w:vAlign w:val="center"/>
          </w:tcPr>
          <w:p>
            <w:pPr>
              <w:jc w:val="center"/>
            </w:pPr>
            <w:r>
              <w:rPr>
                <w:color w:val="000000"/>
                <w:sz w:val="24"/>
              </w:rPr>
              <w:t>3.10%</w:t>
            </w:r>
          </w:p>
        </w:tc>
        <w:tc>
          <w:tcPr>
            <w:vAlign w:val="center"/>
          </w:tcPr>
          <w:p>
            <w:pPr>
              <w:jc w:val="center"/>
            </w:pPr>
            <w:r>
              <w:rPr>
                <w:color w:val="000000"/>
                <w:sz w:val="24"/>
              </w:rPr>
              <w:t>-0.43%</w:t>
            </w:r>
          </w:p>
        </w:tc>
      </w:tr>
      <w:tr>
        <w:tc>
          <w:tcPr>
            <w:vAlign w:val="center"/>
          </w:tcPr>
          <w:p>
            <w:pPr>
              <w:jc w:val="left"/>
            </w:pPr>
            <w:r>
              <w:rPr>
                <w:color w:val="000000"/>
                <w:sz w:val="24"/>
              </w:rPr>
              <w:t>过去三年</w:t>
            </w:r>
          </w:p>
        </w:tc>
        <w:tc>
          <w:tcPr>
            <w:vAlign w:val="center"/>
          </w:tcPr>
          <w:p>
            <w:pPr>
              <w:jc w:val="center"/>
            </w:pPr>
            <w:r>
              <w:rPr>
                <w:color w:val="000000"/>
                <w:sz w:val="24"/>
              </w:rPr>
              <w:t>19.89%</w:t>
            </w:r>
          </w:p>
        </w:tc>
        <w:tc>
          <w:tcPr>
            <w:vAlign w:val="center"/>
          </w:tcPr>
          <w:p>
            <w:pPr>
              <w:jc w:val="center"/>
            </w:pPr>
            <w:r>
              <w:rPr>
                <w:color w:val="000000"/>
                <w:sz w:val="24"/>
              </w:rPr>
              <w:t>0.18%</w:t>
            </w:r>
          </w:p>
        </w:tc>
        <w:tc>
          <w:tcPr>
            <w:vAlign w:val="center"/>
          </w:tcPr>
          <w:p>
            <w:pPr>
              <w:jc w:val="center"/>
            </w:pPr>
            <w:r>
              <w:rPr>
                <w:color w:val="000000"/>
                <w:sz w:val="24"/>
              </w:rPr>
              <w:t>11.17%</w:t>
            </w:r>
          </w:p>
        </w:tc>
        <w:tc>
          <w:tcPr>
            <w:vAlign w:val="center"/>
          </w:tcPr>
          <w:p>
            <w:pPr>
              <w:jc w:val="center"/>
            </w:pPr>
            <w:r>
              <w:rPr>
                <w:color w:val="000000"/>
                <w:sz w:val="24"/>
              </w:rPr>
              <w:t>0.62%</w:t>
            </w:r>
          </w:p>
        </w:tc>
        <w:tc>
          <w:tcPr>
            <w:vAlign w:val="center"/>
          </w:tcPr>
          <w:p>
            <w:pPr>
              <w:jc w:val="center"/>
            </w:pPr>
            <w:r>
              <w:rPr>
                <w:color w:val="000000"/>
                <w:sz w:val="24"/>
              </w:rPr>
              <w:t>8.72%</w:t>
            </w:r>
          </w:p>
        </w:tc>
        <w:tc>
          <w:tcPr>
            <w:vAlign w:val="center"/>
          </w:tcPr>
          <w:p>
            <w:pPr>
              <w:jc w:val="center"/>
            </w:pPr>
            <w:r>
              <w:rPr>
                <w:color w:val="000000"/>
                <w:sz w:val="24"/>
              </w:rPr>
              <w:t>-0.44%</w:t>
            </w:r>
          </w:p>
        </w:tc>
      </w:tr>
      <w:tr>
        <w:tc>
          <w:tcPr>
            <w:vAlign w:val="center"/>
          </w:tcPr>
          <w:p>
            <w:pPr>
              <w:jc w:val="left"/>
            </w:pPr>
            <w:r>
              <w:rPr>
                <w:color w:val="000000"/>
                <w:sz w:val="24"/>
              </w:rPr>
              <w:t>过去五年</w:t>
            </w:r>
          </w:p>
        </w:tc>
        <w:tc>
          <w:tcPr>
            <w:vAlign w:val="center"/>
          </w:tcPr>
          <w:p>
            <w:pPr>
              <w:jc w:val="center"/>
            </w:pPr>
            <w:r>
              <w:rPr>
                <w:color w:val="000000"/>
                <w:sz w:val="24"/>
              </w:rPr>
              <w:t>30.67%</w:t>
            </w:r>
          </w:p>
        </w:tc>
        <w:tc>
          <w:tcPr>
            <w:vAlign w:val="center"/>
          </w:tcPr>
          <w:p>
            <w:pPr>
              <w:jc w:val="center"/>
            </w:pPr>
            <w:r>
              <w:rPr>
                <w:color w:val="000000"/>
                <w:sz w:val="24"/>
              </w:rPr>
              <w:t>0.16%</w:t>
            </w:r>
          </w:p>
        </w:tc>
        <w:tc>
          <w:tcPr>
            <w:vAlign w:val="center"/>
          </w:tcPr>
          <w:p>
            <w:pPr>
              <w:jc w:val="center"/>
            </w:pPr>
            <w:r>
              <w:rPr>
                <w:color w:val="000000"/>
                <w:sz w:val="24"/>
              </w:rPr>
              <w:t>2.03%</w:t>
            </w:r>
          </w:p>
        </w:tc>
        <w:tc>
          <w:tcPr>
            <w:vAlign w:val="center"/>
          </w:tcPr>
          <w:p>
            <w:pPr>
              <w:jc w:val="center"/>
            </w:pPr>
            <w:r>
              <w:rPr>
                <w:color w:val="000000"/>
                <w:sz w:val="24"/>
              </w:rPr>
              <w:t>0.72%</w:t>
            </w:r>
          </w:p>
        </w:tc>
        <w:tc>
          <w:tcPr>
            <w:vAlign w:val="center"/>
          </w:tcPr>
          <w:p>
            <w:pPr>
              <w:jc w:val="center"/>
            </w:pPr>
            <w:r>
              <w:rPr>
                <w:color w:val="000000"/>
                <w:sz w:val="24"/>
              </w:rPr>
              <w:t>28.64%</w:t>
            </w:r>
          </w:p>
        </w:tc>
        <w:tc>
          <w:tcPr>
            <w:vAlign w:val="center"/>
          </w:tcPr>
          <w:p>
            <w:pPr>
              <w:jc w:val="center"/>
            </w:pPr>
            <w:r>
              <w:rPr>
                <w:color w:val="000000"/>
                <w:sz w:val="24"/>
              </w:rPr>
              <w:t>-0.56%</w:t>
            </w:r>
          </w:p>
        </w:tc>
      </w:tr>
      <w:tr>
        <w:tc>
          <w:tcPr>
            <w:vAlign w:val="center"/>
          </w:tcPr>
          <w:p>
            <w:pPr>
              <w:jc w:val="left"/>
            </w:pPr>
            <w:r>
              <w:rPr>
                <w:color w:val="000000"/>
                <w:sz w:val="24"/>
              </w:rPr>
              <w:t>自基金合同生效起至今</w:t>
            </w:r>
          </w:p>
        </w:tc>
        <w:tc>
          <w:tcPr>
            <w:vAlign w:val="center"/>
          </w:tcPr>
          <w:p>
            <w:pPr>
              <w:jc w:val="center"/>
            </w:pPr>
            <w:r>
              <w:rPr>
                <w:color w:val="000000"/>
                <w:sz w:val="24"/>
              </w:rPr>
              <w:t>32.11%</w:t>
            </w:r>
          </w:p>
        </w:tc>
        <w:tc>
          <w:tcPr>
            <w:vAlign w:val="center"/>
          </w:tcPr>
          <w:p>
            <w:pPr>
              <w:jc w:val="center"/>
            </w:pPr>
            <w:r>
              <w:rPr>
                <w:color w:val="000000"/>
                <w:sz w:val="24"/>
              </w:rPr>
              <w:t>0.15%</w:t>
            </w:r>
          </w:p>
        </w:tc>
        <w:tc>
          <w:tcPr>
            <w:vAlign w:val="center"/>
          </w:tcPr>
          <w:p>
            <w:pPr>
              <w:jc w:val="center"/>
            </w:pPr>
            <w:r>
              <w:rPr>
                <w:color w:val="000000"/>
                <w:sz w:val="24"/>
              </w:rPr>
              <w:t>-0.27%</w:t>
            </w:r>
          </w:p>
        </w:tc>
        <w:tc>
          <w:tcPr>
            <w:vAlign w:val="center"/>
          </w:tcPr>
          <w:p>
            <w:pPr>
              <w:jc w:val="center"/>
            </w:pPr>
            <w:r>
              <w:rPr>
                <w:color w:val="000000"/>
                <w:sz w:val="24"/>
              </w:rPr>
              <w:t>0.76%</w:t>
            </w:r>
          </w:p>
        </w:tc>
        <w:tc>
          <w:tcPr>
            <w:vAlign w:val="center"/>
          </w:tcPr>
          <w:p>
            <w:pPr>
              <w:jc w:val="center"/>
            </w:pPr>
            <w:r>
              <w:rPr>
                <w:color w:val="000000"/>
                <w:sz w:val="24"/>
              </w:rPr>
              <w:t>32.38%</w:t>
            </w:r>
          </w:p>
        </w:tc>
        <w:tc>
          <w:tcPr>
            <w:vAlign w:val="center"/>
          </w:tcPr>
          <w:p>
            <w:pPr>
              <w:jc w:val="center"/>
            </w:pPr>
            <w:r>
              <w:rPr>
                <w:color w:val="000000"/>
                <w:sz w:val="24"/>
              </w:rPr>
              <w:t>-0.61%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交银新回报灵活配置混合C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1.68%</w:t>
            </w:r>
          </w:p>
        </w:tc>
        <w:tc>
          <w:tcPr>
            <w:vAlign w:val="center"/>
          </w:tcPr>
          <w:p>
            <w:pPr>
              <w:jc w:val="center"/>
            </w:pPr>
            <w:r>
              <w:rPr>
                <w:color w:val="000000"/>
                <w:sz w:val="24"/>
              </w:rPr>
              <w:t>0.10%</w:t>
            </w:r>
          </w:p>
        </w:tc>
        <w:tc>
          <w:tcPr>
            <w:vAlign w:val="center"/>
          </w:tcPr>
          <w:p>
            <w:pPr>
              <w:jc w:val="center"/>
            </w:pPr>
            <w:r>
              <w:rPr>
                <w:color w:val="000000"/>
                <w:sz w:val="24"/>
              </w:rPr>
              <w:t>5.80%</w:t>
            </w:r>
          </w:p>
        </w:tc>
        <w:tc>
          <w:tcPr>
            <w:vAlign w:val="center"/>
          </w:tcPr>
          <w:p>
            <w:pPr>
              <w:jc w:val="center"/>
            </w:pPr>
            <w:r>
              <w:rPr>
                <w:color w:val="000000"/>
                <w:sz w:val="24"/>
              </w:rPr>
              <w:t>0.45%</w:t>
            </w:r>
          </w:p>
        </w:tc>
        <w:tc>
          <w:tcPr>
            <w:vAlign w:val="center"/>
          </w:tcPr>
          <w:p>
            <w:pPr>
              <w:jc w:val="center"/>
            </w:pPr>
            <w:r>
              <w:rPr>
                <w:color w:val="000000"/>
                <w:sz w:val="24"/>
              </w:rPr>
              <w:t>-4.12%</w:t>
            </w:r>
          </w:p>
        </w:tc>
        <w:tc>
          <w:tcPr>
            <w:vAlign w:val="center"/>
          </w:tcPr>
          <w:p>
            <w:pPr>
              <w:jc w:val="center"/>
            </w:pPr>
            <w:r>
              <w:rPr>
                <w:color w:val="000000"/>
                <w:sz w:val="24"/>
              </w:rPr>
              <w:t>-0.35%</w:t>
            </w:r>
          </w:p>
        </w:tc>
      </w:tr>
      <w:tr>
        <w:tc>
          <w:tcPr>
            <w:vAlign w:val="center"/>
          </w:tcPr>
          <w:p>
            <w:pPr>
              <w:jc w:val="left"/>
            </w:pPr>
            <w:r>
              <w:rPr>
                <w:color w:val="000000"/>
                <w:sz w:val="24"/>
              </w:rPr>
              <w:t>过去六个月</w:t>
            </w:r>
          </w:p>
        </w:tc>
        <w:tc>
          <w:tcPr>
            <w:vAlign w:val="center"/>
          </w:tcPr>
          <w:p>
            <w:pPr>
              <w:jc w:val="center"/>
            </w:pPr>
            <w:r>
              <w:rPr>
                <w:color w:val="000000"/>
                <w:sz w:val="24"/>
              </w:rPr>
              <w:t>2.98%</w:t>
            </w:r>
          </w:p>
        </w:tc>
        <w:tc>
          <w:tcPr>
            <w:vAlign w:val="center"/>
          </w:tcPr>
          <w:p>
            <w:pPr>
              <w:jc w:val="center"/>
            </w:pPr>
            <w:r>
              <w:rPr>
                <w:color w:val="000000"/>
                <w:sz w:val="24"/>
              </w:rPr>
              <w:t>0.17%</w:t>
            </w:r>
          </w:p>
        </w:tc>
        <w:tc>
          <w:tcPr>
            <w:vAlign w:val="center"/>
          </w:tcPr>
          <w:p>
            <w:pPr>
              <w:jc w:val="center"/>
            </w:pPr>
            <w:r>
              <w:rPr>
                <w:color w:val="000000"/>
                <w:sz w:val="24"/>
              </w:rPr>
              <w:t>1.59%</w:t>
            </w:r>
          </w:p>
        </w:tc>
        <w:tc>
          <w:tcPr>
            <w:vAlign w:val="center"/>
          </w:tcPr>
          <w:p>
            <w:pPr>
              <w:jc w:val="center"/>
            </w:pPr>
            <w:r>
              <w:rPr>
                <w:color w:val="000000"/>
                <w:sz w:val="24"/>
              </w:rPr>
              <w:t>0.74%</w:t>
            </w:r>
          </w:p>
        </w:tc>
        <w:tc>
          <w:tcPr>
            <w:vAlign w:val="center"/>
          </w:tcPr>
          <w:p>
            <w:pPr>
              <w:jc w:val="center"/>
            </w:pPr>
            <w:r>
              <w:rPr>
                <w:color w:val="000000"/>
                <w:sz w:val="24"/>
              </w:rPr>
              <w:t>1.39%</w:t>
            </w:r>
          </w:p>
        </w:tc>
        <w:tc>
          <w:tcPr>
            <w:vAlign w:val="center"/>
          </w:tcPr>
          <w:p>
            <w:pPr>
              <w:jc w:val="center"/>
            </w:pPr>
            <w:r>
              <w:rPr>
                <w:color w:val="000000"/>
                <w:sz w:val="24"/>
              </w:rPr>
              <w:t>-0.57%</w:t>
            </w:r>
          </w:p>
        </w:tc>
      </w:tr>
      <w:tr>
        <w:tc>
          <w:tcPr>
            <w:vAlign w:val="center"/>
          </w:tcPr>
          <w:p>
            <w:pPr>
              <w:jc w:val="left"/>
            </w:pPr>
            <w:r>
              <w:rPr>
                <w:color w:val="000000"/>
                <w:sz w:val="24"/>
              </w:rPr>
              <w:t>过去一年</w:t>
            </w:r>
          </w:p>
        </w:tc>
        <w:tc>
          <w:tcPr>
            <w:vAlign w:val="center"/>
          </w:tcPr>
          <w:p>
            <w:pPr>
              <w:jc w:val="center"/>
            </w:pPr>
            <w:r>
              <w:rPr>
                <w:color w:val="000000"/>
                <w:sz w:val="24"/>
              </w:rPr>
              <w:t>9.02%</w:t>
            </w:r>
          </w:p>
        </w:tc>
        <w:tc>
          <w:tcPr>
            <w:vAlign w:val="center"/>
          </w:tcPr>
          <w:p>
            <w:pPr>
              <w:jc w:val="center"/>
            </w:pPr>
            <w:r>
              <w:rPr>
                <w:color w:val="000000"/>
                <w:sz w:val="24"/>
              </w:rPr>
              <w:t>0.16%</w:t>
            </w:r>
          </w:p>
        </w:tc>
        <w:tc>
          <w:tcPr>
            <w:vAlign w:val="center"/>
          </w:tcPr>
          <w:p>
            <w:pPr>
              <w:jc w:val="center"/>
            </w:pPr>
            <w:r>
              <w:rPr>
                <w:color w:val="000000"/>
                <w:sz w:val="24"/>
              </w:rPr>
              <w:t>5.81%</w:t>
            </w:r>
          </w:p>
        </w:tc>
        <w:tc>
          <w:tcPr>
            <w:vAlign w:val="center"/>
          </w:tcPr>
          <w:p>
            <w:pPr>
              <w:jc w:val="center"/>
            </w:pPr>
            <w:r>
              <w:rPr>
                <w:color w:val="000000"/>
                <w:sz w:val="24"/>
              </w:rPr>
              <w:t>0.60%</w:t>
            </w:r>
          </w:p>
        </w:tc>
        <w:tc>
          <w:tcPr>
            <w:vAlign w:val="center"/>
          </w:tcPr>
          <w:p>
            <w:pPr>
              <w:jc w:val="center"/>
            </w:pPr>
            <w:r>
              <w:rPr>
                <w:color w:val="000000"/>
                <w:sz w:val="24"/>
              </w:rPr>
              <w:t>3.21%</w:t>
            </w:r>
          </w:p>
        </w:tc>
        <w:tc>
          <w:tcPr>
            <w:vAlign w:val="center"/>
          </w:tcPr>
          <w:p>
            <w:pPr>
              <w:jc w:val="center"/>
            </w:pPr>
            <w:r>
              <w:rPr>
                <w:color w:val="000000"/>
                <w:sz w:val="24"/>
              </w:rPr>
              <w:t>-0.44%</w:t>
            </w:r>
          </w:p>
        </w:tc>
      </w:tr>
      <w:tr>
        <w:tc>
          <w:tcPr>
            <w:vAlign w:val="center"/>
          </w:tcPr>
          <w:p>
            <w:pPr>
              <w:jc w:val="left"/>
            </w:pPr>
            <w:r>
              <w:rPr>
                <w:color w:val="000000"/>
                <w:sz w:val="24"/>
              </w:rPr>
              <w:t>过去三年</w:t>
            </w:r>
          </w:p>
        </w:tc>
        <w:tc>
          <w:tcPr>
            <w:vAlign w:val="center"/>
          </w:tcPr>
          <w:p>
            <w:pPr>
              <w:jc w:val="center"/>
            </w:pPr>
            <w:r>
              <w:rPr>
                <w:color w:val="000000"/>
                <w:sz w:val="24"/>
              </w:rPr>
              <w:t>323.61%</w:t>
            </w:r>
          </w:p>
        </w:tc>
        <w:tc>
          <w:tcPr>
            <w:vAlign w:val="center"/>
          </w:tcPr>
          <w:p>
            <w:pPr>
              <w:jc w:val="center"/>
            </w:pPr>
            <w:r>
              <w:rPr>
                <w:color w:val="000000"/>
                <w:sz w:val="24"/>
              </w:rPr>
              <w:t>9.18%</w:t>
            </w:r>
          </w:p>
        </w:tc>
        <w:tc>
          <w:tcPr>
            <w:vAlign w:val="center"/>
          </w:tcPr>
          <w:p>
            <w:pPr>
              <w:jc w:val="center"/>
            </w:pPr>
            <w:r>
              <w:rPr>
                <w:color w:val="000000"/>
                <w:sz w:val="24"/>
              </w:rPr>
              <w:t>11.17%</w:t>
            </w:r>
          </w:p>
        </w:tc>
        <w:tc>
          <w:tcPr>
            <w:vAlign w:val="center"/>
          </w:tcPr>
          <w:p>
            <w:pPr>
              <w:jc w:val="center"/>
            </w:pPr>
            <w:r>
              <w:rPr>
                <w:color w:val="000000"/>
                <w:sz w:val="24"/>
              </w:rPr>
              <w:t>0.62%</w:t>
            </w:r>
          </w:p>
        </w:tc>
        <w:tc>
          <w:tcPr>
            <w:vAlign w:val="center"/>
          </w:tcPr>
          <w:p>
            <w:pPr>
              <w:jc w:val="center"/>
            </w:pPr>
            <w:r>
              <w:rPr>
                <w:color w:val="000000"/>
                <w:sz w:val="24"/>
              </w:rPr>
              <w:t>312.44%</w:t>
            </w:r>
          </w:p>
        </w:tc>
        <w:tc>
          <w:tcPr>
            <w:vAlign w:val="center"/>
          </w:tcPr>
          <w:p>
            <w:pPr>
              <w:jc w:val="center"/>
            </w:pPr>
            <w:r>
              <w:rPr>
                <w:color w:val="000000"/>
                <w:sz w:val="24"/>
              </w:rPr>
              <w:t>8.56%</w:t>
            </w:r>
          </w:p>
        </w:tc>
      </w:tr>
      <w:tr>
        <w:tc>
          <w:tcPr>
            <w:vAlign w:val="center"/>
          </w:tcPr>
          <w:p>
            <w:pPr>
              <w:jc w:val="left"/>
            </w:pPr>
            <w:r>
              <w:rPr>
                <w:color w:val="000000"/>
                <w:sz w:val="24"/>
              </w:rPr>
              <w:t>自基金合同生效起至今</w:t>
            </w:r>
          </w:p>
        </w:tc>
        <w:tc>
          <w:tcPr>
            <w:vAlign w:val="center"/>
          </w:tcPr>
          <w:p>
            <w:pPr>
              <w:jc w:val="center"/>
            </w:pPr>
            <w:r>
              <w:rPr>
                <w:color w:val="000000"/>
                <w:sz w:val="24"/>
              </w:rPr>
              <w:t>348.88%</w:t>
            </w:r>
          </w:p>
        </w:tc>
        <w:tc>
          <w:tcPr>
            <w:vAlign w:val="center"/>
          </w:tcPr>
          <w:p>
            <w:pPr>
              <w:jc w:val="center"/>
            </w:pPr>
            <w:r>
              <w:rPr>
                <w:color w:val="000000"/>
                <w:sz w:val="24"/>
              </w:rPr>
              <w:t>7.41%</w:t>
            </w:r>
          </w:p>
        </w:tc>
        <w:tc>
          <w:tcPr>
            <w:vAlign w:val="center"/>
          </w:tcPr>
          <w:p>
            <w:pPr>
              <w:jc w:val="center"/>
            </w:pPr>
            <w:r>
              <w:rPr>
                <w:color w:val="000000"/>
                <w:sz w:val="24"/>
              </w:rPr>
              <w:t>9.14%</w:t>
            </w:r>
          </w:p>
        </w:tc>
        <w:tc>
          <w:tcPr>
            <w:vAlign w:val="center"/>
          </w:tcPr>
          <w:p>
            <w:pPr>
              <w:jc w:val="center"/>
            </w:pPr>
            <w:r>
              <w:rPr>
                <w:color w:val="000000"/>
                <w:sz w:val="24"/>
              </w:rPr>
              <w:t>0.62%</w:t>
            </w:r>
          </w:p>
        </w:tc>
        <w:tc>
          <w:tcPr>
            <w:vAlign w:val="center"/>
          </w:tcPr>
          <w:p>
            <w:pPr>
              <w:jc w:val="center"/>
            </w:pPr>
            <w:r>
              <w:rPr>
                <w:color w:val="000000"/>
                <w:sz w:val="24"/>
              </w:rPr>
              <w:t>339.74%</w:t>
            </w:r>
          </w:p>
        </w:tc>
        <w:tc>
          <w:tcPr>
            <w:vAlign w:val="center"/>
          </w:tcPr>
          <w:p>
            <w:pPr>
              <w:jc w:val="center"/>
            </w:pPr>
            <w:r>
              <w:rPr>
                <w:color w:val="000000"/>
                <w:sz w:val="24"/>
              </w:rPr>
              <w:t>6.79%</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交银施罗德新回报灵活配置混合型证券投资基金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2015年5月15日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注：图示日期为2015年5月15日至2020年6月30日。本基金建仓期为自基金合同生效日起的6个月。截至建仓期结束，本基金各项资产配置比例符合基金合同及招募说明书有关投资比例的约定。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交银新回报灵活配置混合C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注：本基金自2015年11月19日起，开始销售C类份额，投资者提交的申购申请于2015年11月20日被确认并将有效份额登记在册。图示日期为2015年11月20日至2020年6月30日。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初期走势仍然较为火热，但随着后期资金面利率水平上行、央行货币政策防空转及经济逐步复苏的影响，收益率呈现先下后上的V型走势。四月，因市场资金面仍然相对宽裕，国外新冠病情持续发酵，受悲观预期影响，债市仍在持续火热。但步入五月伊始，国内疫情逐步控制，经济逐步恢复企稳，央行开始关注资金空转的影响，引导资金利率水平上行，政策开始趋向精准投放以提高信用派生的针对性和有效性，债券收益率开始触底回升；进入六月，经济持续恢复，资金利率水平维持在高位，信用派生政策持续发力，债券利率持续上行后，逐步进入高位震荡状态。</w:t>
      </w:r>
    </w:p>
    <w:p>
      <w:pPr>
        <w:spacing w:before="29" w:line="288" w:lineRule="auto"/>
        <w:ind w:firstLine="480" w:firstLineChars="200"/>
        <w:rPr>
          <w:color w:val="000000"/>
          <w:sz w:val="24"/>
        </w:rPr>
      </w:pPr>
      <w:r>
        <w:rPr>
          <w:color w:val="000000"/>
          <w:sz w:val="24"/>
        </w:rPr>
        <w:t>二季度，权益市场走势较为良好，在经济逐步企稳恢复、全球流动性同时宽裕的背景下，主要指数表现趋势上涨的势头，特别是创业板指数更是持续上行并创出年内新高。在四月，市场逐步企稳恢复，消费医药和业绩较好的科技类个股表现突出，五月国内经济逐步恢复，经济托底相关政策也不断出台，市场出现进一步回暖，医药消费、消费电子龙头品种、新能源汽车产业链等品种均表现亮眼。步入六月之后，虽然国外疫情仍然持续，但各国主要股指均进一步回升，部分指数甚至接近大跌之前的位置。A股主要指数也大幅恢复，创业板指数更是创下年内新高。</w:t>
      </w:r>
    </w:p>
    <w:p>
      <w:pPr>
        <w:spacing w:before="29" w:line="288" w:lineRule="auto"/>
        <w:ind w:firstLine="480" w:firstLineChars="200"/>
        <w:rPr>
          <w:color w:val="000000"/>
          <w:sz w:val="24"/>
        </w:rPr>
      </w:pPr>
      <w:r>
        <w:rPr>
          <w:color w:val="000000"/>
          <w:sz w:val="24"/>
        </w:rPr>
        <w:t>在基金操作中，债券部分我们维持中短久期高等级信用债的底仓配置，以获取稳定的票息收益。权益方面，随着市场逐步回暖，在总体稳健的基础上，将持仓结构调整得更加平衡。此外，组合积极参与权益及转债的一级申购，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三季度，随着经济的逐步复苏，新冠疫情影响的逐步趋弱，债券预期将维持震荡的格局。目前来看，政策带来的经济复苏更多是出于对冲经济下滑幅度和就业维持稳定的良好状态，在不出现政策大幅度向投资转向的背景下，经济向上弹性较弱，债券收益率暂时看不到太大的上行空间。由于经济目前仍在复苏过程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161,071,183.05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13.13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161,071,183.05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13.13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1,032,008,862.20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84.14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1,032,008,862.20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84.14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12,852,780.49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20,605,275.20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1,226,538,100.94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2,843,280.00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0.27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74,310,849.20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6.94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12,766.32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8,721,834.40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0.81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3,779,202.00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0.35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10,478,211.53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0.98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6,763,998.87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0.63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36,572,608.73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3.42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12,366,460.00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1.16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5,221,972.00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161,071,183.05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15.05</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10,000</w:t>
            </w:r>
          </w:p>
        </w:tc>
        <w:tc>
          <w:tcPr>
            <w:vAlign w:val="center"/>
          </w:tcPr>
          <w:p>
            <w:pPr>
              <w:jc w:val="right"/>
            </w:pPr>
            <w:r>
              <w:rPr>
                <w:color w:val="000000"/>
                <w:sz w:val="24"/>
              </w:rPr>
              <w:t>14,628,800.00</w:t>
            </w:r>
          </w:p>
        </w:tc>
        <w:tc>
          <w:tcPr>
            <w:vAlign w:val="center"/>
          </w:tcPr>
          <w:p>
            <w:pPr>
              <w:jc w:val="right"/>
            </w:pPr>
            <w:r>
              <w:rPr>
                <w:color w:val="000000"/>
                <w:sz w:val="24"/>
              </w:rPr>
              <w:t>1.37</w:t>
            </w:r>
          </w:p>
        </w:tc>
      </w:tr>
      <w:tr>
        <w:tc>
          <w:tcPr>
            <w:vAlign w:val="center"/>
          </w:tcPr>
          <w:p>
            <w:pPr>
              <w:jc w:val="center"/>
            </w:pPr>
            <w:r>
              <w:rPr>
                <w:color w:val="000000"/>
                <w:sz w:val="24"/>
              </w:rPr>
              <w:t>2</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2,304,100</w:t>
            </w:r>
          </w:p>
        </w:tc>
        <w:tc>
          <w:tcPr>
            <w:vAlign w:val="center"/>
          </w:tcPr>
          <w:p>
            <w:pPr>
              <w:jc w:val="right"/>
            </w:pPr>
            <w:r>
              <w:rPr>
                <w:color w:val="000000"/>
                <w:sz w:val="24"/>
              </w:rPr>
              <w:t>11,474,418.00</w:t>
            </w:r>
          </w:p>
        </w:tc>
        <w:tc>
          <w:tcPr>
            <w:vAlign w:val="center"/>
          </w:tcPr>
          <w:p>
            <w:pPr>
              <w:jc w:val="right"/>
            </w:pPr>
            <w:r>
              <w:rPr>
                <w:color w:val="000000"/>
                <w:sz w:val="24"/>
              </w:rPr>
              <w:t>1.07</w:t>
            </w:r>
          </w:p>
        </w:tc>
      </w:tr>
      <w:tr>
        <w:tc>
          <w:tcPr>
            <w:vAlign w:val="center"/>
          </w:tcPr>
          <w:p>
            <w:pPr>
              <w:jc w:val="center"/>
            </w:pPr>
            <w:r>
              <w:rPr>
                <w:color w:val="000000"/>
                <w:sz w:val="24"/>
              </w:rPr>
              <w:t>3</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295,000</w:t>
            </w:r>
          </w:p>
        </w:tc>
        <w:tc>
          <w:tcPr>
            <w:vAlign w:val="center"/>
          </w:tcPr>
          <w:p>
            <w:pPr>
              <w:jc w:val="right"/>
            </w:pPr>
            <w:r>
              <w:rPr>
                <w:color w:val="000000"/>
                <w:sz w:val="24"/>
              </w:rPr>
              <w:t>8,026,950.00</w:t>
            </w:r>
          </w:p>
        </w:tc>
        <w:tc>
          <w:tcPr>
            <w:vAlign w:val="center"/>
          </w:tcPr>
          <w:p>
            <w:pPr>
              <w:jc w:val="right"/>
            </w:pPr>
            <w:r>
              <w:rPr>
                <w:color w:val="000000"/>
                <w:sz w:val="24"/>
              </w:rPr>
              <w:t>0.75</w:t>
            </w:r>
          </w:p>
        </w:tc>
      </w:tr>
      <w:tr>
        <w:tc>
          <w:tcPr>
            <w:vAlign w:val="center"/>
          </w:tcPr>
          <w:p>
            <w:pPr>
              <w:jc w:val="center"/>
            </w:pPr>
            <w:r>
              <w:rPr>
                <w:color w:val="000000"/>
                <w:sz w:val="24"/>
              </w:rPr>
              <w:t>4</w:t>
            </w:r>
          </w:p>
        </w:tc>
        <w:tc>
          <w:tcPr>
            <w:vAlign w:val="center"/>
          </w:tcPr>
          <w:p>
            <w:pPr>
              <w:jc w:val="center"/>
            </w:pPr>
            <w:r>
              <w:rPr>
                <w:color w:val="000000"/>
                <w:sz w:val="24"/>
              </w:rPr>
              <w:t>001965</w:t>
            </w:r>
          </w:p>
        </w:tc>
        <w:tc>
          <w:tcPr>
            <w:vAlign w:val="center"/>
          </w:tcPr>
          <w:p>
            <w:pPr>
              <w:jc w:val="center"/>
            </w:pPr>
            <w:r>
              <w:rPr>
                <w:color w:val="000000"/>
                <w:sz w:val="24"/>
              </w:rPr>
              <w:t>招商公路</w:t>
            </w:r>
          </w:p>
        </w:tc>
        <w:tc>
          <w:tcPr>
            <w:vAlign w:val="center"/>
          </w:tcPr>
          <w:p>
            <w:pPr>
              <w:jc w:val="right"/>
            </w:pPr>
            <w:r>
              <w:rPr>
                <w:color w:val="000000"/>
                <w:sz w:val="24"/>
              </w:rPr>
              <w:t>1,141,389</w:t>
            </w:r>
          </w:p>
        </w:tc>
        <w:tc>
          <w:tcPr>
            <w:vAlign w:val="center"/>
          </w:tcPr>
          <w:p>
            <w:pPr>
              <w:jc w:val="right"/>
            </w:pPr>
            <w:r>
              <w:rPr>
                <w:color w:val="000000"/>
                <w:sz w:val="24"/>
              </w:rPr>
              <w:t>7,681,547.97</w:t>
            </w:r>
          </w:p>
        </w:tc>
        <w:tc>
          <w:tcPr>
            <w:vAlign w:val="center"/>
          </w:tcPr>
          <w:p>
            <w:pPr>
              <w:jc w:val="right"/>
            </w:pPr>
            <w:r>
              <w:rPr>
                <w:color w:val="000000"/>
                <w:sz w:val="24"/>
              </w:rPr>
              <w:t>0.72</w:t>
            </w:r>
          </w:p>
        </w:tc>
      </w:tr>
      <w:tr>
        <w:tc>
          <w:tcPr>
            <w:vAlign w:val="center"/>
          </w:tcPr>
          <w:p>
            <w:pPr>
              <w:jc w:val="center"/>
            </w:pPr>
            <w:r>
              <w:rPr>
                <w:color w:val="000000"/>
                <w:sz w:val="24"/>
              </w:rPr>
              <w:t>5</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139,487</w:t>
            </w:r>
          </w:p>
        </w:tc>
        <w:tc>
          <w:tcPr>
            <w:vAlign w:val="center"/>
          </w:tcPr>
          <w:p>
            <w:pPr>
              <w:jc w:val="right"/>
            </w:pPr>
            <w:r>
              <w:rPr>
                <w:color w:val="000000"/>
                <w:sz w:val="24"/>
              </w:rPr>
              <w:t>7,162,657.45</w:t>
            </w:r>
          </w:p>
        </w:tc>
        <w:tc>
          <w:tcPr>
            <w:vAlign w:val="center"/>
          </w:tcPr>
          <w:p>
            <w:pPr>
              <w:jc w:val="right"/>
            </w:pPr>
            <w:r>
              <w:rPr>
                <w:color w:val="000000"/>
                <w:sz w:val="24"/>
              </w:rPr>
              <w:t>0.67</w:t>
            </w:r>
          </w:p>
        </w:tc>
      </w:tr>
      <w:tr>
        <w:tc>
          <w:tcPr>
            <w:vAlign w:val="center"/>
          </w:tcPr>
          <w:p>
            <w:pPr>
              <w:jc w:val="center"/>
            </w:pPr>
            <w:r>
              <w:rPr>
                <w:color w:val="000000"/>
                <w:sz w:val="24"/>
              </w:rPr>
              <w:t>6</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472,900</w:t>
            </w:r>
          </w:p>
        </w:tc>
        <w:tc>
          <w:tcPr>
            <w:vAlign w:val="center"/>
          </w:tcPr>
          <w:p>
            <w:pPr>
              <w:jc w:val="right"/>
            </w:pPr>
            <w:r>
              <w:rPr>
                <w:color w:val="000000"/>
                <w:sz w:val="24"/>
              </w:rPr>
              <w:t>6,989,462.00</w:t>
            </w:r>
          </w:p>
        </w:tc>
        <w:tc>
          <w:tcPr>
            <w:vAlign w:val="center"/>
          </w:tcPr>
          <w:p>
            <w:pPr>
              <w:jc w:val="right"/>
            </w:pPr>
            <w:r>
              <w:rPr>
                <w:color w:val="000000"/>
                <w:sz w:val="24"/>
              </w:rPr>
              <w:t>0.65</w:t>
            </w:r>
          </w:p>
        </w:tc>
      </w:tr>
      <w:tr>
        <w:tc>
          <w:tcPr>
            <w:vAlign w:val="center"/>
          </w:tcPr>
          <w:p>
            <w:pPr>
              <w:jc w:val="center"/>
            </w:pPr>
            <w:r>
              <w:rPr>
                <w:color w:val="000000"/>
                <w:sz w:val="24"/>
              </w:rPr>
              <w:t>7</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2,000,000</w:t>
            </w:r>
          </w:p>
        </w:tc>
        <w:tc>
          <w:tcPr>
            <w:vAlign w:val="center"/>
          </w:tcPr>
          <w:p>
            <w:pPr>
              <w:jc w:val="right"/>
            </w:pPr>
            <w:r>
              <w:rPr>
                <w:color w:val="000000"/>
                <w:sz w:val="24"/>
              </w:rPr>
              <w:t>6,760,000.00</w:t>
            </w:r>
          </w:p>
        </w:tc>
        <w:tc>
          <w:tcPr>
            <w:vAlign w:val="center"/>
          </w:tcPr>
          <w:p>
            <w:pPr>
              <w:jc w:val="right"/>
            </w:pPr>
            <w:r>
              <w:rPr>
                <w:color w:val="000000"/>
                <w:sz w:val="24"/>
              </w:rPr>
              <w:t>0.63</w:t>
            </w:r>
          </w:p>
        </w:tc>
      </w:tr>
      <w:tr>
        <w:tc>
          <w:tcPr>
            <w:vAlign w:val="center"/>
          </w:tcPr>
          <w:p>
            <w:pPr>
              <w:jc w:val="center"/>
            </w:pPr>
            <w:r>
              <w:rPr>
                <w:color w:val="000000"/>
                <w:sz w:val="24"/>
              </w:rPr>
              <w:t>8</w:t>
            </w:r>
          </w:p>
        </w:tc>
        <w:tc>
          <w:tcPr>
            <w:vAlign w:val="center"/>
          </w:tcPr>
          <w:p>
            <w:pPr>
              <w:jc w:val="center"/>
            </w:pPr>
            <w:r>
              <w:rPr>
                <w:color w:val="000000"/>
                <w:sz w:val="24"/>
              </w:rPr>
              <w:t>300059</w:t>
            </w:r>
          </w:p>
        </w:tc>
        <w:tc>
          <w:tcPr>
            <w:vAlign w:val="center"/>
          </w:tcPr>
          <w:p>
            <w:pPr>
              <w:jc w:val="center"/>
            </w:pPr>
            <w:r>
              <w:rPr>
                <w:color w:val="000000"/>
                <w:sz w:val="24"/>
              </w:rPr>
              <w:t>东方财富</w:t>
            </w:r>
          </w:p>
        </w:tc>
        <w:tc>
          <w:tcPr>
            <w:vAlign w:val="center"/>
          </w:tcPr>
          <w:p>
            <w:pPr>
              <w:jc w:val="right"/>
            </w:pPr>
            <w:r>
              <w:rPr>
                <w:color w:val="000000"/>
                <w:sz w:val="24"/>
              </w:rPr>
              <w:t>325,300</w:t>
            </w:r>
          </w:p>
        </w:tc>
        <w:tc>
          <w:tcPr>
            <w:vAlign w:val="center"/>
          </w:tcPr>
          <w:p>
            <w:pPr>
              <w:jc w:val="right"/>
            </w:pPr>
            <w:r>
              <w:rPr>
                <w:color w:val="000000"/>
                <w:sz w:val="24"/>
              </w:rPr>
              <w:t>6,571,060.00</w:t>
            </w:r>
          </w:p>
        </w:tc>
        <w:tc>
          <w:tcPr>
            <w:vAlign w:val="center"/>
          </w:tcPr>
          <w:p>
            <w:pPr>
              <w:jc w:val="right"/>
            </w:pPr>
            <w:r>
              <w:rPr>
                <w:color w:val="000000"/>
                <w:sz w:val="24"/>
              </w:rPr>
              <w:t>0.61</w:t>
            </w:r>
          </w:p>
        </w:tc>
      </w:tr>
      <w:tr>
        <w:tc>
          <w:tcPr>
            <w:vAlign w:val="center"/>
          </w:tcPr>
          <w:p>
            <w:pPr>
              <w:jc w:val="center"/>
            </w:pPr>
            <w:r>
              <w:rPr>
                <w:color w:val="000000"/>
                <w:sz w:val="24"/>
              </w:rPr>
              <w:t>9</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200,000</w:t>
            </w:r>
          </w:p>
        </w:tc>
        <w:tc>
          <w:tcPr>
            <w:vAlign w:val="center"/>
          </w:tcPr>
          <w:p>
            <w:pPr>
              <w:jc w:val="right"/>
            </w:pPr>
            <w:r>
              <w:rPr>
                <w:color w:val="000000"/>
                <w:sz w:val="24"/>
              </w:rPr>
              <w:t>6,226,000.00</w:t>
            </w:r>
          </w:p>
        </w:tc>
        <w:tc>
          <w:tcPr>
            <w:vAlign w:val="center"/>
          </w:tcPr>
          <w:p>
            <w:pPr>
              <w:jc w:val="right"/>
            </w:pPr>
            <w:r>
              <w:rPr>
                <w:color w:val="000000"/>
                <w:sz w:val="24"/>
              </w:rPr>
              <w:t>0.58</w:t>
            </w:r>
          </w:p>
        </w:tc>
      </w:tr>
      <w:tr>
        <w:tc>
          <w:tcPr>
            <w:vAlign w:val="center"/>
          </w:tcPr>
          <w:p>
            <w:pPr>
              <w:jc w:val="center"/>
            </w:pPr>
            <w:r>
              <w:rPr>
                <w:color w:val="000000"/>
                <w:sz w:val="24"/>
              </w:rPr>
              <w:t>10</w:t>
            </w:r>
          </w:p>
        </w:tc>
        <w:tc>
          <w:tcPr>
            <w:vAlign w:val="center"/>
          </w:tcPr>
          <w:p>
            <w:pPr>
              <w:jc w:val="center"/>
            </w:pPr>
            <w:r>
              <w:rPr>
                <w:color w:val="000000"/>
                <w:sz w:val="24"/>
              </w:rPr>
              <w:t>002179</w:t>
            </w:r>
          </w:p>
        </w:tc>
        <w:tc>
          <w:tcPr>
            <w:vAlign w:val="center"/>
          </w:tcPr>
          <w:p>
            <w:pPr>
              <w:jc w:val="center"/>
            </w:pPr>
            <w:r>
              <w:rPr>
                <w:color w:val="000000"/>
                <w:sz w:val="24"/>
              </w:rPr>
              <w:t>中航光电</w:t>
            </w:r>
          </w:p>
        </w:tc>
        <w:tc>
          <w:tcPr>
            <w:vAlign w:val="center"/>
          </w:tcPr>
          <w:p>
            <w:pPr>
              <w:jc w:val="right"/>
            </w:pPr>
            <w:r>
              <w:rPr>
                <w:color w:val="000000"/>
                <w:sz w:val="24"/>
              </w:rPr>
              <w:t>149,684</w:t>
            </w:r>
          </w:p>
        </w:tc>
        <w:tc>
          <w:tcPr>
            <w:vAlign w:val="center"/>
          </w:tcPr>
          <w:p>
            <w:pPr>
              <w:jc w:val="right"/>
            </w:pPr>
            <w:r>
              <w:rPr>
                <w:color w:val="000000"/>
                <w:sz w:val="24"/>
              </w:rPr>
              <w:t>6,138,540.84</w:t>
            </w:r>
          </w:p>
        </w:tc>
        <w:tc>
          <w:tcPr>
            <w:vAlign w:val="center"/>
          </w:tcPr>
          <w:p>
            <w:pPr>
              <w:jc w:val="right"/>
            </w:pPr>
            <w:r>
              <w:rPr>
                <w:color w:val="000000"/>
                <w:sz w:val="24"/>
              </w:rPr>
              <w:t>0.57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5,308,653.00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0.50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52,932,209.20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4.95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52,932,209.20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4.95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243,295,000.00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22.73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60,156,000.00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5.62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670,317,000.00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62.63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1,032,008,862.20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96.43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101901087</w:t>
            </w:r>
          </w:p>
        </w:tc>
        <w:tc>
          <w:tcPr>
            <w:vAlign w:val="center"/>
          </w:tcPr>
          <w:p>
            <w:pPr>
              <w:jc w:val="center"/>
            </w:pPr>
            <w:r>
              <w:rPr>
                <w:color w:val="000000"/>
                <w:sz w:val="24"/>
              </w:rPr>
              <w:t>19陕延油MTN010</w:t>
            </w:r>
          </w:p>
        </w:tc>
        <w:tc>
          <w:tcPr>
            <w:vAlign w:val="center"/>
          </w:tcPr>
          <w:p>
            <w:pPr>
              <w:jc w:val="right"/>
            </w:pPr>
            <w:r>
              <w:rPr>
                <w:color w:val="000000"/>
                <w:sz w:val="24"/>
              </w:rPr>
              <w:t>700,000</w:t>
            </w:r>
          </w:p>
        </w:tc>
        <w:tc>
          <w:tcPr>
            <w:vAlign w:val="center"/>
          </w:tcPr>
          <w:p>
            <w:pPr>
              <w:jc w:val="right"/>
            </w:pPr>
            <w:r>
              <w:rPr>
                <w:color w:val="000000"/>
                <w:sz w:val="24"/>
              </w:rPr>
              <w:t>71,001,000.00</w:t>
            </w:r>
          </w:p>
        </w:tc>
        <w:tc>
          <w:tcPr>
            <w:vAlign w:val="center"/>
          </w:tcPr>
          <w:p>
            <w:pPr>
              <w:jc w:val="right"/>
            </w:pPr>
            <w:r>
              <w:rPr>
                <w:color w:val="000000"/>
                <w:sz w:val="24"/>
              </w:rPr>
              <w:t>6.63</w:t>
            </w:r>
          </w:p>
        </w:tc>
      </w:tr>
      <w:tr>
        <w:tc>
          <w:tcPr>
            <w:vAlign w:val="center"/>
          </w:tcPr>
          <w:p>
            <w:pPr>
              <w:jc w:val="center"/>
            </w:pPr>
            <w:r>
              <w:rPr>
                <w:color w:val="000000"/>
                <w:sz w:val="24"/>
              </w:rPr>
              <w:t>2</w:t>
            </w:r>
          </w:p>
        </w:tc>
        <w:tc>
          <w:tcPr>
            <w:vAlign w:val="center"/>
          </w:tcPr>
          <w:p>
            <w:pPr>
              <w:jc w:val="center"/>
            </w:pPr>
            <w:r>
              <w:rPr>
                <w:color w:val="000000"/>
                <w:sz w:val="24"/>
              </w:rPr>
              <w:t>101901410</w:t>
            </w:r>
          </w:p>
        </w:tc>
        <w:tc>
          <w:tcPr>
            <w:vAlign w:val="center"/>
          </w:tcPr>
          <w:p>
            <w:pPr>
              <w:jc w:val="center"/>
            </w:pPr>
            <w:r>
              <w:rPr>
                <w:color w:val="000000"/>
                <w:sz w:val="24"/>
              </w:rPr>
              <w:t>19光明MTN001</w:t>
            </w:r>
          </w:p>
        </w:tc>
        <w:tc>
          <w:tcPr>
            <w:vAlign w:val="center"/>
          </w:tcPr>
          <w:p>
            <w:pPr>
              <w:jc w:val="right"/>
            </w:pPr>
            <w:r>
              <w:rPr>
                <w:color w:val="000000"/>
                <w:sz w:val="24"/>
              </w:rPr>
              <w:t>400,000</w:t>
            </w:r>
          </w:p>
        </w:tc>
        <w:tc>
          <w:tcPr>
            <w:vAlign w:val="center"/>
          </w:tcPr>
          <w:p>
            <w:pPr>
              <w:jc w:val="right"/>
            </w:pPr>
            <w:r>
              <w:rPr>
                <w:color w:val="000000"/>
                <w:sz w:val="24"/>
              </w:rPr>
              <w:t>40,428,000.00</w:t>
            </w:r>
          </w:p>
        </w:tc>
        <w:tc>
          <w:tcPr>
            <w:vAlign w:val="center"/>
          </w:tcPr>
          <w:p>
            <w:pPr>
              <w:jc w:val="right"/>
            </w:pPr>
            <w:r>
              <w:rPr>
                <w:color w:val="000000"/>
                <w:sz w:val="24"/>
              </w:rPr>
              <w:t>3.78</w:t>
            </w:r>
          </w:p>
        </w:tc>
      </w:tr>
      <w:tr>
        <w:tc>
          <w:tcPr>
            <w:vAlign w:val="center"/>
          </w:tcPr>
          <w:p>
            <w:pPr>
              <w:jc w:val="center"/>
            </w:pPr>
            <w:r>
              <w:rPr>
                <w:color w:val="000000"/>
                <w:sz w:val="24"/>
              </w:rPr>
              <w:t>3</w:t>
            </w:r>
          </w:p>
        </w:tc>
        <w:tc>
          <w:tcPr>
            <w:vAlign w:val="center"/>
          </w:tcPr>
          <w:p>
            <w:pPr>
              <w:jc w:val="center"/>
            </w:pPr>
            <w:r>
              <w:rPr>
                <w:color w:val="000000"/>
                <w:sz w:val="24"/>
              </w:rPr>
              <w:t>101901449</w:t>
            </w:r>
          </w:p>
        </w:tc>
        <w:tc>
          <w:tcPr>
            <w:vAlign w:val="center"/>
          </w:tcPr>
          <w:p>
            <w:pPr>
              <w:jc w:val="center"/>
            </w:pPr>
            <w:r>
              <w:rPr>
                <w:color w:val="000000"/>
                <w:sz w:val="24"/>
              </w:rPr>
              <w:t>19汇金MTN017</w:t>
            </w:r>
          </w:p>
        </w:tc>
        <w:tc>
          <w:tcPr>
            <w:vAlign w:val="center"/>
          </w:tcPr>
          <w:p>
            <w:pPr>
              <w:jc w:val="right"/>
            </w:pPr>
            <w:r>
              <w:rPr>
                <w:color w:val="000000"/>
                <w:sz w:val="24"/>
              </w:rPr>
              <w:t>400,000</w:t>
            </w:r>
          </w:p>
        </w:tc>
        <w:tc>
          <w:tcPr>
            <w:vAlign w:val="center"/>
          </w:tcPr>
          <w:p>
            <w:pPr>
              <w:jc w:val="right"/>
            </w:pPr>
            <w:r>
              <w:rPr>
                <w:color w:val="000000"/>
                <w:sz w:val="24"/>
              </w:rPr>
              <w:t>40,392,000.00</w:t>
            </w:r>
          </w:p>
        </w:tc>
        <w:tc>
          <w:tcPr>
            <w:vAlign w:val="center"/>
          </w:tcPr>
          <w:p>
            <w:pPr>
              <w:jc w:val="right"/>
            </w:pPr>
            <w:r>
              <w:rPr>
                <w:color w:val="000000"/>
                <w:sz w:val="24"/>
              </w:rPr>
              <w:t>3.77</w:t>
            </w:r>
          </w:p>
        </w:tc>
      </w:tr>
      <w:tr>
        <w:tc>
          <w:tcPr>
            <w:vAlign w:val="center"/>
          </w:tcPr>
          <w:p>
            <w:pPr>
              <w:jc w:val="center"/>
            </w:pPr>
            <w:r>
              <w:rPr>
                <w:color w:val="000000"/>
                <w:sz w:val="24"/>
              </w:rPr>
              <w:t>4</w:t>
            </w:r>
          </w:p>
        </w:tc>
        <w:tc>
          <w:tcPr>
            <w:vAlign w:val="center"/>
          </w:tcPr>
          <w:p>
            <w:pPr>
              <w:jc w:val="center"/>
            </w:pPr>
            <w:r>
              <w:rPr>
                <w:color w:val="000000"/>
                <w:sz w:val="24"/>
              </w:rPr>
              <w:t>102000043</w:t>
            </w:r>
          </w:p>
        </w:tc>
        <w:tc>
          <w:tcPr>
            <w:vAlign w:val="center"/>
          </w:tcPr>
          <w:p>
            <w:pPr>
              <w:jc w:val="center"/>
            </w:pPr>
            <w:r>
              <w:rPr>
                <w:color w:val="000000"/>
                <w:sz w:val="24"/>
              </w:rPr>
              <w:t>20申迪MTN001</w:t>
            </w:r>
          </w:p>
        </w:tc>
        <w:tc>
          <w:tcPr>
            <w:vAlign w:val="center"/>
          </w:tcPr>
          <w:p>
            <w:pPr>
              <w:jc w:val="right"/>
            </w:pPr>
            <w:r>
              <w:rPr>
                <w:color w:val="000000"/>
                <w:sz w:val="24"/>
              </w:rPr>
              <w:t>400,000</w:t>
            </w:r>
          </w:p>
        </w:tc>
        <w:tc>
          <w:tcPr>
            <w:vAlign w:val="center"/>
          </w:tcPr>
          <w:p>
            <w:pPr>
              <w:jc w:val="right"/>
            </w:pPr>
            <w:r>
              <w:rPr>
                <w:color w:val="000000"/>
                <w:sz w:val="24"/>
              </w:rPr>
              <w:t>40,280,000.00</w:t>
            </w:r>
          </w:p>
        </w:tc>
        <w:tc>
          <w:tcPr>
            <w:vAlign w:val="center"/>
          </w:tcPr>
          <w:p>
            <w:pPr>
              <w:jc w:val="right"/>
            </w:pPr>
            <w:r>
              <w:rPr>
                <w:color w:val="000000"/>
                <w:sz w:val="24"/>
              </w:rPr>
              <w:t>3.76</w:t>
            </w:r>
          </w:p>
        </w:tc>
      </w:tr>
      <w:tr>
        <w:tc>
          <w:tcPr>
            <w:vAlign w:val="center"/>
          </w:tcPr>
          <w:p>
            <w:pPr>
              <w:jc w:val="center"/>
            </w:pPr>
            <w:r>
              <w:rPr>
                <w:color w:val="000000"/>
                <w:sz w:val="24"/>
              </w:rPr>
              <w:t>5</w:t>
            </w:r>
          </w:p>
        </w:tc>
        <w:tc>
          <w:tcPr>
            <w:vAlign w:val="center"/>
          </w:tcPr>
          <w:p>
            <w:pPr>
              <w:jc w:val="center"/>
            </w:pPr>
            <w:r>
              <w:rPr>
                <w:color w:val="000000"/>
                <w:sz w:val="24"/>
              </w:rPr>
              <w:t>101901369</w:t>
            </w:r>
          </w:p>
        </w:tc>
        <w:tc>
          <w:tcPr>
            <w:vAlign w:val="center"/>
          </w:tcPr>
          <w:p>
            <w:pPr>
              <w:jc w:val="center"/>
            </w:pPr>
            <w:r>
              <w:rPr>
                <w:color w:val="000000"/>
                <w:sz w:val="24"/>
              </w:rPr>
              <w:t>19金融街投MTN001</w:t>
            </w:r>
          </w:p>
        </w:tc>
        <w:tc>
          <w:tcPr>
            <w:vAlign w:val="center"/>
          </w:tcPr>
          <w:p>
            <w:pPr>
              <w:jc w:val="right"/>
            </w:pPr>
            <w:r>
              <w:rPr>
                <w:color w:val="000000"/>
                <w:sz w:val="24"/>
              </w:rPr>
              <w:t>300,000</w:t>
            </w:r>
          </w:p>
        </w:tc>
        <w:tc>
          <w:tcPr>
            <w:vAlign w:val="center"/>
          </w:tcPr>
          <w:p>
            <w:pPr>
              <w:jc w:val="right"/>
            </w:pPr>
            <w:r>
              <w:rPr>
                <w:color w:val="000000"/>
                <w:sz w:val="24"/>
              </w:rPr>
              <w:t>30,585,000.00</w:t>
            </w:r>
          </w:p>
        </w:tc>
        <w:tc>
          <w:tcPr>
            <w:vAlign w:val="center"/>
          </w:tcPr>
          <w:p>
            <w:pPr>
              <w:jc w:val="right"/>
            </w:pPr>
            <w:r>
              <w:rPr>
                <w:color w:val="000000"/>
                <w:sz w:val="24"/>
              </w:rPr>
              <w:t>2.86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29,620.50</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16,605,169.91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3,970,479.75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5.04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20,605,275.20</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交银新回报灵活配置混合A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交银新回报灵活配置混合C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584,907,673.56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11,970,249.86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328,303,389.47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2,638,368.16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124,956,731.00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3,789,880.76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788,254,332.03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10,818,737.26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144,229,807.69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24,229,807.69</w:t>
            </w:r>
          </w:p>
        </w:tc>
        <w:tc>
          <w:tcPr>
            <w:vAlign w:val="center"/>
          </w:tcPr>
          <w:p>
            <w:pPr>
              <w:jc w:val="center"/>
            </w:pPr>
            <w:r>
              <w:rPr>
                <w:rFonts w:ascii="宋体" w:hAnsi="宋体" w:hint="eastAsia"/>
                <w:color w:val="000000"/>
                <w:kern w:val="0"/>
                <w:szCs w:val="21"/>
              </w:rPr>
              <w:t>120,000,000.00</w:t>
            </w:r>
          </w:p>
        </w:tc>
        <w:tc>
          <w:tcPr>
            <w:vAlign w:val="center"/>
          </w:tcPr>
          <w:p>
            <w:pPr>
              <w:jc w:val="center"/>
            </w:pPr>
            <w:r>
              <w:rPr>
                <w:rFonts w:ascii="宋体" w:hAnsi="宋体" w:hint="eastAsia"/>
                <w:color w:val="000000"/>
                <w:kern w:val="0"/>
                <w:szCs w:val="21"/>
              </w:rPr>
              <w:t>15.02%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1、中国证监会准予交银施罗德新回报灵活配置混合型证券投资基金募集注册的文件；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2、《交银施罗德新回报灵活配置混合型证券投资基金基金合同》；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3、《交银施罗德新回报灵活配置混合型证券投资基金招募说明书》；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4、《交银施罗德新回报灵活配置混合型证券投资基金托管协议》；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7、关于申请募集注册交银施罗德新回报灵活配置混合型证券投资基金的法律意见书；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8、报告期内交银施罗德新回报灵活配置混合型证券投资基金在指定报刊上各项公告的原稿。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交银施罗德新回报灵活配置混合型证券投资基金2020年第2季度报告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