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w:t>
      </w:r>
      <w:proofErr w:type="gramStart"/>
      <w:r w:rsidRPr="0081286B">
        <w:rPr>
          <w:b/>
          <w:sz w:val="36"/>
          <w:szCs w:val="36"/>
        </w:rPr>
        <w:t>鑫</w:t>
      </w:r>
      <w:proofErr w:type="gramEnd"/>
      <w:r w:rsidRPr="0081286B">
        <w:rPr>
          <w:b/>
          <w:sz w:val="36"/>
          <w:szCs w:val="36"/>
        </w:rPr>
        <w:t>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061D6" w:rsidRDefault="004B0E5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t>本</w:t>
      </w:r>
      <w:r>
        <w:rPr>
          <w:color w:val="000000"/>
          <w:sz w:val="24"/>
          <w:szCs w:val="24"/>
        </w:rPr>
        <w:t>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w:t>
            </w:r>
            <w:proofErr w:type="gramStart"/>
            <w:r w:rsidRPr="00414345">
              <w:rPr>
                <w:color w:val="000000"/>
                <w:kern w:val="0"/>
                <w:sz w:val="24"/>
                <w:szCs w:val="24"/>
              </w:rPr>
              <w:t>鑫</w:t>
            </w:r>
            <w:proofErr w:type="gramEnd"/>
            <w:r w:rsidRPr="00414345">
              <w:rPr>
                <w:color w:val="000000"/>
                <w:kern w:val="0"/>
                <w:sz w:val="24"/>
                <w:szCs w:val="24"/>
              </w:rPr>
              <w:t>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300,312,677.12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w:t>
            </w:r>
            <w:proofErr w:type="gramStart"/>
            <w:r w:rsidRPr="00414345">
              <w:rPr>
                <w:color w:val="000000"/>
                <w:kern w:val="0"/>
                <w:sz w:val="24"/>
                <w:szCs w:val="24"/>
              </w:rPr>
              <w:t>债综合全价指数</w:t>
            </w:r>
            <w:proofErr w:type="gramEnd"/>
            <w:r w:rsidRPr="00414345">
              <w:rPr>
                <w:color w:val="000000"/>
                <w:kern w:val="0"/>
                <w:sz w:val="24"/>
                <w:szCs w:val="24"/>
              </w:rPr>
              <w:t>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A158D" w:rsidRPr="00414345" w:rsidTr="000A158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A158D" w:rsidRPr="00414345" w:rsidTr="000A158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9,485,960.49</w:t>
            </w:r>
          </w:p>
        </w:tc>
      </w:tr>
      <w:tr w:rsidR="000A158D" w:rsidRPr="00414345" w:rsidTr="000A158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11,663,203.40</w:t>
            </w:r>
          </w:p>
        </w:tc>
      </w:tr>
      <w:tr w:rsidR="000A158D" w:rsidRPr="00414345" w:rsidTr="000A158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0.0388</w:t>
            </w:r>
          </w:p>
        </w:tc>
      </w:tr>
      <w:tr w:rsidR="000A158D" w:rsidRPr="00414345" w:rsidTr="000A158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389,694,949.81</w:t>
            </w:r>
          </w:p>
        </w:tc>
      </w:tr>
      <w:tr w:rsidR="000A158D" w:rsidRPr="00414345" w:rsidTr="000A158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1.2976</w:t>
            </w:r>
          </w:p>
        </w:tc>
      </w:tr>
    </w:tbl>
    <w:p w:rsidR="004061D6" w:rsidRDefault="004B0E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061D6">
        <w:trPr>
          <w:jc w:val="center"/>
        </w:trPr>
        <w:tc>
          <w:tcPr>
            <w:tcW w:w="1701" w:type="dxa"/>
            <w:vAlign w:val="center"/>
          </w:tcPr>
          <w:p w:rsidR="004061D6" w:rsidRDefault="004B0E57">
            <w:pPr>
              <w:jc w:val="left"/>
            </w:pPr>
            <w:r>
              <w:rPr>
                <w:color w:val="000000"/>
                <w:sz w:val="24"/>
                <w:szCs w:val="24"/>
              </w:rPr>
              <w:t>过去三个月</w:t>
            </w:r>
          </w:p>
        </w:tc>
        <w:tc>
          <w:tcPr>
            <w:tcW w:w="1045" w:type="dxa"/>
            <w:vAlign w:val="center"/>
          </w:tcPr>
          <w:p w:rsidR="004061D6" w:rsidRDefault="004B0E57">
            <w:pPr>
              <w:jc w:val="center"/>
            </w:pPr>
            <w:r>
              <w:rPr>
                <w:color w:val="000000"/>
                <w:sz w:val="24"/>
                <w:szCs w:val="24"/>
              </w:rPr>
              <w:t>3.08%</w:t>
            </w:r>
          </w:p>
        </w:tc>
        <w:tc>
          <w:tcPr>
            <w:tcW w:w="1344" w:type="dxa"/>
            <w:vAlign w:val="center"/>
          </w:tcPr>
          <w:p w:rsidR="004061D6" w:rsidRDefault="004B0E57">
            <w:pPr>
              <w:jc w:val="center"/>
            </w:pPr>
            <w:r>
              <w:rPr>
                <w:color w:val="000000"/>
                <w:sz w:val="24"/>
                <w:szCs w:val="24"/>
              </w:rPr>
              <w:t>0.18%</w:t>
            </w:r>
          </w:p>
        </w:tc>
        <w:tc>
          <w:tcPr>
            <w:tcW w:w="1194" w:type="dxa"/>
            <w:vAlign w:val="center"/>
          </w:tcPr>
          <w:p w:rsidR="004061D6" w:rsidRDefault="004B0E57">
            <w:pPr>
              <w:jc w:val="center"/>
            </w:pPr>
            <w:r>
              <w:rPr>
                <w:color w:val="000000"/>
                <w:sz w:val="24"/>
                <w:szCs w:val="24"/>
              </w:rPr>
              <w:t>5.80%</w:t>
            </w:r>
          </w:p>
        </w:tc>
        <w:tc>
          <w:tcPr>
            <w:tcW w:w="1492" w:type="dxa"/>
            <w:vAlign w:val="center"/>
          </w:tcPr>
          <w:p w:rsidR="004061D6" w:rsidRDefault="004B0E57">
            <w:pPr>
              <w:jc w:val="center"/>
            </w:pPr>
            <w:r>
              <w:rPr>
                <w:color w:val="000000"/>
                <w:sz w:val="24"/>
                <w:szCs w:val="24"/>
              </w:rPr>
              <w:t>0.45%</w:t>
            </w:r>
          </w:p>
        </w:tc>
        <w:tc>
          <w:tcPr>
            <w:tcW w:w="1194" w:type="dxa"/>
            <w:vAlign w:val="center"/>
          </w:tcPr>
          <w:p w:rsidR="004061D6" w:rsidRDefault="004B0E57">
            <w:pPr>
              <w:jc w:val="center"/>
            </w:pPr>
            <w:r>
              <w:rPr>
                <w:color w:val="000000"/>
                <w:sz w:val="24"/>
                <w:szCs w:val="24"/>
              </w:rPr>
              <w:t>-2.72%</w:t>
            </w:r>
          </w:p>
        </w:tc>
        <w:tc>
          <w:tcPr>
            <w:tcW w:w="898" w:type="dxa"/>
            <w:vAlign w:val="center"/>
          </w:tcPr>
          <w:p w:rsidR="004061D6" w:rsidRDefault="004B0E57">
            <w:pPr>
              <w:jc w:val="center"/>
            </w:pPr>
            <w:r>
              <w:rPr>
                <w:color w:val="000000"/>
                <w:sz w:val="24"/>
                <w:szCs w:val="24"/>
              </w:rPr>
              <w:t>-0.27%</w:t>
            </w:r>
          </w:p>
        </w:tc>
      </w:tr>
      <w:tr w:rsidR="004061D6">
        <w:trPr>
          <w:jc w:val="center"/>
        </w:trPr>
        <w:tc>
          <w:tcPr>
            <w:tcW w:w="1701" w:type="dxa"/>
            <w:vAlign w:val="center"/>
          </w:tcPr>
          <w:p w:rsidR="004061D6" w:rsidRDefault="004B0E57">
            <w:pPr>
              <w:jc w:val="left"/>
            </w:pPr>
            <w:r>
              <w:rPr>
                <w:color w:val="000000"/>
                <w:sz w:val="24"/>
                <w:szCs w:val="24"/>
              </w:rPr>
              <w:t>过去六个月</w:t>
            </w:r>
          </w:p>
        </w:tc>
        <w:tc>
          <w:tcPr>
            <w:tcW w:w="1045" w:type="dxa"/>
            <w:vAlign w:val="center"/>
          </w:tcPr>
          <w:p w:rsidR="004061D6" w:rsidRDefault="004B0E57">
            <w:pPr>
              <w:jc w:val="center"/>
            </w:pPr>
            <w:r>
              <w:rPr>
                <w:color w:val="000000"/>
                <w:sz w:val="24"/>
                <w:szCs w:val="24"/>
              </w:rPr>
              <w:t>3.83%</w:t>
            </w:r>
          </w:p>
        </w:tc>
        <w:tc>
          <w:tcPr>
            <w:tcW w:w="1344" w:type="dxa"/>
            <w:vAlign w:val="center"/>
          </w:tcPr>
          <w:p w:rsidR="004061D6" w:rsidRDefault="004B0E57">
            <w:pPr>
              <w:jc w:val="center"/>
            </w:pPr>
            <w:r>
              <w:rPr>
                <w:color w:val="000000"/>
                <w:sz w:val="24"/>
                <w:szCs w:val="24"/>
              </w:rPr>
              <w:t>0.31%</w:t>
            </w:r>
          </w:p>
        </w:tc>
        <w:tc>
          <w:tcPr>
            <w:tcW w:w="1194" w:type="dxa"/>
            <w:vAlign w:val="center"/>
          </w:tcPr>
          <w:p w:rsidR="004061D6" w:rsidRDefault="004B0E57">
            <w:pPr>
              <w:jc w:val="center"/>
            </w:pPr>
            <w:r>
              <w:rPr>
                <w:color w:val="000000"/>
                <w:sz w:val="24"/>
                <w:szCs w:val="24"/>
              </w:rPr>
              <w:t>1.59%</w:t>
            </w:r>
          </w:p>
        </w:tc>
        <w:tc>
          <w:tcPr>
            <w:tcW w:w="1492" w:type="dxa"/>
            <w:vAlign w:val="center"/>
          </w:tcPr>
          <w:p w:rsidR="004061D6" w:rsidRDefault="004B0E57">
            <w:pPr>
              <w:jc w:val="center"/>
            </w:pPr>
            <w:r>
              <w:rPr>
                <w:color w:val="000000"/>
                <w:sz w:val="24"/>
                <w:szCs w:val="24"/>
              </w:rPr>
              <w:t>0.74%</w:t>
            </w:r>
          </w:p>
        </w:tc>
        <w:tc>
          <w:tcPr>
            <w:tcW w:w="1194" w:type="dxa"/>
            <w:vAlign w:val="center"/>
          </w:tcPr>
          <w:p w:rsidR="004061D6" w:rsidRDefault="004B0E57">
            <w:pPr>
              <w:jc w:val="center"/>
            </w:pPr>
            <w:r>
              <w:rPr>
                <w:color w:val="000000"/>
                <w:sz w:val="24"/>
                <w:szCs w:val="24"/>
              </w:rPr>
              <w:t>2.24%</w:t>
            </w:r>
          </w:p>
        </w:tc>
        <w:tc>
          <w:tcPr>
            <w:tcW w:w="898" w:type="dxa"/>
            <w:vAlign w:val="center"/>
          </w:tcPr>
          <w:p w:rsidR="004061D6" w:rsidRDefault="004B0E57">
            <w:pPr>
              <w:jc w:val="center"/>
            </w:pPr>
            <w:r>
              <w:rPr>
                <w:color w:val="000000"/>
                <w:sz w:val="24"/>
                <w:szCs w:val="24"/>
              </w:rPr>
              <w:t>-0.43%</w:t>
            </w:r>
          </w:p>
        </w:tc>
      </w:tr>
      <w:tr w:rsidR="004061D6">
        <w:trPr>
          <w:jc w:val="center"/>
        </w:trPr>
        <w:tc>
          <w:tcPr>
            <w:tcW w:w="1701" w:type="dxa"/>
            <w:vAlign w:val="center"/>
          </w:tcPr>
          <w:p w:rsidR="004061D6" w:rsidRDefault="004B0E57">
            <w:pPr>
              <w:jc w:val="left"/>
            </w:pPr>
            <w:r>
              <w:rPr>
                <w:color w:val="000000"/>
                <w:sz w:val="24"/>
                <w:szCs w:val="24"/>
              </w:rPr>
              <w:t>过去一年</w:t>
            </w:r>
          </w:p>
        </w:tc>
        <w:tc>
          <w:tcPr>
            <w:tcW w:w="1045" w:type="dxa"/>
            <w:vAlign w:val="center"/>
          </w:tcPr>
          <w:p w:rsidR="004061D6" w:rsidRDefault="004B0E57">
            <w:pPr>
              <w:jc w:val="center"/>
            </w:pPr>
            <w:r>
              <w:rPr>
                <w:color w:val="000000"/>
                <w:sz w:val="24"/>
                <w:szCs w:val="24"/>
              </w:rPr>
              <w:t>11.71%</w:t>
            </w:r>
          </w:p>
        </w:tc>
        <w:tc>
          <w:tcPr>
            <w:tcW w:w="1344" w:type="dxa"/>
            <w:vAlign w:val="center"/>
          </w:tcPr>
          <w:p w:rsidR="004061D6" w:rsidRDefault="004B0E57">
            <w:pPr>
              <w:jc w:val="center"/>
            </w:pPr>
            <w:r>
              <w:rPr>
                <w:color w:val="000000"/>
                <w:sz w:val="24"/>
                <w:szCs w:val="24"/>
              </w:rPr>
              <w:t>0.27%</w:t>
            </w:r>
          </w:p>
        </w:tc>
        <w:tc>
          <w:tcPr>
            <w:tcW w:w="1194" w:type="dxa"/>
            <w:vAlign w:val="center"/>
          </w:tcPr>
          <w:p w:rsidR="004061D6" w:rsidRDefault="004B0E57">
            <w:pPr>
              <w:jc w:val="center"/>
            </w:pPr>
            <w:r>
              <w:rPr>
                <w:color w:val="000000"/>
                <w:sz w:val="24"/>
                <w:szCs w:val="24"/>
              </w:rPr>
              <w:t>5.81%</w:t>
            </w:r>
          </w:p>
        </w:tc>
        <w:tc>
          <w:tcPr>
            <w:tcW w:w="1492" w:type="dxa"/>
            <w:vAlign w:val="center"/>
          </w:tcPr>
          <w:p w:rsidR="004061D6" w:rsidRDefault="004B0E57">
            <w:pPr>
              <w:jc w:val="center"/>
            </w:pPr>
            <w:r>
              <w:rPr>
                <w:color w:val="000000"/>
                <w:sz w:val="24"/>
                <w:szCs w:val="24"/>
              </w:rPr>
              <w:t>0.60%</w:t>
            </w:r>
          </w:p>
        </w:tc>
        <w:tc>
          <w:tcPr>
            <w:tcW w:w="1194" w:type="dxa"/>
            <w:vAlign w:val="center"/>
          </w:tcPr>
          <w:p w:rsidR="004061D6" w:rsidRDefault="004B0E57">
            <w:pPr>
              <w:jc w:val="center"/>
            </w:pPr>
            <w:r>
              <w:rPr>
                <w:color w:val="000000"/>
                <w:sz w:val="24"/>
                <w:szCs w:val="24"/>
              </w:rPr>
              <w:t>5.90%</w:t>
            </w:r>
          </w:p>
        </w:tc>
        <w:tc>
          <w:tcPr>
            <w:tcW w:w="898" w:type="dxa"/>
            <w:vAlign w:val="center"/>
          </w:tcPr>
          <w:p w:rsidR="004061D6" w:rsidRDefault="004B0E57">
            <w:pPr>
              <w:jc w:val="center"/>
            </w:pPr>
            <w:r>
              <w:rPr>
                <w:color w:val="000000"/>
                <w:sz w:val="24"/>
                <w:szCs w:val="24"/>
              </w:rPr>
              <w:t>-0.33%</w:t>
            </w:r>
          </w:p>
        </w:tc>
      </w:tr>
      <w:tr w:rsidR="004061D6">
        <w:trPr>
          <w:jc w:val="center"/>
        </w:trPr>
        <w:tc>
          <w:tcPr>
            <w:tcW w:w="1701" w:type="dxa"/>
            <w:vAlign w:val="center"/>
          </w:tcPr>
          <w:p w:rsidR="004061D6" w:rsidRDefault="004B0E57">
            <w:pPr>
              <w:jc w:val="left"/>
            </w:pPr>
            <w:r>
              <w:rPr>
                <w:color w:val="000000"/>
                <w:sz w:val="24"/>
                <w:szCs w:val="24"/>
              </w:rPr>
              <w:t>过去三年</w:t>
            </w:r>
          </w:p>
        </w:tc>
        <w:tc>
          <w:tcPr>
            <w:tcW w:w="1045" w:type="dxa"/>
            <w:vAlign w:val="center"/>
          </w:tcPr>
          <w:p w:rsidR="004061D6" w:rsidRDefault="004B0E57">
            <w:pPr>
              <w:jc w:val="center"/>
            </w:pPr>
            <w:r>
              <w:rPr>
                <w:color w:val="000000"/>
                <w:sz w:val="24"/>
                <w:szCs w:val="24"/>
              </w:rPr>
              <w:t>23.98%</w:t>
            </w:r>
          </w:p>
        </w:tc>
        <w:tc>
          <w:tcPr>
            <w:tcW w:w="1344" w:type="dxa"/>
            <w:vAlign w:val="center"/>
          </w:tcPr>
          <w:p w:rsidR="004061D6" w:rsidRDefault="004B0E57">
            <w:pPr>
              <w:jc w:val="center"/>
            </w:pPr>
            <w:r>
              <w:rPr>
                <w:color w:val="000000"/>
                <w:sz w:val="24"/>
                <w:szCs w:val="24"/>
              </w:rPr>
              <w:t>0.23%</w:t>
            </w:r>
          </w:p>
        </w:tc>
        <w:tc>
          <w:tcPr>
            <w:tcW w:w="1194" w:type="dxa"/>
            <w:vAlign w:val="center"/>
          </w:tcPr>
          <w:p w:rsidR="004061D6" w:rsidRDefault="004B0E57">
            <w:pPr>
              <w:jc w:val="center"/>
            </w:pPr>
            <w:r>
              <w:rPr>
                <w:color w:val="000000"/>
                <w:sz w:val="24"/>
                <w:szCs w:val="24"/>
              </w:rPr>
              <w:t>11.17%</w:t>
            </w:r>
          </w:p>
        </w:tc>
        <w:tc>
          <w:tcPr>
            <w:tcW w:w="1492" w:type="dxa"/>
            <w:vAlign w:val="center"/>
          </w:tcPr>
          <w:p w:rsidR="004061D6" w:rsidRDefault="004B0E57">
            <w:pPr>
              <w:jc w:val="center"/>
            </w:pPr>
            <w:r>
              <w:rPr>
                <w:color w:val="000000"/>
                <w:sz w:val="24"/>
                <w:szCs w:val="24"/>
              </w:rPr>
              <w:t>0.62%</w:t>
            </w:r>
          </w:p>
        </w:tc>
        <w:tc>
          <w:tcPr>
            <w:tcW w:w="1194" w:type="dxa"/>
            <w:vAlign w:val="center"/>
          </w:tcPr>
          <w:p w:rsidR="004061D6" w:rsidRDefault="004B0E57">
            <w:pPr>
              <w:jc w:val="center"/>
            </w:pPr>
            <w:r>
              <w:rPr>
                <w:color w:val="000000"/>
                <w:sz w:val="24"/>
                <w:szCs w:val="24"/>
              </w:rPr>
              <w:t>12.81%</w:t>
            </w:r>
          </w:p>
        </w:tc>
        <w:tc>
          <w:tcPr>
            <w:tcW w:w="898" w:type="dxa"/>
            <w:vAlign w:val="center"/>
          </w:tcPr>
          <w:p w:rsidR="004061D6" w:rsidRDefault="004B0E57">
            <w:pPr>
              <w:jc w:val="center"/>
            </w:pPr>
            <w:r>
              <w:rPr>
                <w:color w:val="000000"/>
                <w:sz w:val="24"/>
                <w:szCs w:val="24"/>
              </w:rPr>
              <w:t>-0.39%</w:t>
            </w:r>
          </w:p>
        </w:tc>
      </w:tr>
      <w:tr w:rsidR="004061D6">
        <w:trPr>
          <w:jc w:val="center"/>
        </w:trPr>
        <w:tc>
          <w:tcPr>
            <w:tcW w:w="1701" w:type="dxa"/>
            <w:vAlign w:val="center"/>
          </w:tcPr>
          <w:p w:rsidR="004061D6" w:rsidRDefault="004B0E57">
            <w:pPr>
              <w:jc w:val="left"/>
            </w:pPr>
            <w:r>
              <w:rPr>
                <w:color w:val="000000"/>
                <w:sz w:val="24"/>
                <w:szCs w:val="24"/>
              </w:rPr>
              <w:lastRenderedPageBreak/>
              <w:t>自基金合同生效起至今</w:t>
            </w:r>
          </w:p>
        </w:tc>
        <w:tc>
          <w:tcPr>
            <w:tcW w:w="1045" w:type="dxa"/>
            <w:vAlign w:val="center"/>
          </w:tcPr>
          <w:p w:rsidR="004061D6" w:rsidRDefault="004B0E57">
            <w:pPr>
              <w:jc w:val="center"/>
            </w:pPr>
            <w:r>
              <w:rPr>
                <w:color w:val="000000"/>
                <w:sz w:val="24"/>
                <w:szCs w:val="24"/>
              </w:rPr>
              <w:t>29.76%</w:t>
            </w:r>
          </w:p>
        </w:tc>
        <w:tc>
          <w:tcPr>
            <w:tcW w:w="1344" w:type="dxa"/>
            <w:vAlign w:val="center"/>
          </w:tcPr>
          <w:p w:rsidR="004061D6" w:rsidRDefault="004B0E57">
            <w:pPr>
              <w:jc w:val="center"/>
            </w:pPr>
            <w:r>
              <w:rPr>
                <w:color w:val="000000"/>
                <w:sz w:val="24"/>
                <w:szCs w:val="24"/>
              </w:rPr>
              <w:t>0.22%</w:t>
            </w:r>
          </w:p>
        </w:tc>
        <w:tc>
          <w:tcPr>
            <w:tcW w:w="1194" w:type="dxa"/>
            <w:vAlign w:val="center"/>
          </w:tcPr>
          <w:p w:rsidR="004061D6" w:rsidRDefault="004B0E57">
            <w:pPr>
              <w:jc w:val="center"/>
            </w:pPr>
            <w:r>
              <w:rPr>
                <w:color w:val="000000"/>
                <w:sz w:val="24"/>
                <w:szCs w:val="24"/>
              </w:rPr>
              <w:t>14.12%</w:t>
            </w:r>
          </w:p>
        </w:tc>
        <w:tc>
          <w:tcPr>
            <w:tcW w:w="1492" w:type="dxa"/>
            <w:vAlign w:val="center"/>
          </w:tcPr>
          <w:p w:rsidR="004061D6" w:rsidRDefault="004B0E57">
            <w:pPr>
              <w:jc w:val="center"/>
            </w:pPr>
            <w:r>
              <w:rPr>
                <w:color w:val="000000"/>
                <w:sz w:val="24"/>
                <w:szCs w:val="24"/>
              </w:rPr>
              <w:t>0.58%</w:t>
            </w:r>
          </w:p>
        </w:tc>
        <w:tc>
          <w:tcPr>
            <w:tcW w:w="1194" w:type="dxa"/>
            <w:vAlign w:val="center"/>
          </w:tcPr>
          <w:p w:rsidR="004061D6" w:rsidRDefault="004B0E57">
            <w:pPr>
              <w:jc w:val="center"/>
            </w:pPr>
            <w:r>
              <w:rPr>
                <w:color w:val="000000"/>
                <w:sz w:val="24"/>
                <w:szCs w:val="24"/>
              </w:rPr>
              <w:t>15.64%</w:t>
            </w:r>
          </w:p>
        </w:tc>
        <w:tc>
          <w:tcPr>
            <w:tcW w:w="898" w:type="dxa"/>
            <w:vAlign w:val="center"/>
          </w:tcPr>
          <w:p w:rsidR="004061D6" w:rsidRDefault="004B0E57">
            <w:pPr>
              <w:jc w:val="center"/>
            </w:pPr>
            <w:r>
              <w:rPr>
                <w:color w:val="000000"/>
                <w:sz w:val="24"/>
                <w:szCs w:val="24"/>
              </w:rPr>
              <w:t>-0.36%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w:t>
      </w:r>
      <w:proofErr w:type="gramStart"/>
      <w:r w:rsidRPr="00414345">
        <w:rPr>
          <w:color w:val="000000"/>
          <w:sz w:val="24"/>
          <w:szCs w:val="24"/>
        </w:rPr>
        <w:t>鑫</w:t>
      </w:r>
      <w:proofErr w:type="gramEnd"/>
      <w:r w:rsidRPr="00414345">
        <w:rPr>
          <w:color w:val="000000"/>
          <w:sz w:val="24"/>
          <w:szCs w:val="24"/>
        </w:rPr>
        <w:t>定期开放灵活配置混合型证券投资基金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061D6">
        <w:trPr>
          <w:jc w:val="center"/>
        </w:trPr>
        <w:tc>
          <w:tcPr>
            <w:tcW w:w="846" w:type="dxa"/>
            <w:vAlign w:val="center"/>
          </w:tcPr>
          <w:p w:rsidR="004061D6" w:rsidRDefault="004B0E57">
            <w:pPr>
              <w:jc w:val="center"/>
            </w:pPr>
            <w:r>
              <w:rPr>
                <w:color w:val="000000"/>
                <w:sz w:val="24"/>
                <w:szCs w:val="24"/>
              </w:rPr>
              <w:t>李娜</w:t>
            </w:r>
          </w:p>
        </w:tc>
        <w:tc>
          <w:tcPr>
            <w:tcW w:w="845" w:type="dxa"/>
            <w:vAlign w:val="center"/>
          </w:tcPr>
          <w:p w:rsidR="004061D6" w:rsidRDefault="004B0E57">
            <w:pPr>
              <w:jc w:val="center"/>
            </w:pPr>
            <w:r>
              <w:rPr>
                <w:color w:val="000000"/>
                <w:sz w:val="24"/>
                <w:szCs w:val="24"/>
              </w:rPr>
              <w:t>交银周期回报灵活配置</w:t>
            </w:r>
            <w:r>
              <w:rPr>
                <w:color w:val="000000"/>
                <w:sz w:val="24"/>
                <w:szCs w:val="24"/>
              </w:rPr>
              <w:lastRenderedPageBreak/>
              <w:t>混合、交银新回报灵活配置混合、交银多策略回报灵活配置混合、交银优选回报灵活配置混合、交</w:t>
            </w:r>
            <w:proofErr w:type="gramStart"/>
            <w:r>
              <w:rPr>
                <w:color w:val="000000"/>
                <w:sz w:val="24"/>
                <w:szCs w:val="24"/>
              </w:rPr>
              <w:t>银优择</w:t>
            </w:r>
            <w:proofErr w:type="gramEnd"/>
            <w:r>
              <w:rPr>
                <w:color w:val="000000"/>
                <w:sz w:val="24"/>
                <w:szCs w:val="24"/>
              </w:rPr>
              <w:t>回报灵活配置混合、交银瑞</w:t>
            </w:r>
            <w:proofErr w:type="gramStart"/>
            <w:r>
              <w:rPr>
                <w:color w:val="000000"/>
                <w:sz w:val="24"/>
                <w:szCs w:val="24"/>
              </w:rPr>
              <w:t>鑫</w:t>
            </w:r>
            <w:proofErr w:type="gramEnd"/>
            <w:r>
              <w:rPr>
                <w:color w:val="000000"/>
                <w:sz w:val="24"/>
                <w:szCs w:val="24"/>
              </w:rPr>
              <w:t>定期开放灵活配置混合、交银裕</w:t>
            </w:r>
            <w:proofErr w:type="gramStart"/>
            <w:r>
              <w:rPr>
                <w:color w:val="000000"/>
                <w:sz w:val="24"/>
                <w:szCs w:val="24"/>
              </w:rPr>
              <w:t>祥纯债</w:t>
            </w:r>
            <w:proofErr w:type="gramEnd"/>
            <w:r>
              <w:rPr>
                <w:color w:val="000000"/>
                <w:sz w:val="24"/>
                <w:szCs w:val="24"/>
              </w:rPr>
              <w:t>债券、</w:t>
            </w:r>
            <w:proofErr w:type="gramStart"/>
            <w:r>
              <w:rPr>
                <w:color w:val="000000"/>
                <w:sz w:val="24"/>
                <w:szCs w:val="24"/>
              </w:rPr>
              <w:t>交银恒益</w:t>
            </w:r>
            <w:proofErr w:type="gramEnd"/>
            <w:r>
              <w:rPr>
                <w:color w:val="000000"/>
                <w:sz w:val="24"/>
                <w:szCs w:val="24"/>
              </w:rPr>
              <w:t>灵活配置混合的基金经理</w:t>
            </w:r>
          </w:p>
        </w:tc>
        <w:tc>
          <w:tcPr>
            <w:tcW w:w="1549" w:type="dxa"/>
            <w:vAlign w:val="center"/>
          </w:tcPr>
          <w:p w:rsidR="004061D6" w:rsidRDefault="004B0E57">
            <w:pPr>
              <w:jc w:val="center"/>
            </w:pPr>
            <w:r>
              <w:rPr>
                <w:color w:val="000000"/>
                <w:sz w:val="24"/>
                <w:szCs w:val="24"/>
              </w:rPr>
              <w:lastRenderedPageBreak/>
              <w:t>2016-12-14</w:t>
            </w:r>
          </w:p>
        </w:tc>
        <w:tc>
          <w:tcPr>
            <w:tcW w:w="1548" w:type="dxa"/>
            <w:vAlign w:val="center"/>
          </w:tcPr>
          <w:p w:rsidR="004061D6" w:rsidRDefault="004B0E57">
            <w:pPr>
              <w:jc w:val="center"/>
            </w:pPr>
            <w:r>
              <w:rPr>
                <w:color w:val="000000"/>
                <w:sz w:val="24"/>
                <w:szCs w:val="24"/>
              </w:rPr>
              <w:t>-</w:t>
            </w:r>
          </w:p>
        </w:tc>
        <w:tc>
          <w:tcPr>
            <w:tcW w:w="1407" w:type="dxa"/>
            <w:vAlign w:val="center"/>
          </w:tcPr>
          <w:p w:rsidR="004061D6" w:rsidRDefault="004B0E57">
            <w:pPr>
              <w:jc w:val="center"/>
            </w:pPr>
            <w:r>
              <w:rPr>
                <w:color w:val="000000"/>
                <w:sz w:val="24"/>
                <w:szCs w:val="24"/>
              </w:rPr>
              <w:t>10</w:t>
            </w:r>
            <w:r>
              <w:rPr>
                <w:color w:val="000000"/>
                <w:sz w:val="24"/>
                <w:szCs w:val="24"/>
              </w:rPr>
              <w:t>年</w:t>
            </w:r>
          </w:p>
        </w:tc>
        <w:tc>
          <w:tcPr>
            <w:tcW w:w="2673" w:type="dxa"/>
            <w:vAlign w:val="center"/>
          </w:tcPr>
          <w:p w:rsidR="004061D6" w:rsidRDefault="004B0E57">
            <w:r>
              <w:rPr>
                <w:color w:val="000000"/>
                <w:sz w:val="24"/>
                <w:szCs w:val="24"/>
              </w:rPr>
              <w:t>李娜女士，美国宾夕法尼亚大学应用数学与计算科学硕士。</w:t>
            </w:r>
            <w:proofErr w:type="gramStart"/>
            <w:r>
              <w:rPr>
                <w:color w:val="000000"/>
                <w:sz w:val="24"/>
                <w:szCs w:val="24"/>
              </w:rPr>
              <w:t>历任国</w:t>
            </w:r>
            <w:proofErr w:type="gramEnd"/>
            <w:r>
              <w:rPr>
                <w:color w:val="000000"/>
                <w:sz w:val="24"/>
                <w:szCs w:val="24"/>
              </w:rPr>
              <w:t>泰基金管理有限公司研究员。</w:t>
            </w:r>
            <w:r>
              <w:rPr>
                <w:color w:val="000000"/>
                <w:sz w:val="24"/>
                <w:szCs w:val="24"/>
              </w:rPr>
              <w:t>2012</w:t>
            </w:r>
            <w:r>
              <w:rPr>
                <w:color w:val="000000"/>
                <w:sz w:val="24"/>
                <w:szCs w:val="24"/>
              </w:rPr>
              <w:t>年加入交银施</w:t>
            </w:r>
            <w:r>
              <w:rPr>
                <w:color w:val="000000"/>
                <w:sz w:val="24"/>
                <w:szCs w:val="24"/>
              </w:rPr>
              <w:lastRenderedPageBreak/>
              <w:t>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w:t>
            </w:r>
            <w:proofErr w:type="gramStart"/>
            <w:r>
              <w:rPr>
                <w:color w:val="000000"/>
                <w:sz w:val="24"/>
                <w:szCs w:val="24"/>
              </w:rPr>
              <w:t>期开放</w:t>
            </w:r>
            <w:proofErr w:type="gramEnd"/>
            <w:r>
              <w:rPr>
                <w:color w:val="000000"/>
                <w:sz w:val="24"/>
                <w:szCs w:val="24"/>
              </w:rPr>
              <w:t>灵活配置混合型证券投资</w:t>
            </w:r>
            <w:proofErr w:type="gramStart"/>
            <w:r>
              <w:rPr>
                <w:color w:val="000000"/>
                <w:sz w:val="24"/>
                <w:szCs w:val="24"/>
              </w:rPr>
              <w:t>基金基金</w:t>
            </w:r>
            <w:proofErr w:type="gramEnd"/>
            <w:r>
              <w:rPr>
                <w:color w:val="000000"/>
                <w:sz w:val="24"/>
                <w:szCs w:val="24"/>
              </w:rPr>
              <w:t>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w:t>
            </w:r>
            <w:proofErr w:type="gramStart"/>
            <w:r>
              <w:rPr>
                <w:color w:val="000000"/>
                <w:sz w:val="24"/>
                <w:szCs w:val="24"/>
              </w:rPr>
              <w:t>施罗德启通灵活</w:t>
            </w:r>
            <w:proofErr w:type="gramEnd"/>
            <w:r>
              <w:rPr>
                <w:color w:val="000000"/>
                <w:sz w:val="24"/>
                <w:szCs w:val="24"/>
              </w:rPr>
              <w:t>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p>
        </w:tc>
      </w:tr>
      <w:tr w:rsidR="004061D6">
        <w:trPr>
          <w:jc w:val="center"/>
        </w:trPr>
        <w:tc>
          <w:tcPr>
            <w:tcW w:w="846" w:type="dxa"/>
            <w:vAlign w:val="center"/>
          </w:tcPr>
          <w:p w:rsidR="004061D6" w:rsidRDefault="004B0E57">
            <w:pPr>
              <w:jc w:val="center"/>
            </w:pPr>
            <w:proofErr w:type="gramStart"/>
            <w:r>
              <w:rPr>
                <w:color w:val="000000"/>
                <w:sz w:val="24"/>
                <w:szCs w:val="24"/>
              </w:rPr>
              <w:lastRenderedPageBreak/>
              <w:t>凌超</w:t>
            </w:r>
            <w:proofErr w:type="gramEnd"/>
          </w:p>
        </w:tc>
        <w:tc>
          <w:tcPr>
            <w:tcW w:w="845" w:type="dxa"/>
            <w:vAlign w:val="center"/>
          </w:tcPr>
          <w:p w:rsidR="004061D6" w:rsidRDefault="004B0E57">
            <w:pPr>
              <w:jc w:val="center"/>
            </w:pPr>
            <w:r>
              <w:rPr>
                <w:color w:val="000000"/>
                <w:sz w:val="24"/>
                <w:szCs w:val="24"/>
              </w:rPr>
              <w:t>交银定期支付月月丰债券、交</w:t>
            </w:r>
            <w:proofErr w:type="gramStart"/>
            <w:r>
              <w:rPr>
                <w:color w:val="000000"/>
                <w:sz w:val="24"/>
                <w:szCs w:val="24"/>
              </w:rPr>
              <w:t>银增强</w:t>
            </w:r>
            <w:proofErr w:type="gramEnd"/>
            <w:r>
              <w:rPr>
                <w:color w:val="000000"/>
                <w:sz w:val="24"/>
                <w:szCs w:val="24"/>
              </w:rPr>
              <w:t>收益债券、交银强化回报债券、交银周期回报灵活配置混合、交银新回报灵活配置混合、交银多策略回报灵活配置混合、交银优选回报灵活配置混合、交</w:t>
            </w:r>
            <w:proofErr w:type="gramStart"/>
            <w:r>
              <w:rPr>
                <w:color w:val="000000"/>
                <w:sz w:val="24"/>
                <w:szCs w:val="24"/>
              </w:rPr>
              <w:t>银优择</w:t>
            </w:r>
            <w:proofErr w:type="gramEnd"/>
            <w:r>
              <w:rPr>
                <w:color w:val="000000"/>
                <w:sz w:val="24"/>
                <w:szCs w:val="24"/>
              </w:rPr>
              <w:t>回报灵活配置混合、交</w:t>
            </w:r>
            <w:r>
              <w:rPr>
                <w:color w:val="000000"/>
                <w:sz w:val="24"/>
                <w:szCs w:val="24"/>
              </w:rPr>
              <w:lastRenderedPageBreak/>
              <w:t>银瑞</w:t>
            </w:r>
            <w:proofErr w:type="gramStart"/>
            <w:r>
              <w:rPr>
                <w:color w:val="000000"/>
                <w:sz w:val="24"/>
                <w:szCs w:val="24"/>
              </w:rPr>
              <w:t>鑫</w:t>
            </w:r>
            <w:proofErr w:type="gramEnd"/>
            <w:r>
              <w:rPr>
                <w:color w:val="000000"/>
                <w:sz w:val="24"/>
                <w:szCs w:val="24"/>
              </w:rPr>
              <w:t>定期开放灵活配置混合、交银增利增强债券、</w:t>
            </w:r>
            <w:proofErr w:type="gramStart"/>
            <w:r>
              <w:rPr>
                <w:color w:val="000000"/>
                <w:sz w:val="24"/>
                <w:szCs w:val="24"/>
              </w:rPr>
              <w:t>交银恒益</w:t>
            </w:r>
            <w:proofErr w:type="gramEnd"/>
            <w:r>
              <w:rPr>
                <w:color w:val="000000"/>
                <w:sz w:val="24"/>
                <w:szCs w:val="24"/>
              </w:rPr>
              <w:t>灵活配置混合、交银裕</w:t>
            </w:r>
            <w:proofErr w:type="gramStart"/>
            <w:r>
              <w:rPr>
                <w:color w:val="000000"/>
                <w:sz w:val="24"/>
                <w:szCs w:val="24"/>
              </w:rPr>
              <w:t>祥纯债</w:t>
            </w:r>
            <w:proofErr w:type="gramEnd"/>
            <w:r>
              <w:rPr>
                <w:color w:val="000000"/>
                <w:sz w:val="24"/>
                <w:szCs w:val="24"/>
              </w:rPr>
              <w:t>债券、交银稳固收益债券的基金经理，公司固定收益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4061D6" w:rsidRDefault="004B0E57">
            <w:pPr>
              <w:jc w:val="center"/>
            </w:pPr>
            <w:r>
              <w:rPr>
                <w:color w:val="000000"/>
                <w:sz w:val="24"/>
                <w:szCs w:val="24"/>
              </w:rPr>
              <w:lastRenderedPageBreak/>
              <w:t>2019-07-20</w:t>
            </w:r>
          </w:p>
        </w:tc>
        <w:tc>
          <w:tcPr>
            <w:tcW w:w="1548" w:type="dxa"/>
            <w:vAlign w:val="center"/>
          </w:tcPr>
          <w:p w:rsidR="004061D6" w:rsidRDefault="004B0E57">
            <w:pPr>
              <w:jc w:val="center"/>
            </w:pPr>
            <w:r>
              <w:rPr>
                <w:color w:val="000000"/>
                <w:sz w:val="24"/>
                <w:szCs w:val="24"/>
              </w:rPr>
              <w:t>-</w:t>
            </w:r>
          </w:p>
        </w:tc>
        <w:tc>
          <w:tcPr>
            <w:tcW w:w="1407" w:type="dxa"/>
            <w:vAlign w:val="center"/>
          </w:tcPr>
          <w:p w:rsidR="004061D6" w:rsidRDefault="004B0E57">
            <w:pPr>
              <w:jc w:val="center"/>
            </w:pPr>
            <w:r>
              <w:rPr>
                <w:color w:val="000000"/>
                <w:sz w:val="24"/>
                <w:szCs w:val="24"/>
              </w:rPr>
              <w:t>14</w:t>
            </w:r>
            <w:r>
              <w:rPr>
                <w:color w:val="000000"/>
                <w:sz w:val="24"/>
                <w:szCs w:val="24"/>
              </w:rPr>
              <w:t>年</w:t>
            </w:r>
          </w:p>
        </w:tc>
        <w:tc>
          <w:tcPr>
            <w:tcW w:w="2673" w:type="dxa"/>
            <w:vAlign w:val="center"/>
          </w:tcPr>
          <w:p w:rsidR="004061D6" w:rsidRDefault="004B0E57">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w:t>
            </w:r>
            <w:proofErr w:type="gramStart"/>
            <w:r>
              <w:rPr>
                <w:color w:val="000000"/>
                <w:sz w:val="24"/>
                <w:szCs w:val="24"/>
              </w:rPr>
              <w:t>天弘基金</w:t>
            </w:r>
            <w:proofErr w:type="gramEnd"/>
            <w:r>
              <w:rPr>
                <w:color w:val="000000"/>
                <w:sz w:val="24"/>
                <w:szCs w:val="24"/>
              </w:rPr>
              <w:t>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w:t>
            </w:r>
            <w:proofErr w:type="gramStart"/>
            <w:r>
              <w:rPr>
                <w:color w:val="000000"/>
                <w:sz w:val="24"/>
                <w:szCs w:val="24"/>
              </w:rPr>
              <w:t>信货</w:t>
            </w:r>
            <w:proofErr w:type="gramEnd"/>
            <w:r>
              <w:rPr>
                <w:color w:val="000000"/>
                <w:sz w:val="24"/>
                <w:szCs w:val="24"/>
              </w:rPr>
              <w:t>币市场</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w:t>
            </w:r>
            <w:proofErr w:type="gramStart"/>
            <w:r>
              <w:rPr>
                <w:color w:val="000000"/>
                <w:sz w:val="24"/>
                <w:szCs w:val="24"/>
              </w:rPr>
              <w:t>海富通纯债债券</w:t>
            </w:r>
            <w:proofErr w:type="gramEnd"/>
            <w:r>
              <w:rPr>
                <w:color w:val="000000"/>
                <w:sz w:val="24"/>
                <w:szCs w:val="24"/>
              </w:rPr>
              <w:t>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w:t>
            </w:r>
            <w:r>
              <w:rPr>
                <w:color w:val="000000"/>
                <w:sz w:val="24"/>
                <w:szCs w:val="24"/>
              </w:rPr>
              <w:t>通稳固收益债券型证券投资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w:t>
            </w:r>
            <w:proofErr w:type="gramStart"/>
            <w:r>
              <w:rPr>
                <w:color w:val="000000"/>
                <w:sz w:val="24"/>
                <w:szCs w:val="24"/>
              </w:rPr>
              <w:t>弘</w:t>
            </w:r>
            <w:proofErr w:type="gramEnd"/>
            <w:r>
              <w:rPr>
                <w:color w:val="000000"/>
                <w:sz w:val="24"/>
                <w:szCs w:val="24"/>
              </w:rPr>
              <w:t>利债券型证券投资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w:t>
            </w:r>
            <w:proofErr w:type="gramStart"/>
            <w:r>
              <w:rPr>
                <w:color w:val="000000"/>
                <w:sz w:val="24"/>
                <w:szCs w:val="24"/>
              </w:rPr>
              <w:t>天弘裕利</w:t>
            </w:r>
            <w:proofErr w:type="gramEnd"/>
            <w:r>
              <w:rPr>
                <w:color w:val="000000"/>
                <w:sz w:val="24"/>
                <w:szCs w:val="24"/>
              </w:rPr>
              <w:t>灵活配置混合型证券投资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w:t>
            </w:r>
            <w:proofErr w:type="gramStart"/>
            <w:r>
              <w:rPr>
                <w:color w:val="000000"/>
                <w:sz w:val="24"/>
                <w:szCs w:val="24"/>
              </w:rPr>
              <w:t>任天弘债券</w:t>
            </w:r>
            <w:proofErr w:type="gramEnd"/>
            <w:r>
              <w:rPr>
                <w:color w:val="000000"/>
                <w:sz w:val="24"/>
                <w:szCs w:val="24"/>
              </w:rPr>
              <w:t>型发起式证券投资</w:t>
            </w:r>
            <w:proofErr w:type="gramStart"/>
            <w:r>
              <w:rPr>
                <w:color w:val="000000"/>
                <w:sz w:val="24"/>
                <w:szCs w:val="24"/>
              </w:rPr>
              <w:t>基金基金</w:t>
            </w:r>
            <w:proofErr w:type="gramEnd"/>
            <w:r>
              <w:rPr>
                <w:color w:val="000000"/>
                <w:sz w:val="24"/>
                <w:szCs w:val="24"/>
              </w:rPr>
              <w:t>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w:t>
            </w:r>
            <w:r>
              <w:rPr>
                <w:color w:val="000000"/>
                <w:sz w:val="24"/>
                <w:szCs w:val="24"/>
              </w:rPr>
              <w:lastRenderedPageBreak/>
              <w:t>有限公司。</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30</w:t>
            </w:r>
            <w:r>
              <w:rPr>
                <w:color w:val="000000"/>
                <w:sz w:val="24"/>
                <w:szCs w:val="24"/>
              </w:rPr>
              <w:t>日担任转型前的交银施罗德荣祥保本混合型证券投资基金的基金经理。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4.3.1 </w:t>
      </w:r>
      <w:r w:rsidRPr="00414345">
        <w:rPr>
          <w:color w:val="000000"/>
          <w:sz w:val="24"/>
          <w:szCs w:val="24"/>
        </w:rPr>
        <w:t>公平交易制度的执行情况</w:t>
      </w:r>
    </w:p>
    <w:p w:rsidR="004061D6" w:rsidRDefault="004B0E5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061D6" w:rsidRDefault="004B0E5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w:t>
      </w:r>
      <w:r>
        <w:rPr>
          <w:color w:val="000000"/>
          <w:sz w:val="24"/>
          <w:szCs w:val="24"/>
        </w:rPr>
        <w:t>按事前独立确定的投资方案对交易结果进行分配。</w:t>
      </w:r>
    </w:p>
    <w:p w:rsidR="004061D6" w:rsidRDefault="004B0E5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61D6" w:rsidRDefault="004B0E57">
      <w:pPr>
        <w:spacing w:before="29" w:line="288" w:lineRule="auto"/>
        <w:ind w:firstLineChars="200" w:firstLine="480"/>
        <w:rPr>
          <w:color w:val="000000"/>
          <w:sz w:val="24"/>
          <w:szCs w:val="24"/>
        </w:rPr>
      </w:pPr>
      <w:r>
        <w:rPr>
          <w:color w:val="000000"/>
          <w:sz w:val="24"/>
          <w:szCs w:val="24"/>
        </w:rPr>
        <w:t>本报告期内，债券市场初期走势仍然较为火热，但随着后期资金</w:t>
      </w:r>
      <w:proofErr w:type="gramStart"/>
      <w:r>
        <w:rPr>
          <w:color w:val="000000"/>
          <w:sz w:val="24"/>
          <w:szCs w:val="24"/>
        </w:rPr>
        <w:t>面利率</w:t>
      </w:r>
      <w:proofErr w:type="gramEnd"/>
      <w:r>
        <w:rPr>
          <w:color w:val="000000"/>
          <w:sz w:val="24"/>
          <w:szCs w:val="24"/>
        </w:rPr>
        <w:t>水平上行、央行货币政策防空转及经济逐步复苏的影响，收益率呈现先下后上的</w:t>
      </w:r>
      <w:r>
        <w:rPr>
          <w:color w:val="000000"/>
          <w:sz w:val="24"/>
          <w:szCs w:val="24"/>
        </w:rPr>
        <w:t>V</w:t>
      </w:r>
      <w:r>
        <w:rPr>
          <w:color w:val="000000"/>
          <w:sz w:val="24"/>
          <w:szCs w:val="24"/>
        </w:rPr>
        <w:t>型走势。四月，因市场资金面仍然相对宽裕，国外新冠病情持续发酵，受悲观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复，资金利率水平维持在高位，信用派生政策持续发力，债券利率持续上行后，逐步进入高位震</w:t>
      </w:r>
      <w:r>
        <w:rPr>
          <w:color w:val="000000"/>
          <w:sz w:val="24"/>
          <w:szCs w:val="24"/>
        </w:rPr>
        <w:t>荡状态。</w:t>
      </w:r>
    </w:p>
    <w:p w:rsidR="004061D6" w:rsidRDefault="004B0E57">
      <w:pPr>
        <w:spacing w:before="29" w:line="288" w:lineRule="auto"/>
        <w:ind w:firstLineChars="200" w:firstLine="480"/>
        <w:rPr>
          <w:color w:val="000000"/>
          <w:sz w:val="24"/>
          <w:szCs w:val="24"/>
        </w:rPr>
      </w:pPr>
      <w:r>
        <w:rPr>
          <w:color w:val="000000"/>
          <w:sz w:val="24"/>
          <w:szCs w:val="24"/>
        </w:rPr>
        <w:t>二季度，权益市场走势较为良好，在经济逐步企稳恢复、全球流动性同时宽裕的背景下，主要指数表现趋势上涨的势头，特别是创业</w:t>
      </w:r>
      <w:proofErr w:type="gramStart"/>
      <w:r>
        <w:rPr>
          <w:color w:val="000000"/>
          <w:sz w:val="24"/>
          <w:szCs w:val="24"/>
        </w:rPr>
        <w:t>板指数</w:t>
      </w:r>
      <w:proofErr w:type="gramEnd"/>
      <w:r>
        <w:rPr>
          <w:color w:val="000000"/>
          <w:sz w:val="24"/>
          <w:szCs w:val="24"/>
        </w:rPr>
        <w:t>更是持续上行并创出年内新高。在四月，市场逐步企稳恢复，消费医药和业绩较好的科技类个股表现突出，五月国内经济逐步恢复，经济托底相关政策也不断出台，市场出现进一步回暖，医药消费、消费电子龙头品种、新能源汽车产业链等品种均表现亮眼。步入六月之后，虽然国外疫情仍然持续，但各国主要股指均进一步回升，部分指数甚至接近大跌之前的位置。</w:t>
      </w:r>
      <w:r>
        <w:rPr>
          <w:color w:val="000000"/>
          <w:sz w:val="24"/>
          <w:szCs w:val="24"/>
        </w:rPr>
        <w:t>A</w:t>
      </w:r>
      <w:r>
        <w:rPr>
          <w:color w:val="000000"/>
          <w:sz w:val="24"/>
          <w:szCs w:val="24"/>
        </w:rPr>
        <w:t>股主要指</w:t>
      </w:r>
      <w:r>
        <w:rPr>
          <w:color w:val="000000"/>
          <w:sz w:val="24"/>
          <w:szCs w:val="24"/>
        </w:rPr>
        <w:lastRenderedPageBreak/>
        <w:t>数也大幅恢复，创业</w:t>
      </w:r>
      <w:proofErr w:type="gramStart"/>
      <w:r>
        <w:rPr>
          <w:color w:val="000000"/>
          <w:sz w:val="24"/>
          <w:szCs w:val="24"/>
        </w:rPr>
        <w:t>板指数</w:t>
      </w:r>
      <w:proofErr w:type="gramEnd"/>
      <w:r>
        <w:rPr>
          <w:color w:val="000000"/>
          <w:sz w:val="24"/>
          <w:szCs w:val="24"/>
        </w:rPr>
        <w:t>更是创下年内新高。</w:t>
      </w:r>
    </w:p>
    <w:p w:rsidR="004061D6" w:rsidRDefault="004B0E57">
      <w:pPr>
        <w:spacing w:before="29" w:line="288" w:lineRule="auto"/>
        <w:ind w:firstLineChars="200" w:firstLine="480"/>
        <w:rPr>
          <w:color w:val="000000"/>
          <w:sz w:val="24"/>
          <w:szCs w:val="24"/>
        </w:rPr>
      </w:pPr>
      <w:r>
        <w:rPr>
          <w:color w:val="000000"/>
          <w:sz w:val="24"/>
          <w:szCs w:val="24"/>
        </w:rPr>
        <w:t>在基</w:t>
      </w:r>
      <w:r>
        <w:rPr>
          <w:color w:val="000000"/>
          <w:sz w:val="24"/>
          <w:szCs w:val="24"/>
        </w:rPr>
        <w:t>金操作中，债券部分我们维持中</w:t>
      </w:r>
      <w:proofErr w:type="gramStart"/>
      <w:r>
        <w:rPr>
          <w:color w:val="000000"/>
          <w:sz w:val="24"/>
          <w:szCs w:val="24"/>
        </w:rPr>
        <w:t>短久期高</w:t>
      </w:r>
      <w:proofErr w:type="gramEnd"/>
      <w:r>
        <w:rPr>
          <w:color w:val="000000"/>
          <w:sz w:val="24"/>
          <w:szCs w:val="24"/>
        </w:rPr>
        <w:t>等级信用债的底仓配置，以获取稳定的票息收益。权益方面，随着市场逐步回暖，在总体稳健的基础上，将持仓结构调整得更加平衡。此外，组合积极参与权益及转债的一级申购，以增厚组合收益。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年三季度，随着经济的逐步复苏，新冠疫情影响的逐步趋弱，债券预期将维持震荡的格局。目前来看，政策带来的经济复苏更多是出于对</w:t>
      </w:r>
      <w:proofErr w:type="gramStart"/>
      <w:r w:rsidRPr="00414345">
        <w:rPr>
          <w:color w:val="000000"/>
          <w:sz w:val="24"/>
          <w:szCs w:val="24"/>
        </w:rPr>
        <w:t>冲经济</w:t>
      </w:r>
      <w:proofErr w:type="gramEnd"/>
      <w:r w:rsidRPr="00414345">
        <w:rPr>
          <w:color w:val="000000"/>
          <w:sz w:val="24"/>
          <w:szCs w:val="24"/>
        </w:rPr>
        <w:t>下滑幅度和就业维持稳定的良好状态，在不出现政策大幅度向投资转向的背景下，经济向上弹性较弱，债券收益率暂时看不到太大的上行空间。由于经济目前仍在复苏过程之中，货币政策短期进一步宽松的可能性下降，债市在目前收益率水平下趋于震荡的概率偏大。未来基金将维持底仓配置中</w:t>
      </w:r>
      <w:proofErr w:type="gramStart"/>
      <w:r w:rsidRPr="00414345">
        <w:rPr>
          <w:color w:val="000000"/>
          <w:sz w:val="24"/>
          <w:szCs w:val="24"/>
        </w:rPr>
        <w:t>短久期高</w:t>
      </w:r>
      <w:proofErr w:type="gramEnd"/>
      <w:r w:rsidRPr="00414345">
        <w:rPr>
          <w:color w:val="000000"/>
          <w:sz w:val="24"/>
          <w:szCs w:val="24"/>
        </w:rPr>
        <w:t>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129,180,699.92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24.20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129,180,699.92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24.20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385,044,000.00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72.14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385,044,000.00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72.14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13,636,281.90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5,904,910.02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533,765,891.84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1,041,100.00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43,454,663.27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9,381,297.40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2,555,112.00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9,802,629.03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6,424,858.17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39,637,843.73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12,293,186.00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4,577,244.00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129,180,699.92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33.15</w:t>
            </w:r>
          </w:p>
        </w:tc>
      </w:tr>
    </w:tbl>
    <w:p w:rsidR="000A158D" w:rsidRDefault="000A158D"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061D6">
        <w:trPr>
          <w:jc w:val="center"/>
        </w:trPr>
        <w:tc>
          <w:tcPr>
            <w:tcW w:w="855" w:type="dxa"/>
            <w:vAlign w:val="center"/>
          </w:tcPr>
          <w:p w:rsidR="004061D6" w:rsidRDefault="004B0E57">
            <w:pPr>
              <w:jc w:val="center"/>
            </w:pPr>
            <w:r>
              <w:rPr>
                <w:color w:val="000000"/>
                <w:sz w:val="24"/>
                <w:szCs w:val="24"/>
              </w:rPr>
              <w:t>1</w:t>
            </w:r>
          </w:p>
        </w:tc>
        <w:tc>
          <w:tcPr>
            <w:tcW w:w="1334" w:type="dxa"/>
            <w:vAlign w:val="center"/>
          </w:tcPr>
          <w:p w:rsidR="004061D6" w:rsidRDefault="004B0E57">
            <w:pPr>
              <w:jc w:val="center"/>
            </w:pPr>
            <w:r>
              <w:rPr>
                <w:color w:val="000000"/>
                <w:sz w:val="24"/>
                <w:szCs w:val="24"/>
              </w:rPr>
              <w:t>601398</w:t>
            </w:r>
          </w:p>
        </w:tc>
        <w:tc>
          <w:tcPr>
            <w:tcW w:w="1777" w:type="dxa"/>
            <w:vAlign w:val="center"/>
          </w:tcPr>
          <w:p w:rsidR="004061D6" w:rsidRDefault="004B0E57">
            <w:pPr>
              <w:jc w:val="center"/>
            </w:pPr>
            <w:r>
              <w:rPr>
                <w:color w:val="000000"/>
                <w:sz w:val="24"/>
                <w:szCs w:val="24"/>
              </w:rPr>
              <w:t>工商银行</w:t>
            </w:r>
          </w:p>
        </w:tc>
        <w:tc>
          <w:tcPr>
            <w:tcW w:w="1334" w:type="dxa"/>
            <w:vAlign w:val="center"/>
          </w:tcPr>
          <w:p w:rsidR="004061D6" w:rsidRDefault="004B0E57">
            <w:pPr>
              <w:jc w:val="right"/>
            </w:pPr>
            <w:r>
              <w:rPr>
                <w:color w:val="000000"/>
                <w:sz w:val="24"/>
                <w:szCs w:val="24"/>
              </w:rPr>
              <w:t>2,242,000</w:t>
            </w:r>
          </w:p>
        </w:tc>
        <w:tc>
          <w:tcPr>
            <w:tcW w:w="1924" w:type="dxa"/>
            <w:vAlign w:val="center"/>
          </w:tcPr>
          <w:p w:rsidR="004061D6" w:rsidRDefault="004B0E57">
            <w:pPr>
              <w:jc w:val="right"/>
            </w:pPr>
            <w:r>
              <w:rPr>
                <w:color w:val="000000"/>
                <w:sz w:val="24"/>
                <w:szCs w:val="24"/>
              </w:rPr>
              <w:t>11,165,160.00</w:t>
            </w:r>
          </w:p>
        </w:tc>
        <w:tc>
          <w:tcPr>
            <w:tcW w:w="1644" w:type="dxa"/>
            <w:vAlign w:val="center"/>
          </w:tcPr>
          <w:p w:rsidR="004061D6" w:rsidRDefault="004B0E57">
            <w:pPr>
              <w:jc w:val="right"/>
            </w:pPr>
            <w:r>
              <w:rPr>
                <w:color w:val="000000"/>
                <w:sz w:val="24"/>
                <w:szCs w:val="24"/>
              </w:rPr>
              <w:t>2.87</w:t>
            </w:r>
          </w:p>
        </w:tc>
      </w:tr>
      <w:tr w:rsidR="004061D6">
        <w:trPr>
          <w:jc w:val="center"/>
        </w:trPr>
        <w:tc>
          <w:tcPr>
            <w:tcW w:w="855" w:type="dxa"/>
            <w:vAlign w:val="center"/>
          </w:tcPr>
          <w:p w:rsidR="004061D6" w:rsidRDefault="004B0E57">
            <w:pPr>
              <w:jc w:val="center"/>
            </w:pPr>
            <w:r>
              <w:rPr>
                <w:color w:val="000000"/>
                <w:sz w:val="24"/>
                <w:szCs w:val="24"/>
              </w:rPr>
              <w:t>2</w:t>
            </w:r>
          </w:p>
        </w:tc>
        <w:tc>
          <w:tcPr>
            <w:tcW w:w="1334" w:type="dxa"/>
            <w:vAlign w:val="center"/>
          </w:tcPr>
          <w:p w:rsidR="004061D6" w:rsidRDefault="004B0E57">
            <w:pPr>
              <w:jc w:val="center"/>
            </w:pPr>
            <w:r>
              <w:rPr>
                <w:color w:val="000000"/>
                <w:sz w:val="24"/>
                <w:szCs w:val="24"/>
              </w:rPr>
              <w:t>601288</w:t>
            </w:r>
          </w:p>
        </w:tc>
        <w:tc>
          <w:tcPr>
            <w:tcW w:w="1777" w:type="dxa"/>
            <w:vAlign w:val="center"/>
          </w:tcPr>
          <w:p w:rsidR="004061D6" w:rsidRDefault="004B0E57">
            <w:pPr>
              <w:jc w:val="center"/>
            </w:pPr>
            <w:r>
              <w:rPr>
                <w:color w:val="000000"/>
                <w:sz w:val="24"/>
                <w:szCs w:val="24"/>
              </w:rPr>
              <w:t>农业银行</w:t>
            </w:r>
          </w:p>
        </w:tc>
        <w:tc>
          <w:tcPr>
            <w:tcW w:w="1334" w:type="dxa"/>
            <w:vAlign w:val="center"/>
          </w:tcPr>
          <w:p w:rsidR="004061D6" w:rsidRDefault="004B0E57">
            <w:pPr>
              <w:jc w:val="right"/>
            </w:pPr>
            <w:r>
              <w:rPr>
                <w:color w:val="000000"/>
                <w:sz w:val="24"/>
                <w:szCs w:val="24"/>
              </w:rPr>
              <w:t>2,957,300</w:t>
            </w:r>
          </w:p>
        </w:tc>
        <w:tc>
          <w:tcPr>
            <w:tcW w:w="1924" w:type="dxa"/>
            <w:vAlign w:val="center"/>
          </w:tcPr>
          <w:p w:rsidR="004061D6" w:rsidRDefault="004B0E57">
            <w:pPr>
              <w:jc w:val="right"/>
            </w:pPr>
            <w:r>
              <w:rPr>
                <w:color w:val="000000"/>
                <w:sz w:val="24"/>
                <w:szCs w:val="24"/>
              </w:rPr>
              <w:t>9,995,674.00</w:t>
            </w:r>
          </w:p>
        </w:tc>
        <w:tc>
          <w:tcPr>
            <w:tcW w:w="1644" w:type="dxa"/>
            <w:vAlign w:val="center"/>
          </w:tcPr>
          <w:p w:rsidR="004061D6" w:rsidRDefault="004B0E57">
            <w:pPr>
              <w:jc w:val="right"/>
            </w:pPr>
            <w:r>
              <w:rPr>
                <w:color w:val="000000"/>
                <w:sz w:val="24"/>
                <w:szCs w:val="24"/>
              </w:rPr>
              <w:t>2.56</w:t>
            </w:r>
          </w:p>
        </w:tc>
      </w:tr>
      <w:tr w:rsidR="004061D6">
        <w:trPr>
          <w:jc w:val="center"/>
        </w:trPr>
        <w:tc>
          <w:tcPr>
            <w:tcW w:w="855" w:type="dxa"/>
            <w:vAlign w:val="center"/>
          </w:tcPr>
          <w:p w:rsidR="004061D6" w:rsidRDefault="004B0E57">
            <w:pPr>
              <w:jc w:val="center"/>
            </w:pPr>
            <w:r>
              <w:rPr>
                <w:color w:val="000000"/>
                <w:sz w:val="24"/>
                <w:szCs w:val="24"/>
              </w:rPr>
              <w:t>3</w:t>
            </w:r>
          </w:p>
        </w:tc>
        <w:tc>
          <w:tcPr>
            <w:tcW w:w="1334" w:type="dxa"/>
            <w:vAlign w:val="center"/>
          </w:tcPr>
          <w:p w:rsidR="004061D6" w:rsidRDefault="004B0E57">
            <w:pPr>
              <w:jc w:val="center"/>
            </w:pPr>
            <w:r>
              <w:rPr>
                <w:color w:val="000000"/>
                <w:sz w:val="24"/>
                <w:szCs w:val="24"/>
              </w:rPr>
              <w:t>600048</w:t>
            </w:r>
          </w:p>
        </w:tc>
        <w:tc>
          <w:tcPr>
            <w:tcW w:w="1777" w:type="dxa"/>
            <w:vAlign w:val="center"/>
          </w:tcPr>
          <w:p w:rsidR="004061D6" w:rsidRDefault="004B0E57">
            <w:pPr>
              <w:jc w:val="center"/>
            </w:pPr>
            <w:r>
              <w:rPr>
                <w:color w:val="000000"/>
                <w:sz w:val="24"/>
                <w:szCs w:val="24"/>
              </w:rPr>
              <w:t>保利地产</w:t>
            </w:r>
          </w:p>
        </w:tc>
        <w:tc>
          <w:tcPr>
            <w:tcW w:w="1334" w:type="dxa"/>
            <w:vAlign w:val="center"/>
          </w:tcPr>
          <w:p w:rsidR="004061D6" w:rsidRDefault="004B0E57">
            <w:pPr>
              <w:jc w:val="right"/>
            </w:pPr>
            <w:r>
              <w:rPr>
                <w:color w:val="000000"/>
                <w:sz w:val="24"/>
                <w:szCs w:val="24"/>
              </w:rPr>
              <w:t>566,100</w:t>
            </w:r>
          </w:p>
        </w:tc>
        <w:tc>
          <w:tcPr>
            <w:tcW w:w="1924" w:type="dxa"/>
            <w:vAlign w:val="center"/>
          </w:tcPr>
          <w:p w:rsidR="004061D6" w:rsidRDefault="004B0E57">
            <w:pPr>
              <w:jc w:val="right"/>
            </w:pPr>
            <w:r>
              <w:rPr>
                <w:color w:val="000000"/>
                <w:sz w:val="24"/>
                <w:szCs w:val="24"/>
              </w:rPr>
              <w:t>8,366,958.00</w:t>
            </w:r>
          </w:p>
        </w:tc>
        <w:tc>
          <w:tcPr>
            <w:tcW w:w="1644" w:type="dxa"/>
            <w:vAlign w:val="center"/>
          </w:tcPr>
          <w:p w:rsidR="004061D6" w:rsidRDefault="004B0E57">
            <w:pPr>
              <w:jc w:val="right"/>
            </w:pPr>
            <w:r>
              <w:rPr>
                <w:color w:val="000000"/>
                <w:sz w:val="24"/>
                <w:szCs w:val="24"/>
              </w:rPr>
              <w:t>2.15</w:t>
            </w:r>
          </w:p>
        </w:tc>
      </w:tr>
      <w:tr w:rsidR="004061D6">
        <w:trPr>
          <w:jc w:val="center"/>
        </w:trPr>
        <w:tc>
          <w:tcPr>
            <w:tcW w:w="855" w:type="dxa"/>
            <w:vAlign w:val="center"/>
          </w:tcPr>
          <w:p w:rsidR="004061D6" w:rsidRDefault="004B0E57">
            <w:pPr>
              <w:jc w:val="center"/>
            </w:pPr>
            <w:r>
              <w:rPr>
                <w:color w:val="000000"/>
                <w:sz w:val="24"/>
                <w:szCs w:val="24"/>
              </w:rPr>
              <w:t>4</w:t>
            </w:r>
          </w:p>
        </w:tc>
        <w:tc>
          <w:tcPr>
            <w:tcW w:w="1334" w:type="dxa"/>
            <w:vAlign w:val="center"/>
          </w:tcPr>
          <w:p w:rsidR="004061D6" w:rsidRDefault="004B0E57">
            <w:pPr>
              <w:jc w:val="center"/>
            </w:pPr>
            <w:r>
              <w:rPr>
                <w:color w:val="000000"/>
                <w:sz w:val="24"/>
                <w:szCs w:val="24"/>
              </w:rPr>
              <w:t>601628</w:t>
            </w:r>
          </w:p>
        </w:tc>
        <w:tc>
          <w:tcPr>
            <w:tcW w:w="1777" w:type="dxa"/>
            <w:vAlign w:val="center"/>
          </w:tcPr>
          <w:p w:rsidR="004061D6" w:rsidRDefault="004B0E57">
            <w:pPr>
              <w:jc w:val="center"/>
            </w:pPr>
            <w:r>
              <w:rPr>
                <w:color w:val="000000"/>
                <w:sz w:val="24"/>
                <w:szCs w:val="24"/>
              </w:rPr>
              <w:t>中国人寿</w:t>
            </w:r>
          </w:p>
        </w:tc>
        <w:tc>
          <w:tcPr>
            <w:tcW w:w="1334" w:type="dxa"/>
            <w:vAlign w:val="center"/>
          </w:tcPr>
          <w:p w:rsidR="004061D6" w:rsidRDefault="004B0E57">
            <w:pPr>
              <w:jc w:val="right"/>
            </w:pPr>
            <w:r>
              <w:rPr>
                <w:color w:val="000000"/>
                <w:sz w:val="24"/>
                <w:szCs w:val="24"/>
              </w:rPr>
              <w:t>230,900</w:t>
            </w:r>
          </w:p>
        </w:tc>
        <w:tc>
          <w:tcPr>
            <w:tcW w:w="1924" w:type="dxa"/>
            <w:vAlign w:val="center"/>
          </w:tcPr>
          <w:p w:rsidR="004061D6" w:rsidRDefault="004B0E57">
            <w:pPr>
              <w:jc w:val="right"/>
            </w:pPr>
            <w:r>
              <w:rPr>
                <w:color w:val="000000"/>
                <w:sz w:val="24"/>
                <w:szCs w:val="24"/>
              </w:rPr>
              <w:t>6,282,789.00</w:t>
            </w:r>
          </w:p>
        </w:tc>
        <w:tc>
          <w:tcPr>
            <w:tcW w:w="1644" w:type="dxa"/>
            <w:vAlign w:val="center"/>
          </w:tcPr>
          <w:p w:rsidR="004061D6" w:rsidRDefault="004B0E57">
            <w:pPr>
              <w:jc w:val="right"/>
            </w:pPr>
            <w:r>
              <w:rPr>
                <w:color w:val="000000"/>
                <w:sz w:val="24"/>
                <w:szCs w:val="24"/>
              </w:rPr>
              <w:t>1.61</w:t>
            </w:r>
          </w:p>
        </w:tc>
      </w:tr>
      <w:tr w:rsidR="004061D6">
        <w:trPr>
          <w:jc w:val="center"/>
        </w:trPr>
        <w:tc>
          <w:tcPr>
            <w:tcW w:w="855" w:type="dxa"/>
            <w:vAlign w:val="center"/>
          </w:tcPr>
          <w:p w:rsidR="004061D6" w:rsidRDefault="004B0E57">
            <w:pPr>
              <w:jc w:val="center"/>
            </w:pPr>
            <w:r>
              <w:rPr>
                <w:color w:val="000000"/>
                <w:sz w:val="24"/>
                <w:szCs w:val="24"/>
              </w:rPr>
              <w:t>5</w:t>
            </w:r>
          </w:p>
        </w:tc>
        <w:tc>
          <w:tcPr>
            <w:tcW w:w="1334" w:type="dxa"/>
            <w:vAlign w:val="center"/>
          </w:tcPr>
          <w:p w:rsidR="004061D6" w:rsidRDefault="004B0E57">
            <w:pPr>
              <w:jc w:val="center"/>
            </w:pPr>
            <w:r>
              <w:rPr>
                <w:color w:val="000000"/>
                <w:sz w:val="24"/>
                <w:szCs w:val="24"/>
              </w:rPr>
              <w:t>001965</w:t>
            </w:r>
          </w:p>
        </w:tc>
        <w:tc>
          <w:tcPr>
            <w:tcW w:w="1777" w:type="dxa"/>
            <w:vAlign w:val="center"/>
          </w:tcPr>
          <w:p w:rsidR="004061D6" w:rsidRDefault="004B0E57">
            <w:pPr>
              <w:jc w:val="center"/>
            </w:pPr>
            <w:r>
              <w:rPr>
                <w:color w:val="000000"/>
                <w:sz w:val="24"/>
                <w:szCs w:val="24"/>
              </w:rPr>
              <w:t>招商公路</w:t>
            </w:r>
          </w:p>
        </w:tc>
        <w:tc>
          <w:tcPr>
            <w:tcW w:w="1334" w:type="dxa"/>
            <w:vAlign w:val="center"/>
          </w:tcPr>
          <w:p w:rsidR="004061D6" w:rsidRDefault="004B0E57">
            <w:pPr>
              <w:jc w:val="right"/>
            </w:pPr>
            <w:r>
              <w:rPr>
                <w:color w:val="000000"/>
                <w:sz w:val="24"/>
                <w:szCs w:val="24"/>
              </w:rPr>
              <w:t>897,139</w:t>
            </w:r>
          </w:p>
        </w:tc>
        <w:tc>
          <w:tcPr>
            <w:tcW w:w="1924" w:type="dxa"/>
            <w:vAlign w:val="center"/>
          </w:tcPr>
          <w:p w:rsidR="004061D6" w:rsidRDefault="004B0E57">
            <w:pPr>
              <w:jc w:val="right"/>
            </w:pPr>
            <w:r>
              <w:rPr>
                <w:color w:val="000000"/>
                <w:sz w:val="24"/>
                <w:szCs w:val="24"/>
              </w:rPr>
              <w:t>6,037,745.47</w:t>
            </w:r>
          </w:p>
        </w:tc>
        <w:tc>
          <w:tcPr>
            <w:tcW w:w="1644" w:type="dxa"/>
            <w:vAlign w:val="center"/>
          </w:tcPr>
          <w:p w:rsidR="004061D6" w:rsidRDefault="004B0E57">
            <w:pPr>
              <w:jc w:val="right"/>
            </w:pPr>
            <w:r>
              <w:rPr>
                <w:color w:val="000000"/>
                <w:sz w:val="24"/>
                <w:szCs w:val="24"/>
              </w:rPr>
              <w:t>1.55</w:t>
            </w:r>
          </w:p>
        </w:tc>
      </w:tr>
      <w:tr w:rsidR="004061D6">
        <w:trPr>
          <w:jc w:val="center"/>
        </w:trPr>
        <w:tc>
          <w:tcPr>
            <w:tcW w:w="855" w:type="dxa"/>
            <w:vAlign w:val="center"/>
          </w:tcPr>
          <w:p w:rsidR="004061D6" w:rsidRDefault="004B0E57">
            <w:pPr>
              <w:jc w:val="center"/>
            </w:pPr>
            <w:r>
              <w:rPr>
                <w:color w:val="000000"/>
                <w:sz w:val="24"/>
                <w:szCs w:val="24"/>
              </w:rPr>
              <w:t>6</w:t>
            </w:r>
          </w:p>
        </w:tc>
        <w:tc>
          <w:tcPr>
            <w:tcW w:w="1334" w:type="dxa"/>
            <w:vAlign w:val="center"/>
          </w:tcPr>
          <w:p w:rsidR="004061D6" w:rsidRDefault="004B0E57">
            <w:pPr>
              <w:jc w:val="center"/>
            </w:pPr>
            <w:r>
              <w:rPr>
                <w:color w:val="000000"/>
                <w:sz w:val="24"/>
                <w:szCs w:val="24"/>
              </w:rPr>
              <w:t>000001</w:t>
            </w:r>
          </w:p>
        </w:tc>
        <w:tc>
          <w:tcPr>
            <w:tcW w:w="1777" w:type="dxa"/>
            <w:vAlign w:val="center"/>
          </w:tcPr>
          <w:p w:rsidR="004061D6" w:rsidRDefault="004B0E57">
            <w:pPr>
              <w:jc w:val="center"/>
            </w:pPr>
            <w:r>
              <w:rPr>
                <w:color w:val="000000"/>
                <w:sz w:val="24"/>
                <w:szCs w:val="24"/>
              </w:rPr>
              <w:t>平安银行</w:t>
            </w:r>
          </w:p>
        </w:tc>
        <w:tc>
          <w:tcPr>
            <w:tcW w:w="1334" w:type="dxa"/>
            <w:vAlign w:val="center"/>
          </w:tcPr>
          <w:p w:rsidR="004061D6" w:rsidRDefault="004B0E57">
            <w:pPr>
              <w:jc w:val="right"/>
            </w:pPr>
            <w:r>
              <w:rPr>
                <w:color w:val="000000"/>
                <w:sz w:val="24"/>
                <w:szCs w:val="24"/>
              </w:rPr>
              <w:t>451,600</w:t>
            </w:r>
          </w:p>
        </w:tc>
        <w:tc>
          <w:tcPr>
            <w:tcW w:w="1924" w:type="dxa"/>
            <w:vAlign w:val="center"/>
          </w:tcPr>
          <w:p w:rsidR="004061D6" w:rsidRDefault="004B0E57">
            <w:pPr>
              <w:jc w:val="right"/>
            </w:pPr>
            <w:r>
              <w:rPr>
                <w:color w:val="000000"/>
                <w:sz w:val="24"/>
                <w:szCs w:val="24"/>
              </w:rPr>
              <w:t>5,780,480.00</w:t>
            </w:r>
          </w:p>
        </w:tc>
        <w:tc>
          <w:tcPr>
            <w:tcW w:w="1644" w:type="dxa"/>
            <w:vAlign w:val="center"/>
          </w:tcPr>
          <w:p w:rsidR="004061D6" w:rsidRDefault="004B0E57">
            <w:pPr>
              <w:jc w:val="right"/>
            </w:pPr>
            <w:r>
              <w:rPr>
                <w:color w:val="000000"/>
                <w:sz w:val="24"/>
                <w:szCs w:val="24"/>
              </w:rPr>
              <w:t>1.48</w:t>
            </w:r>
          </w:p>
        </w:tc>
      </w:tr>
      <w:tr w:rsidR="004061D6">
        <w:trPr>
          <w:jc w:val="center"/>
        </w:trPr>
        <w:tc>
          <w:tcPr>
            <w:tcW w:w="855" w:type="dxa"/>
            <w:vAlign w:val="center"/>
          </w:tcPr>
          <w:p w:rsidR="004061D6" w:rsidRDefault="004B0E57">
            <w:pPr>
              <w:jc w:val="center"/>
            </w:pPr>
            <w:r>
              <w:rPr>
                <w:color w:val="000000"/>
                <w:sz w:val="24"/>
                <w:szCs w:val="24"/>
              </w:rPr>
              <w:t>7</w:t>
            </w:r>
          </w:p>
        </w:tc>
        <w:tc>
          <w:tcPr>
            <w:tcW w:w="1334" w:type="dxa"/>
            <w:vAlign w:val="center"/>
          </w:tcPr>
          <w:p w:rsidR="004061D6" w:rsidRDefault="004B0E57">
            <w:pPr>
              <w:jc w:val="center"/>
            </w:pPr>
            <w:r>
              <w:rPr>
                <w:color w:val="000000"/>
                <w:sz w:val="24"/>
                <w:szCs w:val="24"/>
              </w:rPr>
              <w:t>002271</w:t>
            </w:r>
          </w:p>
        </w:tc>
        <w:tc>
          <w:tcPr>
            <w:tcW w:w="1777" w:type="dxa"/>
            <w:vAlign w:val="center"/>
          </w:tcPr>
          <w:p w:rsidR="004061D6" w:rsidRDefault="004B0E57">
            <w:pPr>
              <w:jc w:val="center"/>
            </w:pPr>
            <w:r>
              <w:rPr>
                <w:color w:val="000000"/>
                <w:sz w:val="24"/>
                <w:szCs w:val="24"/>
              </w:rPr>
              <w:t>东方雨虹</w:t>
            </w:r>
          </w:p>
        </w:tc>
        <w:tc>
          <w:tcPr>
            <w:tcW w:w="1334" w:type="dxa"/>
            <w:vAlign w:val="center"/>
          </w:tcPr>
          <w:p w:rsidR="004061D6" w:rsidRDefault="004B0E57">
            <w:pPr>
              <w:jc w:val="right"/>
            </w:pPr>
            <w:r>
              <w:rPr>
                <w:color w:val="000000"/>
                <w:sz w:val="24"/>
                <w:szCs w:val="24"/>
              </w:rPr>
              <w:t>132,848</w:t>
            </w:r>
          </w:p>
        </w:tc>
        <w:tc>
          <w:tcPr>
            <w:tcW w:w="1924" w:type="dxa"/>
            <w:vAlign w:val="center"/>
          </w:tcPr>
          <w:p w:rsidR="004061D6" w:rsidRDefault="004B0E57">
            <w:pPr>
              <w:jc w:val="right"/>
            </w:pPr>
            <w:r>
              <w:rPr>
                <w:color w:val="000000"/>
                <w:sz w:val="24"/>
                <w:szCs w:val="24"/>
              </w:rPr>
              <w:t>5,397,614.24</w:t>
            </w:r>
          </w:p>
        </w:tc>
        <w:tc>
          <w:tcPr>
            <w:tcW w:w="1644" w:type="dxa"/>
            <w:vAlign w:val="center"/>
          </w:tcPr>
          <w:p w:rsidR="004061D6" w:rsidRDefault="004B0E57">
            <w:pPr>
              <w:jc w:val="right"/>
            </w:pPr>
            <w:r>
              <w:rPr>
                <w:color w:val="000000"/>
                <w:sz w:val="24"/>
                <w:szCs w:val="24"/>
              </w:rPr>
              <w:t>1.39</w:t>
            </w:r>
          </w:p>
        </w:tc>
      </w:tr>
      <w:tr w:rsidR="004061D6">
        <w:trPr>
          <w:jc w:val="center"/>
        </w:trPr>
        <w:tc>
          <w:tcPr>
            <w:tcW w:w="855" w:type="dxa"/>
            <w:vAlign w:val="center"/>
          </w:tcPr>
          <w:p w:rsidR="004061D6" w:rsidRDefault="004B0E57">
            <w:pPr>
              <w:jc w:val="center"/>
            </w:pPr>
            <w:r>
              <w:rPr>
                <w:color w:val="000000"/>
                <w:sz w:val="24"/>
                <w:szCs w:val="24"/>
              </w:rPr>
              <w:t>8</w:t>
            </w:r>
          </w:p>
        </w:tc>
        <w:tc>
          <w:tcPr>
            <w:tcW w:w="1334" w:type="dxa"/>
            <w:vAlign w:val="center"/>
          </w:tcPr>
          <w:p w:rsidR="004061D6" w:rsidRDefault="004B0E57">
            <w:pPr>
              <w:jc w:val="center"/>
            </w:pPr>
            <w:r>
              <w:rPr>
                <w:color w:val="000000"/>
                <w:sz w:val="24"/>
                <w:szCs w:val="24"/>
              </w:rPr>
              <w:t>601668</w:t>
            </w:r>
          </w:p>
        </w:tc>
        <w:tc>
          <w:tcPr>
            <w:tcW w:w="1777" w:type="dxa"/>
            <w:vAlign w:val="center"/>
          </w:tcPr>
          <w:p w:rsidR="004061D6" w:rsidRDefault="004B0E57">
            <w:pPr>
              <w:jc w:val="center"/>
            </w:pPr>
            <w:r>
              <w:rPr>
                <w:color w:val="000000"/>
                <w:sz w:val="24"/>
                <w:szCs w:val="24"/>
              </w:rPr>
              <w:t>中国建筑</w:t>
            </w:r>
          </w:p>
        </w:tc>
        <w:tc>
          <w:tcPr>
            <w:tcW w:w="1334" w:type="dxa"/>
            <w:vAlign w:val="center"/>
          </w:tcPr>
          <w:p w:rsidR="004061D6" w:rsidRDefault="004B0E57">
            <w:pPr>
              <w:jc w:val="right"/>
            </w:pPr>
            <w:r>
              <w:rPr>
                <w:color w:val="000000"/>
                <w:sz w:val="24"/>
                <w:szCs w:val="24"/>
              </w:rPr>
              <w:t>993,700</w:t>
            </w:r>
          </w:p>
        </w:tc>
        <w:tc>
          <w:tcPr>
            <w:tcW w:w="1924" w:type="dxa"/>
            <w:vAlign w:val="center"/>
          </w:tcPr>
          <w:p w:rsidR="004061D6" w:rsidRDefault="004B0E57">
            <w:pPr>
              <w:jc w:val="right"/>
            </w:pPr>
            <w:r>
              <w:rPr>
                <w:color w:val="000000"/>
                <w:sz w:val="24"/>
                <w:szCs w:val="24"/>
              </w:rPr>
              <w:t>4,739,949.00</w:t>
            </w:r>
          </w:p>
        </w:tc>
        <w:tc>
          <w:tcPr>
            <w:tcW w:w="1644" w:type="dxa"/>
            <w:vAlign w:val="center"/>
          </w:tcPr>
          <w:p w:rsidR="004061D6" w:rsidRDefault="004B0E57">
            <w:pPr>
              <w:jc w:val="right"/>
            </w:pPr>
            <w:r>
              <w:rPr>
                <w:color w:val="000000"/>
                <w:sz w:val="24"/>
                <w:szCs w:val="24"/>
              </w:rPr>
              <w:t>1.22</w:t>
            </w:r>
          </w:p>
        </w:tc>
      </w:tr>
      <w:tr w:rsidR="004061D6">
        <w:trPr>
          <w:jc w:val="center"/>
        </w:trPr>
        <w:tc>
          <w:tcPr>
            <w:tcW w:w="855" w:type="dxa"/>
            <w:vAlign w:val="center"/>
          </w:tcPr>
          <w:p w:rsidR="004061D6" w:rsidRDefault="004B0E57">
            <w:pPr>
              <w:jc w:val="center"/>
            </w:pPr>
            <w:r>
              <w:rPr>
                <w:color w:val="000000"/>
                <w:sz w:val="24"/>
                <w:szCs w:val="24"/>
              </w:rPr>
              <w:t>9</w:t>
            </w:r>
          </w:p>
        </w:tc>
        <w:tc>
          <w:tcPr>
            <w:tcW w:w="1334" w:type="dxa"/>
            <w:vAlign w:val="center"/>
          </w:tcPr>
          <w:p w:rsidR="004061D6" w:rsidRDefault="004B0E57">
            <w:pPr>
              <w:jc w:val="center"/>
            </w:pPr>
            <w:r>
              <w:rPr>
                <w:color w:val="000000"/>
                <w:sz w:val="24"/>
                <w:szCs w:val="24"/>
              </w:rPr>
              <w:t>300070</w:t>
            </w:r>
          </w:p>
        </w:tc>
        <w:tc>
          <w:tcPr>
            <w:tcW w:w="1777" w:type="dxa"/>
            <w:vAlign w:val="center"/>
          </w:tcPr>
          <w:p w:rsidR="004061D6" w:rsidRDefault="004B0E57">
            <w:pPr>
              <w:jc w:val="center"/>
            </w:pPr>
            <w:r>
              <w:rPr>
                <w:color w:val="000000"/>
                <w:sz w:val="24"/>
                <w:szCs w:val="24"/>
              </w:rPr>
              <w:t>碧水源</w:t>
            </w:r>
          </w:p>
        </w:tc>
        <w:tc>
          <w:tcPr>
            <w:tcW w:w="1334" w:type="dxa"/>
            <w:vAlign w:val="center"/>
          </w:tcPr>
          <w:p w:rsidR="004061D6" w:rsidRDefault="004B0E57">
            <w:pPr>
              <w:jc w:val="right"/>
            </w:pPr>
            <w:r>
              <w:rPr>
                <w:color w:val="000000"/>
                <w:sz w:val="24"/>
                <w:szCs w:val="24"/>
              </w:rPr>
              <w:t>563,700</w:t>
            </w:r>
          </w:p>
        </w:tc>
        <w:tc>
          <w:tcPr>
            <w:tcW w:w="1924" w:type="dxa"/>
            <w:vAlign w:val="center"/>
          </w:tcPr>
          <w:p w:rsidR="004061D6" w:rsidRDefault="004B0E57">
            <w:pPr>
              <w:jc w:val="right"/>
            </w:pPr>
            <w:r>
              <w:rPr>
                <w:color w:val="000000"/>
                <w:sz w:val="24"/>
                <w:szCs w:val="24"/>
              </w:rPr>
              <w:t>4,577,244.00</w:t>
            </w:r>
          </w:p>
        </w:tc>
        <w:tc>
          <w:tcPr>
            <w:tcW w:w="1644" w:type="dxa"/>
            <w:vAlign w:val="center"/>
          </w:tcPr>
          <w:p w:rsidR="004061D6" w:rsidRDefault="004B0E57">
            <w:pPr>
              <w:jc w:val="right"/>
            </w:pPr>
            <w:r>
              <w:rPr>
                <w:color w:val="000000"/>
                <w:sz w:val="24"/>
                <w:szCs w:val="24"/>
              </w:rPr>
              <w:t>1.17</w:t>
            </w:r>
          </w:p>
        </w:tc>
      </w:tr>
      <w:tr w:rsidR="004061D6">
        <w:trPr>
          <w:jc w:val="center"/>
        </w:trPr>
        <w:tc>
          <w:tcPr>
            <w:tcW w:w="855" w:type="dxa"/>
            <w:vAlign w:val="center"/>
          </w:tcPr>
          <w:p w:rsidR="004061D6" w:rsidRDefault="004B0E57">
            <w:pPr>
              <w:jc w:val="center"/>
            </w:pPr>
            <w:r>
              <w:rPr>
                <w:color w:val="000000"/>
                <w:sz w:val="24"/>
                <w:szCs w:val="24"/>
              </w:rPr>
              <w:t>10</w:t>
            </w:r>
          </w:p>
        </w:tc>
        <w:tc>
          <w:tcPr>
            <w:tcW w:w="1334" w:type="dxa"/>
            <w:vAlign w:val="center"/>
          </w:tcPr>
          <w:p w:rsidR="004061D6" w:rsidRDefault="004B0E57">
            <w:pPr>
              <w:jc w:val="center"/>
            </w:pPr>
            <w:r>
              <w:rPr>
                <w:color w:val="000000"/>
                <w:sz w:val="24"/>
                <w:szCs w:val="24"/>
              </w:rPr>
              <w:t>600519</w:t>
            </w:r>
          </w:p>
        </w:tc>
        <w:tc>
          <w:tcPr>
            <w:tcW w:w="1777" w:type="dxa"/>
            <w:vAlign w:val="center"/>
          </w:tcPr>
          <w:p w:rsidR="004061D6" w:rsidRDefault="004B0E57">
            <w:pPr>
              <w:jc w:val="center"/>
            </w:pPr>
            <w:r>
              <w:rPr>
                <w:color w:val="000000"/>
                <w:sz w:val="24"/>
                <w:szCs w:val="24"/>
              </w:rPr>
              <w:t>贵州茅台</w:t>
            </w:r>
          </w:p>
        </w:tc>
        <w:tc>
          <w:tcPr>
            <w:tcW w:w="1334" w:type="dxa"/>
            <w:vAlign w:val="center"/>
          </w:tcPr>
          <w:p w:rsidR="004061D6" w:rsidRDefault="004B0E57">
            <w:pPr>
              <w:jc w:val="right"/>
            </w:pPr>
            <w:r>
              <w:rPr>
                <w:color w:val="000000"/>
                <w:sz w:val="24"/>
                <w:szCs w:val="24"/>
              </w:rPr>
              <w:t>3,000</w:t>
            </w:r>
          </w:p>
        </w:tc>
        <w:tc>
          <w:tcPr>
            <w:tcW w:w="1924" w:type="dxa"/>
            <w:vAlign w:val="center"/>
          </w:tcPr>
          <w:p w:rsidR="004061D6" w:rsidRDefault="004B0E57">
            <w:pPr>
              <w:jc w:val="right"/>
            </w:pPr>
            <w:r>
              <w:rPr>
                <w:color w:val="000000"/>
                <w:sz w:val="24"/>
                <w:szCs w:val="24"/>
              </w:rPr>
              <w:t>4,388,640.00</w:t>
            </w:r>
          </w:p>
        </w:tc>
        <w:tc>
          <w:tcPr>
            <w:tcW w:w="1644" w:type="dxa"/>
            <w:vAlign w:val="center"/>
          </w:tcPr>
          <w:p w:rsidR="004061D6" w:rsidRDefault="004B0E57">
            <w:pPr>
              <w:jc w:val="right"/>
            </w:pPr>
            <w:r>
              <w:rPr>
                <w:color w:val="000000"/>
                <w:sz w:val="24"/>
                <w:szCs w:val="24"/>
              </w:rPr>
              <w:t>1.13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324,428,000.00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83.25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40,588,000.00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10.42</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385,044,000.00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98.81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061D6">
        <w:trPr>
          <w:jc w:val="center"/>
        </w:trPr>
        <w:tc>
          <w:tcPr>
            <w:tcW w:w="850" w:type="dxa"/>
            <w:vAlign w:val="center"/>
          </w:tcPr>
          <w:p w:rsidR="004061D6" w:rsidRDefault="004B0E57">
            <w:pPr>
              <w:jc w:val="center"/>
            </w:pPr>
            <w:r>
              <w:rPr>
                <w:color w:val="000000"/>
                <w:sz w:val="24"/>
                <w:szCs w:val="24"/>
              </w:rPr>
              <w:t>1</w:t>
            </w:r>
          </w:p>
        </w:tc>
        <w:tc>
          <w:tcPr>
            <w:tcW w:w="1475" w:type="dxa"/>
            <w:vAlign w:val="center"/>
          </w:tcPr>
          <w:p w:rsidR="004061D6" w:rsidRDefault="004B0E57">
            <w:pPr>
              <w:jc w:val="center"/>
            </w:pPr>
            <w:r>
              <w:rPr>
                <w:color w:val="000000"/>
                <w:sz w:val="24"/>
                <w:szCs w:val="24"/>
              </w:rPr>
              <w:t>143662</w:t>
            </w:r>
          </w:p>
        </w:tc>
        <w:tc>
          <w:tcPr>
            <w:tcW w:w="1769" w:type="dxa"/>
            <w:vAlign w:val="center"/>
          </w:tcPr>
          <w:p w:rsidR="004061D6" w:rsidRDefault="004B0E57">
            <w:pPr>
              <w:jc w:val="center"/>
            </w:pPr>
            <w:r>
              <w:rPr>
                <w:color w:val="000000"/>
                <w:sz w:val="24"/>
                <w:szCs w:val="24"/>
              </w:rPr>
              <w:t>18</w:t>
            </w:r>
            <w:r>
              <w:rPr>
                <w:color w:val="000000"/>
                <w:sz w:val="24"/>
                <w:szCs w:val="24"/>
              </w:rPr>
              <w:t>国电</w:t>
            </w:r>
            <w:r>
              <w:rPr>
                <w:color w:val="000000"/>
                <w:sz w:val="24"/>
                <w:szCs w:val="24"/>
              </w:rPr>
              <w:t>02</w:t>
            </w:r>
          </w:p>
        </w:tc>
        <w:tc>
          <w:tcPr>
            <w:tcW w:w="1387" w:type="dxa"/>
            <w:vAlign w:val="center"/>
          </w:tcPr>
          <w:p w:rsidR="004061D6" w:rsidRDefault="004B0E57">
            <w:pPr>
              <w:jc w:val="right"/>
            </w:pPr>
            <w:r>
              <w:rPr>
                <w:color w:val="000000"/>
                <w:sz w:val="24"/>
                <w:szCs w:val="24"/>
              </w:rPr>
              <w:t>300,000</w:t>
            </w:r>
          </w:p>
        </w:tc>
        <w:tc>
          <w:tcPr>
            <w:tcW w:w="2150" w:type="dxa"/>
            <w:vAlign w:val="center"/>
          </w:tcPr>
          <w:p w:rsidR="004061D6" w:rsidRDefault="004B0E57">
            <w:pPr>
              <w:jc w:val="right"/>
            </w:pPr>
            <w:r>
              <w:rPr>
                <w:color w:val="000000"/>
                <w:sz w:val="24"/>
                <w:szCs w:val="24"/>
              </w:rPr>
              <w:t>30,543,000.00</w:t>
            </w:r>
          </w:p>
        </w:tc>
        <w:tc>
          <w:tcPr>
            <w:tcW w:w="1237" w:type="dxa"/>
            <w:vAlign w:val="center"/>
          </w:tcPr>
          <w:p w:rsidR="004061D6" w:rsidRDefault="004B0E57">
            <w:pPr>
              <w:jc w:val="right"/>
            </w:pPr>
            <w:r>
              <w:rPr>
                <w:color w:val="000000"/>
                <w:sz w:val="24"/>
                <w:szCs w:val="24"/>
              </w:rPr>
              <w:t>7.84</w:t>
            </w:r>
          </w:p>
        </w:tc>
      </w:tr>
      <w:tr w:rsidR="004061D6">
        <w:trPr>
          <w:jc w:val="center"/>
        </w:trPr>
        <w:tc>
          <w:tcPr>
            <w:tcW w:w="850" w:type="dxa"/>
            <w:vAlign w:val="center"/>
          </w:tcPr>
          <w:p w:rsidR="004061D6" w:rsidRDefault="004B0E57">
            <w:pPr>
              <w:jc w:val="center"/>
            </w:pPr>
            <w:r>
              <w:rPr>
                <w:color w:val="000000"/>
                <w:sz w:val="24"/>
                <w:szCs w:val="24"/>
              </w:rPr>
              <w:t>2</w:t>
            </w:r>
          </w:p>
        </w:tc>
        <w:tc>
          <w:tcPr>
            <w:tcW w:w="1475" w:type="dxa"/>
            <w:vAlign w:val="center"/>
          </w:tcPr>
          <w:p w:rsidR="004061D6" w:rsidRDefault="004B0E57">
            <w:pPr>
              <w:jc w:val="center"/>
            </w:pPr>
            <w:r>
              <w:rPr>
                <w:color w:val="000000"/>
                <w:sz w:val="24"/>
                <w:szCs w:val="24"/>
              </w:rPr>
              <w:t>155025</w:t>
            </w:r>
          </w:p>
        </w:tc>
        <w:tc>
          <w:tcPr>
            <w:tcW w:w="1769" w:type="dxa"/>
            <w:vAlign w:val="center"/>
          </w:tcPr>
          <w:p w:rsidR="004061D6" w:rsidRDefault="004B0E57">
            <w:pPr>
              <w:jc w:val="center"/>
            </w:pPr>
            <w:r>
              <w:rPr>
                <w:color w:val="000000"/>
                <w:sz w:val="24"/>
                <w:szCs w:val="24"/>
              </w:rPr>
              <w:t>18</w:t>
            </w:r>
            <w:r>
              <w:rPr>
                <w:color w:val="000000"/>
                <w:sz w:val="24"/>
                <w:szCs w:val="24"/>
              </w:rPr>
              <w:t>光大</w:t>
            </w:r>
            <w:r>
              <w:rPr>
                <w:color w:val="000000"/>
                <w:sz w:val="24"/>
                <w:szCs w:val="24"/>
              </w:rPr>
              <w:t>01</w:t>
            </w:r>
          </w:p>
        </w:tc>
        <w:tc>
          <w:tcPr>
            <w:tcW w:w="1387" w:type="dxa"/>
            <w:vAlign w:val="center"/>
          </w:tcPr>
          <w:p w:rsidR="004061D6" w:rsidRDefault="004B0E57">
            <w:pPr>
              <w:jc w:val="right"/>
            </w:pPr>
            <w:r>
              <w:rPr>
                <w:color w:val="000000"/>
                <w:sz w:val="24"/>
                <w:szCs w:val="24"/>
              </w:rPr>
              <w:t>300,000</w:t>
            </w:r>
          </w:p>
        </w:tc>
        <w:tc>
          <w:tcPr>
            <w:tcW w:w="2150" w:type="dxa"/>
            <w:vAlign w:val="center"/>
          </w:tcPr>
          <w:p w:rsidR="004061D6" w:rsidRDefault="004B0E57">
            <w:pPr>
              <w:jc w:val="right"/>
            </w:pPr>
            <w:r>
              <w:rPr>
                <w:color w:val="000000"/>
                <w:sz w:val="24"/>
                <w:szCs w:val="24"/>
              </w:rPr>
              <w:t>30,501,000.00</w:t>
            </w:r>
          </w:p>
        </w:tc>
        <w:tc>
          <w:tcPr>
            <w:tcW w:w="1237" w:type="dxa"/>
            <w:vAlign w:val="center"/>
          </w:tcPr>
          <w:p w:rsidR="004061D6" w:rsidRDefault="004B0E57">
            <w:pPr>
              <w:jc w:val="right"/>
            </w:pPr>
            <w:r>
              <w:rPr>
                <w:color w:val="000000"/>
                <w:sz w:val="24"/>
                <w:szCs w:val="24"/>
              </w:rPr>
              <w:t>7.83</w:t>
            </w:r>
          </w:p>
        </w:tc>
      </w:tr>
      <w:tr w:rsidR="004061D6">
        <w:trPr>
          <w:jc w:val="center"/>
        </w:trPr>
        <w:tc>
          <w:tcPr>
            <w:tcW w:w="850" w:type="dxa"/>
            <w:vAlign w:val="center"/>
          </w:tcPr>
          <w:p w:rsidR="004061D6" w:rsidRDefault="004B0E57">
            <w:pPr>
              <w:jc w:val="center"/>
            </w:pPr>
            <w:r>
              <w:rPr>
                <w:color w:val="000000"/>
                <w:sz w:val="24"/>
                <w:szCs w:val="24"/>
              </w:rPr>
              <w:t>3</w:t>
            </w:r>
          </w:p>
        </w:tc>
        <w:tc>
          <w:tcPr>
            <w:tcW w:w="1475" w:type="dxa"/>
            <w:vAlign w:val="center"/>
          </w:tcPr>
          <w:p w:rsidR="004061D6" w:rsidRDefault="004B0E57">
            <w:pPr>
              <w:jc w:val="center"/>
            </w:pPr>
            <w:r>
              <w:rPr>
                <w:color w:val="000000"/>
                <w:sz w:val="24"/>
                <w:szCs w:val="24"/>
              </w:rPr>
              <w:t>143793</w:t>
            </w:r>
          </w:p>
        </w:tc>
        <w:tc>
          <w:tcPr>
            <w:tcW w:w="1769" w:type="dxa"/>
            <w:vAlign w:val="center"/>
          </w:tcPr>
          <w:p w:rsidR="004061D6" w:rsidRDefault="004B0E57">
            <w:pPr>
              <w:jc w:val="center"/>
            </w:pPr>
            <w:r>
              <w:rPr>
                <w:color w:val="000000"/>
                <w:sz w:val="24"/>
                <w:szCs w:val="24"/>
              </w:rPr>
              <w:t>18</w:t>
            </w:r>
            <w:r>
              <w:rPr>
                <w:color w:val="000000"/>
                <w:sz w:val="24"/>
                <w:szCs w:val="24"/>
              </w:rPr>
              <w:t>深航</w:t>
            </w:r>
            <w:r>
              <w:rPr>
                <w:color w:val="000000"/>
                <w:sz w:val="24"/>
                <w:szCs w:val="24"/>
              </w:rPr>
              <w:t>06</w:t>
            </w:r>
          </w:p>
        </w:tc>
        <w:tc>
          <w:tcPr>
            <w:tcW w:w="1387" w:type="dxa"/>
            <w:vAlign w:val="center"/>
          </w:tcPr>
          <w:p w:rsidR="004061D6" w:rsidRDefault="004B0E57">
            <w:pPr>
              <w:jc w:val="right"/>
            </w:pPr>
            <w:r>
              <w:rPr>
                <w:color w:val="000000"/>
                <w:sz w:val="24"/>
                <w:szCs w:val="24"/>
              </w:rPr>
              <w:t>300,000</w:t>
            </w:r>
          </w:p>
        </w:tc>
        <w:tc>
          <w:tcPr>
            <w:tcW w:w="2150" w:type="dxa"/>
            <w:vAlign w:val="center"/>
          </w:tcPr>
          <w:p w:rsidR="004061D6" w:rsidRDefault="004B0E57">
            <w:pPr>
              <w:jc w:val="right"/>
            </w:pPr>
            <w:r>
              <w:rPr>
                <w:color w:val="000000"/>
                <w:sz w:val="24"/>
                <w:szCs w:val="24"/>
              </w:rPr>
              <w:t>30,480,000.00</w:t>
            </w:r>
          </w:p>
        </w:tc>
        <w:tc>
          <w:tcPr>
            <w:tcW w:w="1237" w:type="dxa"/>
            <w:vAlign w:val="center"/>
          </w:tcPr>
          <w:p w:rsidR="004061D6" w:rsidRDefault="004B0E57">
            <w:pPr>
              <w:jc w:val="right"/>
            </w:pPr>
            <w:r>
              <w:rPr>
                <w:color w:val="000000"/>
                <w:sz w:val="24"/>
                <w:szCs w:val="24"/>
              </w:rPr>
              <w:t>7.82</w:t>
            </w:r>
          </w:p>
        </w:tc>
      </w:tr>
      <w:tr w:rsidR="004061D6">
        <w:trPr>
          <w:jc w:val="center"/>
        </w:trPr>
        <w:tc>
          <w:tcPr>
            <w:tcW w:w="850" w:type="dxa"/>
            <w:vAlign w:val="center"/>
          </w:tcPr>
          <w:p w:rsidR="004061D6" w:rsidRDefault="004B0E57">
            <w:pPr>
              <w:jc w:val="center"/>
            </w:pPr>
            <w:r>
              <w:rPr>
                <w:color w:val="000000"/>
                <w:sz w:val="24"/>
                <w:szCs w:val="24"/>
              </w:rPr>
              <w:t>4</w:t>
            </w:r>
          </w:p>
        </w:tc>
        <w:tc>
          <w:tcPr>
            <w:tcW w:w="1475" w:type="dxa"/>
            <w:vAlign w:val="center"/>
          </w:tcPr>
          <w:p w:rsidR="004061D6" w:rsidRDefault="004B0E57">
            <w:pPr>
              <w:jc w:val="center"/>
            </w:pPr>
            <w:r>
              <w:rPr>
                <w:color w:val="000000"/>
                <w:sz w:val="24"/>
                <w:szCs w:val="24"/>
              </w:rPr>
              <w:t>112802</w:t>
            </w:r>
          </w:p>
        </w:tc>
        <w:tc>
          <w:tcPr>
            <w:tcW w:w="1769" w:type="dxa"/>
            <w:vAlign w:val="center"/>
          </w:tcPr>
          <w:p w:rsidR="004061D6" w:rsidRDefault="004B0E57">
            <w:pPr>
              <w:jc w:val="center"/>
            </w:pPr>
            <w:r>
              <w:rPr>
                <w:color w:val="000000"/>
                <w:sz w:val="24"/>
                <w:szCs w:val="24"/>
              </w:rPr>
              <w:t>18</w:t>
            </w:r>
            <w:proofErr w:type="gramStart"/>
            <w:r>
              <w:rPr>
                <w:color w:val="000000"/>
                <w:sz w:val="24"/>
                <w:szCs w:val="24"/>
              </w:rPr>
              <w:t>电科</w:t>
            </w:r>
            <w:proofErr w:type="gramEnd"/>
            <w:r>
              <w:rPr>
                <w:color w:val="000000"/>
                <w:sz w:val="24"/>
                <w:szCs w:val="24"/>
              </w:rPr>
              <w:t>02</w:t>
            </w:r>
          </w:p>
        </w:tc>
        <w:tc>
          <w:tcPr>
            <w:tcW w:w="1387" w:type="dxa"/>
            <w:vAlign w:val="center"/>
          </w:tcPr>
          <w:p w:rsidR="004061D6" w:rsidRDefault="004B0E57">
            <w:pPr>
              <w:jc w:val="right"/>
            </w:pPr>
            <w:r>
              <w:rPr>
                <w:color w:val="000000"/>
                <w:sz w:val="24"/>
                <w:szCs w:val="24"/>
              </w:rPr>
              <w:t>300,000</w:t>
            </w:r>
          </w:p>
        </w:tc>
        <w:tc>
          <w:tcPr>
            <w:tcW w:w="2150" w:type="dxa"/>
            <w:vAlign w:val="center"/>
          </w:tcPr>
          <w:p w:rsidR="004061D6" w:rsidRDefault="004B0E57">
            <w:pPr>
              <w:jc w:val="right"/>
            </w:pPr>
            <w:r>
              <w:rPr>
                <w:color w:val="000000"/>
                <w:sz w:val="24"/>
                <w:szCs w:val="24"/>
              </w:rPr>
              <w:t>30,429,000.00</w:t>
            </w:r>
          </w:p>
        </w:tc>
        <w:tc>
          <w:tcPr>
            <w:tcW w:w="1237" w:type="dxa"/>
            <w:vAlign w:val="center"/>
          </w:tcPr>
          <w:p w:rsidR="004061D6" w:rsidRDefault="004B0E57">
            <w:pPr>
              <w:jc w:val="right"/>
            </w:pPr>
            <w:r>
              <w:rPr>
                <w:color w:val="000000"/>
                <w:sz w:val="24"/>
                <w:szCs w:val="24"/>
              </w:rPr>
              <w:t>7.81</w:t>
            </w:r>
          </w:p>
        </w:tc>
      </w:tr>
      <w:tr w:rsidR="004061D6">
        <w:trPr>
          <w:jc w:val="center"/>
        </w:trPr>
        <w:tc>
          <w:tcPr>
            <w:tcW w:w="850" w:type="dxa"/>
            <w:vAlign w:val="center"/>
          </w:tcPr>
          <w:p w:rsidR="004061D6" w:rsidRDefault="004B0E57">
            <w:pPr>
              <w:jc w:val="center"/>
            </w:pPr>
            <w:r>
              <w:rPr>
                <w:color w:val="000000"/>
                <w:sz w:val="24"/>
                <w:szCs w:val="24"/>
              </w:rPr>
              <w:t>5</w:t>
            </w:r>
          </w:p>
        </w:tc>
        <w:tc>
          <w:tcPr>
            <w:tcW w:w="1475" w:type="dxa"/>
            <w:vAlign w:val="center"/>
          </w:tcPr>
          <w:p w:rsidR="004061D6" w:rsidRDefault="004B0E57">
            <w:pPr>
              <w:jc w:val="center"/>
            </w:pPr>
            <w:r>
              <w:rPr>
                <w:color w:val="000000"/>
                <w:sz w:val="24"/>
                <w:szCs w:val="24"/>
              </w:rPr>
              <w:t>136479</w:t>
            </w:r>
          </w:p>
        </w:tc>
        <w:tc>
          <w:tcPr>
            <w:tcW w:w="1769" w:type="dxa"/>
            <w:vAlign w:val="center"/>
          </w:tcPr>
          <w:p w:rsidR="004061D6" w:rsidRDefault="004B0E57">
            <w:pPr>
              <w:jc w:val="center"/>
            </w:pPr>
            <w:r>
              <w:rPr>
                <w:color w:val="000000"/>
                <w:sz w:val="24"/>
                <w:szCs w:val="24"/>
              </w:rPr>
              <w:t>16</w:t>
            </w:r>
            <w:r>
              <w:rPr>
                <w:color w:val="000000"/>
                <w:sz w:val="24"/>
                <w:szCs w:val="24"/>
              </w:rPr>
              <w:t>华能</w:t>
            </w:r>
            <w:r>
              <w:rPr>
                <w:color w:val="000000"/>
                <w:sz w:val="24"/>
                <w:szCs w:val="24"/>
              </w:rPr>
              <w:t>01</w:t>
            </w:r>
          </w:p>
        </w:tc>
        <w:tc>
          <w:tcPr>
            <w:tcW w:w="1387" w:type="dxa"/>
            <w:vAlign w:val="center"/>
          </w:tcPr>
          <w:p w:rsidR="004061D6" w:rsidRDefault="004B0E57">
            <w:pPr>
              <w:jc w:val="right"/>
            </w:pPr>
            <w:r>
              <w:rPr>
                <w:color w:val="000000"/>
                <w:sz w:val="24"/>
                <w:szCs w:val="24"/>
              </w:rPr>
              <w:t>300,000</w:t>
            </w:r>
          </w:p>
        </w:tc>
        <w:tc>
          <w:tcPr>
            <w:tcW w:w="2150" w:type="dxa"/>
            <w:vAlign w:val="center"/>
          </w:tcPr>
          <w:p w:rsidR="004061D6" w:rsidRDefault="004B0E57">
            <w:pPr>
              <w:jc w:val="right"/>
            </w:pPr>
            <w:r>
              <w:rPr>
                <w:color w:val="000000"/>
                <w:sz w:val="24"/>
                <w:szCs w:val="24"/>
              </w:rPr>
              <w:t>30,201,000.00</w:t>
            </w:r>
          </w:p>
        </w:tc>
        <w:tc>
          <w:tcPr>
            <w:tcW w:w="1237" w:type="dxa"/>
            <w:vAlign w:val="center"/>
          </w:tcPr>
          <w:p w:rsidR="004061D6" w:rsidRDefault="004B0E57">
            <w:pPr>
              <w:jc w:val="right"/>
            </w:pPr>
            <w:r>
              <w:rPr>
                <w:color w:val="000000"/>
                <w:sz w:val="24"/>
                <w:szCs w:val="24"/>
              </w:rPr>
              <w:t>7.75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0A158D" w:rsidRDefault="000A158D"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lastRenderedPageBreak/>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8,333.80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5,896,576.22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5,904,910.02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0A158D" w:rsidRDefault="000A158D"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0A158D" w:rsidRDefault="000A158D"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300,312,677.12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300,312,677.12</w:t>
            </w:r>
          </w:p>
        </w:tc>
      </w:tr>
    </w:tbl>
    <w:p w:rsidR="004061D6" w:rsidRDefault="004B0E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0A158D">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061D6">
        <w:tc>
          <w:tcPr>
            <w:tcW w:w="993" w:type="dxa"/>
            <w:vMerge w:val="restart"/>
          </w:tcPr>
          <w:p w:rsidR="004061D6" w:rsidRDefault="004061D6"/>
          <w:p w:rsidR="004061D6" w:rsidRDefault="004B0E57">
            <w:r>
              <w:rPr>
                <w:rFonts w:ascii="宋体" w:hAnsi="宋体" w:hint="eastAsia"/>
                <w:bCs/>
                <w:color w:val="000000"/>
                <w:kern w:val="0"/>
              </w:rPr>
              <w:t>机构</w:t>
            </w:r>
          </w:p>
        </w:tc>
        <w:tc>
          <w:tcPr>
            <w:tcW w:w="992" w:type="dxa"/>
            <w:vAlign w:val="center"/>
          </w:tcPr>
          <w:p w:rsidR="004061D6" w:rsidRDefault="004B0E57">
            <w:pPr>
              <w:jc w:val="center"/>
            </w:pPr>
            <w:r>
              <w:rPr>
                <w:rFonts w:ascii="宋体" w:hAnsi="宋体"/>
                <w:color w:val="000000"/>
                <w:kern w:val="0"/>
              </w:rPr>
              <w:t>1</w:t>
            </w:r>
          </w:p>
        </w:tc>
        <w:tc>
          <w:tcPr>
            <w:tcW w:w="1843" w:type="dxa"/>
            <w:vAlign w:val="center"/>
          </w:tcPr>
          <w:p w:rsidR="004061D6" w:rsidRDefault="004B0E57">
            <w:pPr>
              <w:jc w:val="center"/>
            </w:pPr>
            <w:r>
              <w:rPr>
                <w:rFonts w:ascii="宋体" w:hAnsi="宋体"/>
                <w:color w:val="000000"/>
                <w:kern w:val="0"/>
              </w:rPr>
              <w:t>2020/4/1-2020/6/30</w:t>
            </w:r>
          </w:p>
        </w:tc>
        <w:tc>
          <w:tcPr>
            <w:tcW w:w="851" w:type="dxa"/>
            <w:vAlign w:val="center"/>
          </w:tcPr>
          <w:p w:rsidR="004061D6" w:rsidRDefault="004B0E57">
            <w:pPr>
              <w:jc w:val="center"/>
            </w:pPr>
            <w:r>
              <w:rPr>
                <w:rFonts w:ascii="宋体" w:hAnsi="宋体"/>
                <w:color w:val="000000"/>
                <w:kern w:val="0"/>
              </w:rPr>
              <w:t>299,999,000.00</w:t>
            </w:r>
          </w:p>
        </w:tc>
        <w:tc>
          <w:tcPr>
            <w:tcW w:w="850" w:type="dxa"/>
            <w:vAlign w:val="center"/>
          </w:tcPr>
          <w:p w:rsidR="004061D6" w:rsidRDefault="004B0E57">
            <w:pPr>
              <w:jc w:val="center"/>
            </w:pPr>
            <w:r>
              <w:rPr>
                <w:rFonts w:ascii="宋体" w:hAnsi="宋体"/>
                <w:color w:val="000000"/>
                <w:kern w:val="0"/>
              </w:rPr>
              <w:t>-</w:t>
            </w:r>
          </w:p>
        </w:tc>
        <w:tc>
          <w:tcPr>
            <w:tcW w:w="1134" w:type="dxa"/>
            <w:vAlign w:val="center"/>
          </w:tcPr>
          <w:p w:rsidR="004061D6" w:rsidRDefault="004B0E57">
            <w:pPr>
              <w:jc w:val="center"/>
            </w:pPr>
            <w:r>
              <w:rPr>
                <w:rFonts w:ascii="宋体" w:hAnsi="宋体"/>
                <w:color w:val="000000"/>
                <w:kern w:val="0"/>
              </w:rPr>
              <w:t>-</w:t>
            </w:r>
          </w:p>
        </w:tc>
        <w:tc>
          <w:tcPr>
            <w:tcW w:w="1419" w:type="dxa"/>
            <w:vAlign w:val="center"/>
          </w:tcPr>
          <w:p w:rsidR="004061D6" w:rsidRDefault="004B0E57">
            <w:pPr>
              <w:jc w:val="center"/>
            </w:pPr>
            <w:r>
              <w:rPr>
                <w:rFonts w:ascii="宋体" w:hAnsi="宋体"/>
                <w:color w:val="000000"/>
                <w:kern w:val="0"/>
              </w:rPr>
              <w:t>299,999,000.00</w:t>
            </w:r>
          </w:p>
        </w:tc>
        <w:tc>
          <w:tcPr>
            <w:tcW w:w="1130" w:type="dxa"/>
            <w:vAlign w:val="center"/>
          </w:tcPr>
          <w:p w:rsidR="004061D6" w:rsidRDefault="004B0E57">
            <w:pPr>
              <w:jc w:val="center"/>
            </w:pPr>
            <w:r>
              <w:rPr>
                <w:rFonts w:ascii="宋体" w:hAnsi="宋体"/>
                <w:color w:val="000000"/>
                <w:kern w:val="0"/>
              </w:rPr>
              <w:t>99.90%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A158D" w:rsidRPr="00414345" w:rsidRDefault="000A158D" w:rsidP="000A158D">
      <w:pPr>
        <w:autoSpaceDE w:val="0"/>
        <w:autoSpaceDN w:val="0"/>
        <w:adjustRightInd w:val="0"/>
        <w:spacing w:before="29" w:line="288" w:lineRule="auto"/>
        <w:jc w:val="left"/>
        <w:rPr>
          <w:color w:val="000000"/>
          <w:sz w:val="24"/>
        </w:rPr>
      </w:pPr>
      <w:bookmarkStart w:id="0" w:name="_GoBack"/>
      <w:bookmarkEnd w:id="0"/>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061D6" w:rsidRDefault="004B0E5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w:t>
      </w:r>
      <w:proofErr w:type="gramStart"/>
      <w:r>
        <w:rPr>
          <w:color w:val="000000"/>
          <w:sz w:val="24"/>
          <w:szCs w:val="24"/>
        </w:rPr>
        <w:t>鑫</w:t>
      </w:r>
      <w:proofErr w:type="gramEnd"/>
      <w:r>
        <w:rPr>
          <w:color w:val="000000"/>
          <w:sz w:val="24"/>
          <w:szCs w:val="24"/>
        </w:rPr>
        <w:t>定期开放灵活配置混合型证券投资基金募集注册的文件；</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、关于申请募集注册交银施罗德瑞</w:t>
      </w:r>
      <w:proofErr w:type="gramStart"/>
      <w:r>
        <w:rPr>
          <w:color w:val="000000"/>
          <w:sz w:val="24"/>
          <w:szCs w:val="24"/>
        </w:rPr>
        <w:t>鑫</w:t>
      </w:r>
      <w:proofErr w:type="gramEnd"/>
      <w:r>
        <w:rPr>
          <w:color w:val="000000"/>
          <w:sz w:val="24"/>
          <w:szCs w:val="24"/>
        </w:rPr>
        <w:t>定期开放灵活配置混合型证券投资基金的法律意见书；</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061D6" w:rsidRDefault="004B0E5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w:t>
      </w:r>
      <w:proofErr w:type="gramStart"/>
      <w:r w:rsidRPr="00414345">
        <w:rPr>
          <w:color w:val="000000"/>
          <w:sz w:val="24"/>
          <w:szCs w:val="24"/>
        </w:rPr>
        <w:t>鑫</w:t>
      </w:r>
      <w:proofErr w:type="gramEnd"/>
      <w:r w:rsidRPr="00414345">
        <w:rPr>
          <w:color w:val="000000"/>
          <w:sz w:val="24"/>
          <w:szCs w:val="24"/>
        </w:rPr>
        <w:t>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061D6" w:rsidRDefault="004B0E5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E57" w:rsidRDefault="004B0E57" w:rsidP="00876D65">
      <w:r>
        <w:separator/>
      </w:r>
    </w:p>
  </w:endnote>
  <w:endnote w:type="continuationSeparator" w:id="0">
    <w:p w:rsidR="004B0E57" w:rsidRDefault="004B0E5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E57" w:rsidRDefault="004B0E57" w:rsidP="00876D65">
      <w:r>
        <w:separator/>
      </w:r>
    </w:p>
  </w:footnote>
  <w:footnote w:type="continuationSeparator" w:id="0">
    <w:p w:rsidR="004B0E57" w:rsidRDefault="004B0E57"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交银施罗德瑞</w:t>
    </w:r>
    <w:proofErr w:type="gramStart"/>
    <w:r w:rsidRPr="003E676C">
      <w:rPr>
        <w:sz w:val="24"/>
        <w:szCs w:val="24"/>
      </w:rPr>
      <w:t>鑫</w:t>
    </w:r>
    <w:proofErr w:type="gramEnd"/>
    <w:r w:rsidRPr="003E676C">
      <w:rPr>
        <w:sz w:val="24"/>
        <w:szCs w:val="24"/>
      </w:rPr>
      <w:t>定期开放灵活配置混合型证券投资基金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158D"/>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1D6"/>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0E57"/>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72E4E"/>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CDCE-ED70-4F99-823D-639BC98F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15</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2020-07-16T08:30:00Z</dcterms:modified>
</cp:coreProperties>
</file>