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交银施罗德经济新动力混合型证券投资基金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2020年第2季度报告</w:t>
      </w:r>
    </w:p>
    <w:p w:rsidP="00C15CAC" w:rsidR="004061AC" w:rsidRDefault="00655CD8" w:rsidRPr="0081286B">
      <w:pPr>
        <w:spacing w:before="29" w:line="288" w:lineRule="auto"/>
        <w:jc w:val="center"/>
        <w:rPr>
          <w:b/>
          <w:sz w:val="36"/>
          <w:szCs w:val="36"/>
        </w:rPr>
      </w:pPr>
      <w:r w:rsidRPr="0081286B">
        <w:rPr>
          <w:b/>
          <w:sz w:val="36"/>
          <w:szCs w:val="36"/>
        </w:rPr>
        <w:t>2020年6月30日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二〇二〇年七月二十一日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基金托管人中国建设银行股份有限公司根据本基金合同规定，于2020年7月20日复核了本报告中的财务指标、净值表现和投资组合报告等内容，保证复核内容不存在虚假记载、误导性陈述或者重大遗漏。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本报告期自2020年4月1日起至6月30日止。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交银经济新动力混合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519778</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519778</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2016年10月20日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2,663,313,905.34</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本基金通过深度优选在经济新常态下受益于发展新动力的优质企业，分享因中国经济改革、创新和升级发展所带来的投资新机会，力争为基金份额持有人获得超越业绩比较基准的收益。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所指的经济新动力是指改革动力、创新动力、升级动力，以及相关传统产业中的反转动力。本基金股票投资重点关注与经济新动力息息相关的优质企业，分享当前因中国经济改革、创新和升级发展所带来的投资新机会。</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沪深300指数收益率×60%+中证综合债券指数收益率×40%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(2020年4月1日-2020年6月30日)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139,833,197.09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1,478,501,881.04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0.4903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6,517,074,624.00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2.4470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pPr>
        <w:autoSpaceDE w:val="0"/>
        <w:autoSpaceDN w:val="0"/>
        <w:adjustRightInd w:val="0"/>
        <w:spacing w:before="29" w:line="288" w:lineRule="auto"/>
        <w:jc w:val="left"/>
        <w:rPr>
          <w:color w:val="000000"/>
          <w:sz w:val="24"/>
          <w:szCs w:val="24"/>
        </w:rPr>
      </w:pPr>
      <w:r>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25.86%</w:t>
            </w:r>
          </w:p>
        </w:tc>
        <w:tc>
          <w:tcPr>
            <w:vAlign w:val="center"/>
          </w:tcPr>
          <w:p>
            <w:pPr>
              <w:jc w:val="center"/>
            </w:pPr>
            <w:r>
              <w:rPr>
                <w:color w:val="000000"/>
                <w:sz w:val="24"/>
                <w:szCs w:val="24"/>
              </w:rPr>
              <w:t>1.13%</w:t>
            </w:r>
          </w:p>
        </w:tc>
        <w:tc>
          <w:tcPr>
            <w:vAlign w:val="center"/>
          </w:tcPr>
          <w:p>
            <w:pPr>
              <w:jc w:val="center"/>
            </w:pPr>
            <w:r>
              <w:rPr>
                <w:color w:val="000000"/>
                <w:sz w:val="24"/>
                <w:szCs w:val="24"/>
              </w:rPr>
              <w:t>7.54%</w:t>
            </w:r>
          </w:p>
        </w:tc>
        <w:tc>
          <w:tcPr>
            <w:vAlign w:val="center"/>
          </w:tcPr>
          <w:p>
            <w:pPr>
              <w:jc w:val="center"/>
            </w:pPr>
            <w:r>
              <w:rPr>
                <w:color w:val="000000"/>
                <w:sz w:val="24"/>
                <w:szCs w:val="24"/>
              </w:rPr>
              <w:t>0.54%</w:t>
            </w:r>
          </w:p>
        </w:tc>
        <w:tc>
          <w:tcPr>
            <w:vAlign w:val="center"/>
          </w:tcPr>
          <w:p>
            <w:pPr>
              <w:jc w:val="center"/>
            </w:pPr>
            <w:r>
              <w:rPr>
                <w:color w:val="000000"/>
                <w:sz w:val="24"/>
                <w:szCs w:val="24"/>
              </w:rPr>
              <w:t>18.32%</w:t>
            </w:r>
          </w:p>
        </w:tc>
        <w:tc>
          <w:tcPr>
            <w:vAlign w:val="center"/>
          </w:tcPr>
          <w:p>
            <w:pPr>
              <w:jc w:val="center"/>
            </w:pPr>
            <w:r>
              <w:rPr>
                <w:color w:val="000000"/>
                <w:sz w:val="24"/>
                <w:szCs w:val="24"/>
              </w:rPr>
              <w:t>0.59%</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23.97%</w:t>
            </w:r>
          </w:p>
        </w:tc>
        <w:tc>
          <w:tcPr>
            <w:vAlign w:val="center"/>
          </w:tcPr>
          <w:p>
            <w:pPr>
              <w:jc w:val="center"/>
            </w:pPr>
            <w:r>
              <w:rPr>
                <w:color w:val="000000"/>
                <w:sz w:val="24"/>
                <w:szCs w:val="24"/>
              </w:rPr>
              <w:t>2.06%</w:t>
            </w:r>
          </w:p>
        </w:tc>
        <w:tc>
          <w:tcPr>
            <w:vAlign w:val="center"/>
          </w:tcPr>
          <w:p>
            <w:pPr>
              <w:jc w:val="center"/>
            </w:pPr>
            <w:r>
              <w:rPr>
                <w:color w:val="000000"/>
                <w:sz w:val="24"/>
                <w:szCs w:val="24"/>
              </w:rPr>
              <w:t>2.27%</w:t>
            </w:r>
          </w:p>
        </w:tc>
        <w:tc>
          <w:tcPr>
            <w:vAlign w:val="center"/>
          </w:tcPr>
          <w:p>
            <w:pPr>
              <w:jc w:val="center"/>
            </w:pPr>
            <w:r>
              <w:rPr>
                <w:color w:val="000000"/>
                <w:sz w:val="24"/>
                <w:szCs w:val="24"/>
              </w:rPr>
              <w:t>0.90%</w:t>
            </w:r>
          </w:p>
        </w:tc>
        <w:tc>
          <w:tcPr>
            <w:vAlign w:val="center"/>
          </w:tcPr>
          <w:p>
            <w:pPr>
              <w:jc w:val="center"/>
            </w:pPr>
            <w:r>
              <w:rPr>
                <w:color w:val="000000"/>
                <w:sz w:val="24"/>
                <w:szCs w:val="24"/>
              </w:rPr>
              <w:t>21.70%</w:t>
            </w:r>
          </w:p>
        </w:tc>
        <w:tc>
          <w:tcPr>
            <w:vAlign w:val="center"/>
          </w:tcPr>
          <w:p>
            <w:pPr>
              <w:jc w:val="center"/>
            </w:pPr>
            <w:r>
              <w:rPr>
                <w:color w:val="000000"/>
                <w:sz w:val="24"/>
                <w:szCs w:val="24"/>
              </w:rPr>
              <w:t>1.16%</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79.02%</w:t>
            </w:r>
          </w:p>
        </w:tc>
        <w:tc>
          <w:tcPr>
            <w:vAlign w:val="center"/>
          </w:tcPr>
          <w:p>
            <w:pPr>
              <w:jc w:val="center"/>
            </w:pPr>
            <w:r>
              <w:rPr>
                <w:color w:val="000000"/>
                <w:sz w:val="24"/>
                <w:szCs w:val="24"/>
              </w:rPr>
              <w:t>1.81%</w:t>
            </w:r>
          </w:p>
        </w:tc>
        <w:tc>
          <w:tcPr>
            <w:vAlign w:val="center"/>
          </w:tcPr>
          <w:p>
            <w:pPr>
              <w:jc w:val="center"/>
            </w:pPr>
            <w:r>
              <w:rPr>
                <w:color w:val="000000"/>
                <w:sz w:val="24"/>
                <w:szCs w:val="24"/>
              </w:rPr>
              <w:t>7.78%</w:t>
            </w:r>
          </w:p>
        </w:tc>
        <w:tc>
          <w:tcPr>
            <w:vAlign w:val="center"/>
          </w:tcPr>
          <w:p>
            <w:pPr>
              <w:jc w:val="center"/>
            </w:pPr>
            <w:r>
              <w:rPr>
                <w:color w:val="000000"/>
                <w:sz w:val="24"/>
                <w:szCs w:val="24"/>
              </w:rPr>
              <w:t>0.72%</w:t>
            </w:r>
          </w:p>
        </w:tc>
        <w:tc>
          <w:tcPr>
            <w:vAlign w:val="center"/>
          </w:tcPr>
          <w:p>
            <w:pPr>
              <w:jc w:val="center"/>
            </w:pPr>
            <w:r>
              <w:rPr>
                <w:color w:val="000000"/>
                <w:sz w:val="24"/>
                <w:szCs w:val="24"/>
              </w:rPr>
              <w:t>71.24%</w:t>
            </w:r>
          </w:p>
        </w:tc>
        <w:tc>
          <w:tcPr>
            <w:vAlign w:val="center"/>
          </w:tcPr>
          <w:p>
            <w:pPr>
              <w:jc w:val="center"/>
            </w:pPr>
            <w:r>
              <w:rPr>
                <w:color w:val="000000"/>
                <w:sz w:val="24"/>
                <w:szCs w:val="24"/>
              </w:rPr>
              <w:t>1.09%</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147.65%</w:t>
            </w:r>
          </w:p>
        </w:tc>
        <w:tc>
          <w:tcPr>
            <w:vAlign w:val="center"/>
          </w:tcPr>
          <w:p>
            <w:pPr>
              <w:jc w:val="center"/>
            </w:pPr>
            <w:r>
              <w:rPr>
                <w:color w:val="000000"/>
                <w:sz w:val="24"/>
                <w:szCs w:val="24"/>
              </w:rPr>
              <w:t>1.56%</w:t>
            </w:r>
          </w:p>
        </w:tc>
        <w:tc>
          <w:tcPr>
            <w:vAlign w:val="center"/>
          </w:tcPr>
          <w:p>
            <w:pPr>
              <w:jc w:val="center"/>
            </w:pPr>
            <w:r>
              <w:rPr>
                <w:color w:val="000000"/>
                <w:sz w:val="24"/>
                <w:szCs w:val="24"/>
              </w:rPr>
              <w:t>16.18%</w:t>
            </w:r>
          </w:p>
        </w:tc>
        <w:tc>
          <w:tcPr>
            <w:vAlign w:val="center"/>
          </w:tcPr>
          <w:p>
            <w:pPr>
              <w:jc w:val="center"/>
            </w:pPr>
            <w:r>
              <w:rPr>
                <w:color w:val="000000"/>
                <w:sz w:val="24"/>
                <w:szCs w:val="24"/>
              </w:rPr>
              <w:t>0.75%</w:t>
            </w:r>
          </w:p>
        </w:tc>
        <w:tc>
          <w:tcPr>
            <w:vAlign w:val="center"/>
          </w:tcPr>
          <w:p>
            <w:pPr>
              <w:jc w:val="center"/>
            </w:pPr>
            <w:r>
              <w:rPr>
                <w:color w:val="000000"/>
                <w:sz w:val="24"/>
                <w:szCs w:val="24"/>
              </w:rPr>
              <w:t>131.47%</w:t>
            </w:r>
          </w:p>
        </w:tc>
        <w:tc>
          <w:tcPr>
            <w:vAlign w:val="center"/>
          </w:tcPr>
          <w:p>
            <w:pPr>
              <w:jc w:val="center"/>
            </w:pPr>
            <w:r>
              <w:rPr>
                <w:color w:val="000000"/>
                <w:sz w:val="24"/>
                <w:szCs w:val="24"/>
              </w:rPr>
              <w:t>0.81%</w:t>
            </w:r>
          </w:p>
        </w:tc>
      </w:tr>
      <w:tr>
        <w:tc>
          <w:tcPr>
            <w:vAlign w:val="center"/>
          </w:tcPr>
          <w:p>
            <w:pPr>
              <w:jc w:val="left"/>
            </w:pPr>
            <w:r>
              <w:rPr>
                <w:color w:val="000000"/>
                <w:sz w:val="24"/>
                <w:szCs w:val="24"/>
              </w:rPr>
              <w:t>自基金合同生效起至今</w:t>
            </w:r>
          </w:p>
        </w:tc>
        <w:tc>
          <w:tcPr>
            <w:vAlign w:val="center"/>
          </w:tcPr>
          <w:p>
            <w:pPr>
              <w:jc w:val="center"/>
            </w:pPr>
            <w:r>
              <w:rPr>
                <w:color w:val="000000"/>
                <w:sz w:val="24"/>
                <w:szCs w:val="24"/>
              </w:rPr>
              <w:t>144.70%</w:t>
            </w:r>
          </w:p>
        </w:tc>
        <w:tc>
          <w:tcPr>
            <w:vAlign w:val="center"/>
          </w:tcPr>
          <w:p>
            <w:pPr>
              <w:jc w:val="center"/>
            </w:pPr>
            <w:r>
              <w:rPr>
                <w:color w:val="000000"/>
                <w:sz w:val="24"/>
                <w:szCs w:val="24"/>
              </w:rPr>
              <w:t>1.44%</w:t>
            </w:r>
          </w:p>
        </w:tc>
        <w:tc>
          <w:tcPr>
            <w:vAlign w:val="center"/>
          </w:tcPr>
          <w:p>
            <w:pPr>
              <w:jc w:val="center"/>
            </w:pPr>
            <w:r>
              <w:rPr>
                <w:color w:val="000000"/>
                <w:sz w:val="24"/>
                <w:szCs w:val="24"/>
              </w:rPr>
              <w:t>22.64%</w:t>
            </w:r>
          </w:p>
        </w:tc>
        <w:tc>
          <w:tcPr>
            <w:vAlign w:val="center"/>
          </w:tcPr>
          <w:p>
            <w:pPr>
              <w:jc w:val="center"/>
            </w:pPr>
            <w:r>
              <w:rPr>
                <w:color w:val="000000"/>
                <w:sz w:val="24"/>
                <w:szCs w:val="24"/>
              </w:rPr>
              <w:t>0.69%</w:t>
            </w:r>
          </w:p>
        </w:tc>
        <w:tc>
          <w:tcPr>
            <w:vAlign w:val="center"/>
          </w:tcPr>
          <w:p>
            <w:pPr>
              <w:jc w:val="center"/>
            </w:pPr>
            <w:r>
              <w:rPr>
                <w:color w:val="000000"/>
                <w:sz w:val="24"/>
                <w:szCs w:val="24"/>
              </w:rPr>
              <w:t>122.06%</w:t>
            </w:r>
          </w:p>
        </w:tc>
        <w:tc>
          <w:tcPr>
            <w:vAlign w:val="center"/>
          </w:tcPr>
          <w:p>
            <w:pPr>
              <w:jc w:val="center"/>
            </w:pPr>
            <w:r>
              <w:rPr>
                <w:color w:val="000000"/>
                <w:sz w:val="24"/>
                <w:szCs w:val="24"/>
              </w:rPr>
              <w:t>0.75%</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交银施罗德经济新动力混合型证券投资基金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2016年10月20日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2020年6月30日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郭斐</w:t>
            </w:r>
          </w:p>
        </w:tc>
        <w:tc>
          <w:tcPr>
            <w:vAlign w:val="center"/>
          </w:tcPr>
          <w:p>
            <w:pPr>
              <w:jc w:val="center"/>
            </w:pPr>
            <w:r>
              <w:rPr>
                <w:color w:val="000000"/>
                <w:sz w:val="24"/>
                <w:szCs w:val="24"/>
              </w:rPr>
              <w:t>交银成长30混合、交银经济新动力混合、交银创新领航混合的基金经理</w:t>
            </w:r>
          </w:p>
        </w:tc>
        <w:tc>
          <w:tcPr>
            <w:vAlign w:val="center"/>
          </w:tcPr>
          <w:p>
            <w:pPr>
              <w:jc w:val="center"/>
            </w:pPr>
            <w:r>
              <w:rPr>
                <w:color w:val="000000"/>
                <w:sz w:val="24"/>
                <w:szCs w:val="24"/>
              </w:rPr>
              <w:t>2018-06-02</w:t>
            </w:r>
          </w:p>
        </w:tc>
        <w:tc>
          <w:tcPr>
            <w:vAlign w:val="center"/>
          </w:tcPr>
          <w:p>
            <w:pPr>
              <w:jc w:val="center"/>
            </w:pPr>
            <w:r>
              <w:rPr>
                <w:color w:val="000000"/>
                <w:sz w:val="24"/>
                <w:szCs w:val="24"/>
              </w:rPr>
              <w:t>-</w:t>
            </w:r>
          </w:p>
        </w:tc>
        <w:tc>
          <w:tcPr>
            <w:vAlign w:val="center"/>
          </w:tcPr>
          <w:p>
            <w:pPr>
              <w:jc w:val="center"/>
            </w:pPr>
            <w:r>
              <w:rPr>
                <w:color w:val="000000"/>
                <w:sz w:val="24"/>
                <w:szCs w:val="24"/>
              </w:rPr>
              <w:t>11年</w:t>
            </w:r>
          </w:p>
        </w:tc>
        <w:tc>
          <w:tcPr>
            <w:vAlign w:val="center"/>
          </w:tcPr>
          <w:p>
            <w:pPr>
              <w:jc w:val="both"/>
            </w:pPr>
            <w:r>
              <w:rPr>
                <w:color w:val="000000"/>
                <w:sz w:val="24"/>
                <w:szCs w:val="24"/>
              </w:rPr>
              <w:t>郭斐先生，复旦大学经济学本科。2009年8月至2014年3月于高盛（亚洲）有限责任公司、高华证券公司任职。2014年加入交银施罗德基金管理有限公司，历任行业分析师、基金经理助理。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2020年的二季度足以载入史册，尽管海外疫情仍在继续，在史无前例的流动性刺激下，海外市场先抑后扬，国内市场也韧性十足。</w:t>
      </w:r>
    </w:p>
    <w:p>
      <w:pPr>
        <w:spacing w:before="29" w:line="288" w:lineRule="auto"/>
        <w:ind w:firstLine="480" w:firstLineChars="200"/>
        <w:rPr>
          <w:color w:val="000000"/>
          <w:sz w:val="24"/>
          <w:szCs w:val="24"/>
        </w:rPr>
      </w:pPr>
      <w:r>
        <w:rPr>
          <w:color w:val="000000"/>
          <w:sz w:val="24"/>
          <w:szCs w:val="24"/>
        </w:rPr>
        <w:t>报告期内，本基金重点配置了新能源汽车、创新硬件、半导体、数据中心、5G等领域的成长股以及部分低估值的地产建材蓝筹。</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三季度，“轻抗疫重刺激”的海外局势让外需与内需的天平正在发生微妙的变化。我们适度增加了对以外需导向为主的成长品种的配置并提升了总体仓位水平。在4G/5G代际之交、新能源革命已然启动以及数据经济/企业数字化转型加速到来的当下，我们认为科技成长仍将是未来市场的主线。我们有幸已经挖掘出并持有一批估值具备吸引力的优质成长股，它们或顺应产业爆发的趋势，或有望成长为细分行业的隐形冠军。本基金将持续挖掘行业成长空间广阔、具备核心竞争力的公司，把握合适的配置窗口，力争为投资人获得持续稳定的超额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6,180,217,084.15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91.85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6,180,217,084.15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91.85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2,523,527.29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0.04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2,523,527.29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0.04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399,694,618.53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5.94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145,968,815.88</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2.17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6,728,404,045.85</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170,266,749.00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2.61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35,546,083.20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0.55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4,990,334,962.20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76.57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12,766.32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9,594,420.40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0.15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472,999.00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49,333,930.00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0.76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298,272,811.56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4.58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56,991,977.00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0.87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280,253,342.60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4.30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123,541,131.52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184,602.15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150,123.12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165,261,186.08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6,180,217,084.15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94.83</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300014</w:t>
            </w:r>
          </w:p>
        </w:tc>
        <w:tc>
          <w:tcPr>
            <w:vAlign w:val="center"/>
          </w:tcPr>
          <w:p>
            <w:pPr>
              <w:jc w:val="center"/>
            </w:pPr>
            <w:r>
              <w:rPr>
                <w:color w:val="000000"/>
                <w:sz w:val="24"/>
                <w:szCs w:val="24"/>
              </w:rPr>
              <w:t>亿纬锂能</w:t>
            </w:r>
          </w:p>
        </w:tc>
        <w:tc>
          <w:tcPr>
            <w:vAlign w:val="center"/>
          </w:tcPr>
          <w:p>
            <w:pPr>
              <w:jc w:val="right"/>
            </w:pPr>
            <w:r>
              <w:rPr>
                <w:color w:val="000000"/>
                <w:sz w:val="24"/>
                <w:szCs w:val="24"/>
              </w:rPr>
              <w:t>13,962,370</w:t>
            </w:r>
          </w:p>
        </w:tc>
        <w:tc>
          <w:tcPr>
            <w:vAlign w:val="center"/>
          </w:tcPr>
          <w:p>
            <w:pPr>
              <w:jc w:val="right"/>
            </w:pPr>
            <w:r>
              <w:rPr>
                <w:color w:val="000000"/>
                <w:sz w:val="24"/>
                <w:szCs w:val="24"/>
              </w:rPr>
              <w:t>668,099,404.50</w:t>
            </w:r>
          </w:p>
        </w:tc>
        <w:tc>
          <w:tcPr>
            <w:vAlign w:val="center"/>
          </w:tcPr>
          <w:p>
            <w:pPr>
              <w:jc w:val="right"/>
            </w:pPr>
            <w:r>
              <w:rPr>
                <w:color w:val="000000"/>
                <w:sz w:val="24"/>
                <w:szCs w:val="24"/>
              </w:rPr>
              <w:t>10.25</w:t>
            </w:r>
          </w:p>
        </w:tc>
      </w:tr>
      <w:tr>
        <w:tc>
          <w:tcPr>
            <w:vAlign w:val="center"/>
          </w:tcPr>
          <w:p>
            <w:pPr>
              <w:jc w:val="center"/>
            </w:pPr>
            <w:r>
              <w:rPr>
                <w:color w:val="000000"/>
                <w:sz w:val="24"/>
                <w:szCs w:val="24"/>
              </w:rPr>
              <w:t>2</w:t>
            </w:r>
          </w:p>
        </w:tc>
        <w:tc>
          <w:tcPr>
            <w:vAlign w:val="center"/>
          </w:tcPr>
          <w:p>
            <w:pPr>
              <w:jc w:val="center"/>
            </w:pPr>
            <w:r>
              <w:rPr>
                <w:color w:val="000000"/>
                <w:sz w:val="24"/>
                <w:szCs w:val="24"/>
              </w:rPr>
              <w:t>002049</w:t>
            </w:r>
          </w:p>
        </w:tc>
        <w:tc>
          <w:tcPr>
            <w:vAlign w:val="center"/>
          </w:tcPr>
          <w:p>
            <w:pPr>
              <w:jc w:val="center"/>
            </w:pPr>
            <w:r>
              <w:rPr>
                <w:color w:val="000000"/>
                <w:sz w:val="24"/>
                <w:szCs w:val="24"/>
              </w:rPr>
              <w:t>紫光国微</w:t>
            </w:r>
          </w:p>
        </w:tc>
        <w:tc>
          <w:tcPr>
            <w:vAlign w:val="center"/>
          </w:tcPr>
          <w:p>
            <w:pPr>
              <w:jc w:val="right"/>
            </w:pPr>
            <w:r>
              <w:rPr>
                <w:color w:val="000000"/>
                <w:sz w:val="24"/>
                <w:szCs w:val="24"/>
              </w:rPr>
              <w:t>7,600,649</w:t>
            </w:r>
          </w:p>
        </w:tc>
        <w:tc>
          <w:tcPr>
            <w:vAlign w:val="center"/>
          </w:tcPr>
          <w:p>
            <w:pPr>
              <w:jc w:val="right"/>
            </w:pPr>
            <w:r>
              <w:rPr>
                <w:color w:val="000000"/>
                <w:sz w:val="24"/>
                <w:szCs w:val="24"/>
              </w:rPr>
              <w:t>552,947,214.75</w:t>
            </w:r>
          </w:p>
        </w:tc>
        <w:tc>
          <w:tcPr>
            <w:vAlign w:val="center"/>
          </w:tcPr>
          <w:p>
            <w:pPr>
              <w:jc w:val="right"/>
            </w:pPr>
            <w:r>
              <w:rPr>
                <w:color w:val="000000"/>
                <w:sz w:val="24"/>
                <w:szCs w:val="24"/>
              </w:rPr>
              <w:t>8.48</w:t>
            </w:r>
          </w:p>
        </w:tc>
      </w:tr>
      <w:tr>
        <w:tc>
          <w:tcPr>
            <w:vAlign w:val="center"/>
          </w:tcPr>
          <w:p>
            <w:pPr>
              <w:jc w:val="center"/>
            </w:pPr>
            <w:r>
              <w:rPr>
                <w:color w:val="000000"/>
                <w:sz w:val="24"/>
                <w:szCs w:val="24"/>
              </w:rPr>
              <w:t>3</w:t>
            </w:r>
          </w:p>
        </w:tc>
        <w:tc>
          <w:tcPr>
            <w:vAlign w:val="center"/>
          </w:tcPr>
          <w:p>
            <w:pPr>
              <w:jc w:val="center"/>
            </w:pPr>
            <w:r>
              <w:rPr>
                <w:color w:val="000000"/>
                <w:sz w:val="24"/>
                <w:szCs w:val="24"/>
              </w:rPr>
              <w:t>002475</w:t>
            </w:r>
          </w:p>
        </w:tc>
        <w:tc>
          <w:tcPr>
            <w:vAlign w:val="center"/>
          </w:tcPr>
          <w:p>
            <w:pPr>
              <w:jc w:val="center"/>
            </w:pPr>
            <w:r>
              <w:rPr>
                <w:color w:val="000000"/>
                <w:sz w:val="24"/>
                <w:szCs w:val="24"/>
              </w:rPr>
              <w:t>立讯精密</w:t>
            </w:r>
          </w:p>
        </w:tc>
        <w:tc>
          <w:tcPr>
            <w:vAlign w:val="center"/>
          </w:tcPr>
          <w:p>
            <w:pPr>
              <w:jc w:val="right"/>
            </w:pPr>
            <w:r>
              <w:rPr>
                <w:color w:val="000000"/>
                <w:sz w:val="24"/>
                <w:szCs w:val="24"/>
              </w:rPr>
              <w:t>8,598,614</w:t>
            </w:r>
          </w:p>
        </w:tc>
        <w:tc>
          <w:tcPr>
            <w:vAlign w:val="center"/>
          </w:tcPr>
          <w:p>
            <w:pPr>
              <w:jc w:val="right"/>
            </w:pPr>
            <w:r>
              <w:rPr>
                <w:color w:val="000000"/>
                <w:sz w:val="24"/>
                <w:szCs w:val="24"/>
              </w:rPr>
              <w:t>441,538,828.90</w:t>
            </w:r>
          </w:p>
        </w:tc>
        <w:tc>
          <w:tcPr>
            <w:vAlign w:val="center"/>
          </w:tcPr>
          <w:p>
            <w:pPr>
              <w:jc w:val="right"/>
            </w:pPr>
            <w:r>
              <w:rPr>
                <w:color w:val="000000"/>
                <w:sz w:val="24"/>
                <w:szCs w:val="24"/>
              </w:rPr>
              <w:t>6.78</w:t>
            </w:r>
          </w:p>
        </w:tc>
      </w:tr>
      <w:tr>
        <w:tc>
          <w:tcPr>
            <w:vAlign w:val="center"/>
          </w:tcPr>
          <w:p>
            <w:pPr>
              <w:jc w:val="center"/>
            </w:pPr>
            <w:r>
              <w:rPr>
                <w:color w:val="000000"/>
                <w:sz w:val="24"/>
                <w:szCs w:val="24"/>
              </w:rPr>
              <w:t>4</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6,767,831</w:t>
            </w:r>
          </w:p>
        </w:tc>
        <w:tc>
          <w:tcPr>
            <w:vAlign w:val="center"/>
          </w:tcPr>
          <w:p>
            <w:pPr>
              <w:jc w:val="right"/>
            </w:pPr>
            <w:r>
              <w:rPr>
                <w:color w:val="000000"/>
                <w:sz w:val="24"/>
                <w:szCs w:val="24"/>
              </w:rPr>
              <w:t>274,976,973.53</w:t>
            </w:r>
          </w:p>
        </w:tc>
        <w:tc>
          <w:tcPr>
            <w:vAlign w:val="center"/>
          </w:tcPr>
          <w:p>
            <w:pPr>
              <w:jc w:val="right"/>
            </w:pPr>
            <w:r>
              <w:rPr>
                <w:color w:val="000000"/>
                <w:sz w:val="24"/>
                <w:szCs w:val="24"/>
              </w:rPr>
              <w:t>4.22</w:t>
            </w:r>
          </w:p>
        </w:tc>
      </w:tr>
      <w:tr>
        <w:tc>
          <w:tcPr>
            <w:vAlign w:val="center"/>
          </w:tcPr>
          <w:p>
            <w:pPr>
              <w:jc w:val="center"/>
            </w:pPr>
            <w:r>
              <w:rPr>
                <w:color w:val="000000"/>
                <w:sz w:val="24"/>
                <w:szCs w:val="24"/>
              </w:rPr>
              <w:t>5</w:t>
            </w:r>
          </w:p>
        </w:tc>
        <w:tc>
          <w:tcPr>
            <w:vAlign w:val="center"/>
          </w:tcPr>
          <w:p>
            <w:pPr>
              <w:jc w:val="center"/>
            </w:pPr>
            <w:r>
              <w:rPr>
                <w:color w:val="000000"/>
                <w:sz w:val="24"/>
                <w:szCs w:val="24"/>
              </w:rPr>
              <w:t>002050</w:t>
            </w:r>
          </w:p>
        </w:tc>
        <w:tc>
          <w:tcPr>
            <w:vAlign w:val="center"/>
          </w:tcPr>
          <w:p>
            <w:pPr>
              <w:jc w:val="center"/>
            </w:pPr>
            <w:r>
              <w:rPr>
                <w:color w:val="000000"/>
                <w:sz w:val="24"/>
                <w:szCs w:val="24"/>
              </w:rPr>
              <w:t>三花智控</w:t>
            </w:r>
          </w:p>
        </w:tc>
        <w:tc>
          <w:tcPr>
            <w:vAlign w:val="center"/>
          </w:tcPr>
          <w:p>
            <w:pPr>
              <w:jc w:val="right"/>
            </w:pPr>
            <w:r>
              <w:rPr>
                <w:color w:val="000000"/>
                <w:sz w:val="24"/>
                <w:szCs w:val="24"/>
              </w:rPr>
              <w:t>12,246,603</w:t>
            </w:r>
          </w:p>
        </w:tc>
        <w:tc>
          <w:tcPr>
            <w:vAlign w:val="center"/>
          </w:tcPr>
          <w:p>
            <w:pPr>
              <w:jc w:val="right"/>
            </w:pPr>
            <w:r>
              <w:rPr>
                <w:color w:val="000000"/>
                <w:sz w:val="24"/>
                <w:szCs w:val="24"/>
              </w:rPr>
              <w:t>268,200,605.70</w:t>
            </w:r>
          </w:p>
        </w:tc>
        <w:tc>
          <w:tcPr>
            <w:vAlign w:val="center"/>
          </w:tcPr>
          <w:p>
            <w:pPr>
              <w:jc w:val="right"/>
            </w:pPr>
            <w:r>
              <w:rPr>
                <w:color w:val="000000"/>
                <w:sz w:val="24"/>
                <w:szCs w:val="24"/>
              </w:rPr>
              <w:t>4.12</w:t>
            </w:r>
          </w:p>
        </w:tc>
      </w:tr>
      <w:tr>
        <w:tc>
          <w:tcPr>
            <w:vAlign w:val="center"/>
          </w:tcPr>
          <w:p>
            <w:pPr>
              <w:jc w:val="center"/>
            </w:pPr>
            <w:r>
              <w:rPr>
                <w:color w:val="000000"/>
                <w:sz w:val="24"/>
                <w:szCs w:val="24"/>
              </w:rPr>
              <w:t>6</w:t>
            </w:r>
          </w:p>
        </w:tc>
        <w:tc>
          <w:tcPr>
            <w:vAlign w:val="center"/>
          </w:tcPr>
          <w:p>
            <w:pPr>
              <w:jc w:val="center"/>
            </w:pPr>
            <w:r>
              <w:rPr>
                <w:color w:val="000000"/>
                <w:sz w:val="24"/>
                <w:szCs w:val="24"/>
              </w:rPr>
              <w:t>002837</w:t>
            </w:r>
          </w:p>
        </w:tc>
        <w:tc>
          <w:tcPr>
            <w:vAlign w:val="center"/>
          </w:tcPr>
          <w:p>
            <w:pPr>
              <w:jc w:val="center"/>
            </w:pPr>
            <w:r>
              <w:rPr>
                <w:color w:val="000000"/>
                <w:sz w:val="24"/>
                <w:szCs w:val="24"/>
              </w:rPr>
              <w:t>英维克</w:t>
            </w:r>
          </w:p>
        </w:tc>
        <w:tc>
          <w:tcPr>
            <w:vAlign w:val="center"/>
          </w:tcPr>
          <w:p>
            <w:pPr>
              <w:jc w:val="right"/>
            </w:pPr>
            <w:r>
              <w:rPr>
                <w:color w:val="000000"/>
                <w:sz w:val="24"/>
                <w:szCs w:val="24"/>
              </w:rPr>
              <w:t>7,582,625</w:t>
            </w:r>
          </w:p>
        </w:tc>
        <w:tc>
          <w:tcPr>
            <w:vAlign w:val="center"/>
          </w:tcPr>
          <w:p>
            <w:pPr>
              <w:jc w:val="right"/>
            </w:pPr>
            <w:r>
              <w:rPr>
                <w:color w:val="000000"/>
                <w:sz w:val="24"/>
                <w:szCs w:val="24"/>
              </w:rPr>
              <w:t>224,597,352.50</w:t>
            </w:r>
          </w:p>
        </w:tc>
        <w:tc>
          <w:tcPr>
            <w:vAlign w:val="center"/>
          </w:tcPr>
          <w:p>
            <w:pPr>
              <w:jc w:val="right"/>
            </w:pPr>
            <w:r>
              <w:rPr>
                <w:color w:val="000000"/>
                <w:sz w:val="24"/>
                <w:szCs w:val="24"/>
              </w:rPr>
              <w:t>3.45</w:t>
            </w:r>
          </w:p>
        </w:tc>
      </w:tr>
      <w:tr>
        <w:tc>
          <w:tcPr>
            <w:vAlign w:val="center"/>
          </w:tcPr>
          <w:p>
            <w:pPr>
              <w:jc w:val="center"/>
            </w:pPr>
            <w:r>
              <w:rPr>
                <w:color w:val="000000"/>
                <w:sz w:val="24"/>
                <w:szCs w:val="24"/>
              </w:rPr>
              <w:t>7</w:t>
            </w:r>
          </w:p>
        </w:tc>
        <w:tc>
          <w:tcPr>
            <w:vAlign w:val="center"/>
          </w:tcPr>
          <w:p>
            <w:pPr>
              <w:jc w:val="center"/>
            </w:pPr>
            <w:r>
              <w:rPr>
                <w:color w:val="000000"/>
                <w:sz w:val="24"/>
                <w:szCs w:val="24"/>
              </w:rPr>
              <w:t>000636</w:t>
            </w:r>
          </w:p>
        </w:tc>
        <w:tc>
          <w:tcPr>
            <w:vAlign w:val="center"/>
          </w:tcPr>
          <w:p>
            <w:pPr>
              <w:jc w:val="center"/>
            </w:pPr>
            <w:r>
              <w:rPr>
                <w:color w:val="000000"/>
                <w:sz w:val="24"/>
                <w:szCs w:val="24"/>
              </w:rPr>
              <w:t>风华高科</w:t>
            </w:r>
          </w:p>
        </w:tc>
        <w:tc>
          <w:tcPr>
            <w:vAlign w:val="center"/>
          </w:tcPr>
          <w:p>
            <w:pPr>
              <w:jc w:val="right"/>
            </w:pPr>
            <w:r>
              <w:rPr>
                <w:color w:val="000000"/>
                <w:sz w:val="24"/>
                <w:szCs w:val="24"/>
              </w:rPr>
              <w:t>6,992,390</w:t>
            </w:r>
          </w:p>
        </w:tc>
        <w:tc>
          <w:tcPr>
            <w:vAlign w:val="center"/>
          </w:tcPr>
          <w:p>
            <w:pPr>
              <w:jc w:val="right"/>
            </w:pPr>
            <w:r>
              <w:rPr>
                <w:color w:val="000000"/>
                <w:sz w:val="24"/>
                <w:szCs w:val="24"/>
              </w:rPr>
              <w:t>204,107,864.10</w:t>
            </w:r>
          </w:p>
        </w:tc>
        <w:tc>
          <w:tcPr>
            <w:vAlign w:val="center"/>
          </w:tcPr>
          <w:p>
            <w:pPr>
              <w:jc w:val="right"/>
            </w:pPr>
            <w:r>
              <w:rPr>
                <w:color w:val="000000"/>
                <w:sz w:val="24"/>
                <w:szCs w:val="24"/>
              </w:rPr>
              <w:t>3.13</w:t>
            </w:r>
          </w:p>
        </w:tc>
      </w:tr>
      <w:tr>
        <w:tc>
          <w:tcPr>
            <w:vAlign w:val="center"/>
          </w:tcPr>
          <w:p>
            <w:pPr>
              <w:jc w:val="center"/>
            </w:pPr>
            <w:r>
              <w:rPr>
                <w:color w:val="000000"/>
                <w:sz w:val="24"/>
                <w:szCs w:val="24"/>
              </w:rPr>
              <w:t>8</w:t>
            </w:r>
          </w:p>
        </w:tc>
        <w:tc>
          <w:tcPr>
            <w:vAlign w:val="center"/>
          </w:tcPr>
          <w:p>
            <w:pPr>
              <w:jc w:val="center"/>
            </w:pPr>
            <w:r>
              <w:rPr>
                <w:color w:val="000000"/>
                <w:sz w:val="24"/>
                <w:szCs w:val="24"/>
              </w:rPr>
              <w:t>601038</w:t>
            </w:r>
          </w:p>
        </w:tc>
        <w:tc>
          <w:tcPr>
            <w:vAlign w:val="center"/>
          </w:tcPr>
          <w:p>
            <w:pPr>
              <w:jc w:val="center"/>
            </w:pPr>
            <w:r>
              <w:rPr>
                <w:color w:val="000000"/>
                <w:sz w:val="24"/>
                <w:szCs w:val="24"/>
              </w:rPr>
              <w:t>一拖股份</w:t>
            </w:r>
          </w:p>
        </w:tc>
        <w:tc>
          <w:tcPr>
            <w:vAlign w:val="center"/>
          </w:tcPr>
          <w:p>
            <w:pPr>
              <w:jc w:val="right"/>
            </w:pPr>
            <w:r>
              <w:rPr>
                <w:color w:val="000000"/>
                <w:sz w:val="24"/>
                <w:szCs w:val="24"/>
              </w:rPr>
              <w:t>20,221,919</w:t>
            </w:r>
          </w:p>
        </w:tc>
        <w:tc>
          <w:tcPr>
            <w:vAlign w:val="center"/>
          </w:tcPr>
          <w:p>
            <w:pPr>
              <w:jc w:val="right"/>
            </w:pPr>
            <w:r>
              <w:rPr>
                <w:color w:val="000000"/>
                <w:sz w:val="24"/>
                <w:szCs w:val="24"/>
              </w:rPr>
              <w:t>186,850,531.56</w:t>
            </w:r>
          </w:p>
        </w:tc>
        <w:tc>
          <w:tcPr>
            <w:vAlign w:val="center"/>
          </w:tcPr>
          <w:p>
            <w:pPr>
              <w:jc w:val="right"/>
            </w:pPr>
            <w:r>
              <w:rPr>
                <w:color w:val="000000"/>
                <w:sz w:val="24"/>
                <w:szCs w:val="24"/>
              </w:rPr>
              <w:t>2.87</w:t>
            </w:r>
          </w:p>
        </w:tc>
      </w:tr>
      <w:tr>
        <w:tc>
          <w:tcPr>
            <w:vAlign w:val="center"/>
          </w:tcPr>
          <w:p>
            <w:pPr>
              <w:jc w:val="center"/>
            </w:pPr>
            <w:r>
              <w:rPr>
                <w:color w:val="000000"/>
                <w:sz w:val="24"/>
                <w:szCs w:val="24"/>
              </w:rPr>
              <w:t>9</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5,735,029</w:t>
            </w:r>
          </w:p>
        </w:tc>
        <w:tc>
          <w:tcPr>
            <w:vAlign w:val="center"/>
          </w:tcPr>
          <w:p>
            <w:pPr>
              <w:jc w:val="right"/>
            </w:pPr>
            <w:r>
              <w:rPr>
                <w:color w:val="000000"/>
                <w:sz w:val="24"/>
                <w:szCs w:val="24"/>
              </w:rPr>
              <w:t>149,913,658.06</w:t>
            </w:r>
          </w:p>
        </w:tc>
        <w:tc>
          <w:tcPr>
            <w:vAlign w:val="center"/>
          </w:tcPr>
          <w:p>
            <w:pPr>
              <w:jc w:val="right"/>
            </w:pPr>
            <w:r>
              <w:rPr>
                <w:color w:val="000000"/>
                <w:sz w:val="24"/>
                <w:szCs w:val="24"/>
              </w:rPr>
              <w:t>2.30</w:t>
            </w:r>
          </w:p>
        </w:tc>
      </w:tr>
      <w:tr>
        <w:tc>
          <w:tcPr>
            <w:vAlign w:val="center"/>
          </w:tcPr>
          <w:p>
            <w:pPr>
              <w:jc w:val="center"/>
            </w:pPr>
            <w:r>
              <w:rPr>
                <w:color w:val="000000"/>
                <w:sz w:val="24"/>
                <w:szCs w:val="24"/>
              </w:rPr>
              <w:t>10</w:t>
            </w:r>
          </w:p>
        </w:tc>
        <w:tc>
          <w:tcPr>
            <w:vAlign w:val="center"/>
          </w:tcPr>
          <w:p>
            <w:pPr>
              <w:jc w:val="center"/>
            </w:pPr>
            <w:r>
              <w:rPr>
                <w:color w:val="000000"/>
                <w:sz w:val="24"/>
                <w:szCs w:val="24"/>
              </w:rPr>
              <w:t>000725</w:t>
            </w:r>
          </w:p>
        </w:tc>
        <w:tc>
          <w:tcPr>
            <w:vAlign w:val="center"/>
          </w:tcPr>
          <w:p>
            <w:pPr>
              <w:jc w:val="center"/>
            </w:pPr>
            <w:r>
              <w:rPr>
                <w:color w:val="000000"/>
                <w:sz w:val="24"/>
                <w:szCs w:val="24"/>
              </w:rPr>
              <w:t>京东方A</w:t>
            </w:r>
          </w:p>
        </w:tc>
        <w:tc>
          <w:tcPr>
            <w:vAlign w:val="center"/>
          </w:tcPr>
          <w:p>
            <w:pPr>
              <w:jc w:val="right"/>
            </w:pPr>
            <w:r>
              <w:rPr>
                <w:color w:val="000000"/>
                <w:sz w:val="24"/>
                <w:szCs w:val="24"/>
              </w:rPr>
              <w:t>30,761,452</w:t>
            </w:r>
          </w:p>
        </w:tc>
        <w:tc>
          <w:tcPr>
            <w:vAlign w:val="center"/>
          </w:tcPr>
          <w:p>
            <w:pPr>
              <w:jc w:val="right"/>
            </w:pPr>
            <w:r>
              <w:rPr>
                <w:color w:val="000000"/>
                <w:sz w:val="24"/>
                <w:szCs w:val="24"/>
              </w:rPr>
              <w:t>143,655,980.84</w:t>
            </w:r>
          </w:p>
        </w:tc>
        <w:tc>
          <w:tcPr>
            <w:vAlign w:val="center"/>
          </w:tcPr>
          <w:p>
            <w:pPr>
              <w:jc w:val="right"/>
            </w:pPr>
            <w:r>
              <w:rPr>
                <w:color w:val="000000"/>
                <w:sz w:val="24"/>
                <w:szCs w:val="24"/>
              </w:rPr>
              <w:t>2.20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2,523,527.29</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0.04</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2,523,527.29</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0.04</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113582</w:t>
            </w:r>
          </w:p>
        </w:tc>
        <w:tc>
          <w:tcPr>
            <w:vAlign w:val="center"/>
          </w:tcPr>
          <w:p>
            <w:pPr>
              <w:jc w:val="center"/>
            </w:pPr>
            <w:r>
              <w:rPr>
                <w:color w:val="000000"/>
                <w:sz w:val="24"/>
                <w:szCs w:val="24"/>
              </w:rPr>
              <w:t>火炬转债</w:t>
            </w:r>
          </w:p>
        </w:tc>
        <w:tc>
          <w:tcPr>
            <w:vAlign w:val="center"/>
          </w:tcPr>
          <w:p>
            <w:pPr>
              <w:jc w:val="right"/>
            </w:pPr>
            <w:r>
              <w:rPr>
                <w:color w:val="000000"/>
                <w:sz w:val="24"/>
                <w:szCs w:val="24"/>
              </w:rPr>
              <w:t>8,680</w:t>
            </w:r>
          </w:p>
        </w:tc>
        <w:tc>
          <w:tcPr>
            <w:vAlign w:val="center"/>
          </w:tcPr>
          <w:p>
            <w:pPr>
              <w:jc w:val="right"/>
            </w:pPr>
            <w:r>
              <w:rPr>
                <w:color w:val="000000"/>
                <w:sz w:val="24"/>
                <w:szCs w:val="24"/>
              </w:rPr>
              <w:t>1,104,009.20</w:t>
            </w:r>
          </w:p>
        </w:tc>
        <w:tc>
          <w:tcPr>
            <w:vAlign w:val="center"/>
          </w:tcPr>
          <w:p>
            <w:pPr>
              <w:jc w:val="right"/>
            </w:pPr>
            <w:r>
              <w:rPr>
                <w:color w:val="000000"/>
                <w:sz w:val="24"/>
                <w:szCs w:val="24"/>
              </w:rPr>
              <w:t>0.02</w:t>
            </w:r>
          </w:p>
        </w:tc>
      </w:tr>
      <w:tr>
        <w:tc>
          <w:tcPr>
            <w:vAlign w:val="center"/>
          </w:tcPr>
          <w:p>
            <w:pPr>
              <w:jc w:val="center"/>
            </w:pPr>
            <w:r>
              <w:rPr>
                <w:color w:val="000000"/>
                <w:sz w:val="24"/>
                <w:szCs w:val="24"/>
              </w:rPr>
              <w:t>2</w:t>
            </w:r>
          </w:p>
        </w:tc>
        <w:tc>
          <w:tcPr>
            <w:vAlign w:val="center"/>
          </w:tcPr>
          <w:p>
            <w:pPr>
              <w:jc w:val="center"/>
            </w:pPr>
            <w:r>
              <w:rPr>
                <w:color w:val="000000"/>
                <w:sz w:val="24"/>
                <w:szCs w:val="24"/>
              </w:rPr>
              <w:t>123044</w:t>
            </w:r>
          </w:p>
        </w:tc>
        <w:tc>
          <w:tcPr>
            <w:vAlign w:val="center"/>
          </w:tcPr>
          <w:p>
            <w:pPr>
              <w:jc w:val="center"/>
            </w:pPr>
            <w:r>
              <w:rPr>
                <w:color w:val="000000"/>
                <w:sz w:val="24"/>
                <w:szCs w:val="24"/>
              </w:rPr>
              <w:t>红相转债</w:t>
            </w:r>
          </w:p>
        </w:tc>
        <w:tc>
          <w:tcPr>
            <w:vAlign w:val="center"/>
          </w:tcPr>
          <w:p>
            <w:pPr>
              <w:jc w:val="right"/>
            </w:pPr>
            <w:r>
              <w:rPr>
                <w:color w:val="000000"/>
                <w:sz w:val="24"/>
                <w:szCs w:val="24"/>
              </w:rPr>
              <w:t>8,293</w:t>
            </w:r>
          </w:p>
        </w:tc>
        <w:tc>
          <w:tcPr>
            <w:vAlign w:val="center"/>
          </w:tcPr>
          <w:p>
            <w:pPr>
              <w:jc w:val="right"/>
            </w:pPr>
            <w:r>
              <w:rPr>
                <w:color w:val="000000"/>
                <w:sz w:val="24"/>
                <w:szCs w:val="24"/>
              </w:rPr>
              <w:t>917,952.17</w:t>
            </w:r>
          </w:p>
        </w:tc>
        <w:tc>
          <w:tcPr>
            <w:vAlign w:val="center"/>
          </w:tcPr>
          <w:p>
            <w:pPr>
              <w:jc w:val="right"/>
            </w:pPr>
            <w:r>
              <w:rPr>
                <w:color w:val="000000"/>
                <w:sz w:val="24"/>
                <w:szCs w:val="24"/>
              </w:rPr>
              <w:t>0.01</w:t>
            </w:r>
          </w:p>
        </w:tc>
      </w:tr>
      <w:tr>
        <w:tc>
          <w:tcPr>
            <w:vAlign w:val="center"/>
          </w:tcPr>
          <w:p>
            <w:pPr>
              <w:jc w:val="center"/>
            </w:pPr>
            <w:r>
              <w:rPr>
                <w:color w:val="000000"/>
                <w:sz w:val="24"/>
                <w:szCs w:val="24"/>
              </w:rPr>
              <w:t>3</w:t>
            </w:r>
          </w:p>
        </w:tc>
        <w:tc>
          <w:tcPr>
            <w:vAlign w:val="center"/>
          </w:tcPr>
          <w:p>
            <w:pPr>
              <w:jc w:val="center"/>
            </w:pPr>
            <w:r>
              <w:rPr>
                <w:color w:val="000000"/>
                <w:sz w:val="24"/>
                <w:szCs w:val="24"/>
              </w:rPr>
              <w:t>128088</w:t>
            </w:r>
          </w:p>
        </w:tc>
        <w:tc>
          <w:tcPr>
            <w:vAlign w:val="center"/>
          </w:tcPr>
          <w:p>
            <w:pPr>
              <w:jc w:val="center"/>
            </w:pPr>
            <w:r>
              <w:rPr>
                <w:color w:val="000000"/>
                <w:sz w:val="24"/>
                <w:szCs w:val="24"/>
              </w:rPr>
              <w:t>深南转债</w:t>
            </w:r>
          </w:p>
        </w:tc>
        <w:tc>
          <w:tcPr>
            <w:vAlign w:val="center"/>
          </w:tcPr>
          <w:p>
            <w:pPr>
              <w:jc w:val="right"/>
            </w:pPr>
            <w:r>
              <w:rPr>
                <w:color w:val="000000"/>
                <w:sz w:val="24"/>
                <w:szCs w:val="24"/>
              </w:rPr>
              <w:t>3,189</w:t>
            </w:r>
          </w:p>
        </w:tc>
        <w:tc>
          <w:tcPr>
            <w:vAlign w:val="center"/>
          </w:tcPr>
          <w:p>
            <w:pPr>
              <w:jc w:val="right"/>
            </w:pPr>
            <w:r>
              <w:rPr>
                <w:color w:val="000000"/>
                <w:sz w:val="24"/>
                <w:szCs w:val="24"/>
              </w:rPr>
              <w:t>501,565.92</w:t>
            </w:r>
          </w:p>
        </w:tc>
        <w:tc>
          <w:tcPr>
            <w:vAlign w:val="center"/>
          </w:tcPr>
          <w:p>
            <w:pPr>
              <w:jc w:val="right"/>
            </w:pPr>
            <w:r>
              <w:rPr>
                <w:color w:val="000000"/>
                <w:sz w:val="24"/>
                <w:szCs w:val="24"/>
              </w:rPr>
              <w:t>0.01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报告期内本基金投资的前十名证券的发行主体除风华高科（000636）外，未出现被监管部门立案调查，或在报告编制日前一年内受到公开谴责、处罚的情形。</w:t>
      </w:r>
    </w:p>
    <w:p>
      <w:pPr>
        <w:autoSpaceDE w:val="0"/>
        <w:autoSpaceDN w:val="0"/>
        <w:adjustRightInd w:val="0"/>
        <w:spacing w:before="29" w:line="288" w:lineRule="auto"/>
        <w:jc w:val="left"/>
        <w:rPr>
          <w:b/>
          <w:bCs/>
          <w:color w:val="000000"/>
          <w:kern w:val="0"/>
          <w:sz w:val="24"/>
          <w:szCs w:val="24"/>
        </w:rPr>
      </w:pPr>
      <w:r>
        <w:rPr>
          <w:bCs/>
          <w:color w:val="000000"/>
          <w:kern w:val="0"/>
          <w:sz w:val="24"/>
          <w:szCs w:val="24"/>
        </w:rPr>
        <w:t>报告期内本基金投资的前十名证券之一风华高科（000636）于2019年11月25日公告，公司及相关当事人于2019年11月22日收到中国证监会广东监管局下发的《行政处罚决定书》（[2019]13号），《行政处罚决定书》主要内容：一、披露的信息存在虚假记载；二、未及时披露董事会及监事会决议。责令风华高科改正，给予警告，并处以40万元罚款。</w:t>
      </w:r>
    </w:p>
    <w:p>
      <w:pPr>
        <w:autoSpaceDE w:val="0"/>
        <w:autoSpaceDN w:val="0"/>
        <w:adjustRightInd w:val="0"/>
        <w:spacing w:before="29" w:line="288" w:lineRule="auto"/>
        <w:jc w:val="left"/>
        <w:rPr>
          <w:b/>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2,404,534.17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37,286,164.55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95,187.87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106,182,929.29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145,968,815.88</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173B44" w:rsidR="00173B44" w:rsidRDefault="00173B44"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128088</w:t>
            </w:r>
          </w:p>
        </w:tc>
        <w:tc>
          <w:tcPr>
            <w:vAlign w:val="center"/>
          </w:tcPr>
          <w:p>
            <w:pPr>
              <w:jc w:val="center"/>
            </w:pPr>
            <w:r>
              <w:rPr>
                <w:color w:val="000000"/>
                <w:sz w:val="24"/>
                <w:szCs w:val="24"/>
              </w:rPr>
              <w:t>深南转债</w:t>
            </w:r>
          </w:p>
        </w:tc>
        <w:tc>
          <w:tcPr>
            <w:vAlign w:val="center"/>
          </w:tcPr>
          <w:p>
            <w:pPr>
              <w:jc w:val="right"/>
            </w:pPr>
            <w:r>
              <w:rPr>
                <w:color w:val="000000"/>
                <w:sz w:val="24"/>
                <w:szCs w:val="24"/>
              </w:rPr>
              <w:t>501,565.92</w:t>
            </w:r>
          </w:p>
        </w:tc>
        <w:tc>
          <w:tcPr>
            <w:vAlign w:val="center"/>
          </w:tcPr>
          <w:p>
            <w:pPr>
              <w:jc w:val="right"/>
            </w:pPr>
            <w:r>
              <w:rPr>
                <w:color w:val="000000"/>
                <w:sz w:val="24"/>
                <w:szCs w:val="24"/>
              </w:rPr>
              <w:t>0.01</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3,285,519,230.75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481,262,026.48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1,103,467,351.89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2,663,313,905.34</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注：1、如果本报告期间发生转换入、份额类别调整、红利再投业务，则总申购份额中包含该业务；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2、如果本报告期间发生转换出、份额类别调整业务，则总赎回份额中包含该业务。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1、中国证监会准予交银施罗德经济新动力混合型证券投资基金募集注册的文件；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2、《交银施罗德经济新动力混合型证券投资基金基金合同》；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3、《交银施罗德经济新动力混合型证券投资基金招募说明书》；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4、《交银施罗德经济新动力混合型证券投资基金托管协议》；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5、关于申请募集注册交银施罗德经济新动力混合型证券投资基金的法律意见书；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8、报告期内交银施罗德经济新动力混合型证券投资基金在指定报刊上各项公告的原稿。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交银施罗德经济新动力混合型证券投资基金2020年第2季度报告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