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44B97" w:rsidRDefault="002842D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44B97" w:rsidRDefault="002842D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44B97" w:rsidRDefault="002842D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44B97" w:rsidRDefault="002842DB">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744B97" w:rsidRDefault="002842D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312,136,243.39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149D8" w:rsidRPr="00414345" w:rsidTr="009149D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149D8" w:rsidRPr="00414345" w:rsidTr="009149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21,381,743.84</w:t>
            </w:r>
          </w:p>
        </w:tc>
      </w:tr>
      <w:tr w:rsidR="009149D8" w:rsidRPr="00414345" w:rsidTr="009149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116,519,662.55</w:t>
            </w:r>
          </w:p>
        </w:tc>
      </w:tr>
      <w:tr w:rsidR="009149D8" w:rsidRPr="00414345" w:rsidTr="009149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0.3421</w:t>
            </w:r>
          </w:p>
        </w:tc>
      </w:tr>
      <w:tr w:rsidR="009149D8" w:rsidRPr="00414345" w:rsidTr="009149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550,571,294.32</w:t>
            </w:r>
          </w:p>
        </w:tc>
      </w:tr>
      <w:tr w:rsidR="009149D8" w:rsidRPr="00414345" w:rsidTr="009149D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1.7639</w:t>
            </w:r>
          </w:p>
        </w:tc>
      </w:tr>
    </w:tbl>
    <w:p w:rsidR="00744B97" w:rsidRDefault="002842D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44B97">
        <w:trPr>
          <w:jc w:val="center"/>
        </w:trPr>
        <w:tc>
          <w:tcPr>
            <w:tcW w:w="1701" w:type="dxa"/>
            <w:vAlign w:val="center"/>
          </w:tcPr>
          <w:p w:rsidR="00744B97" w:rsidRDefault="002842DB">
            <w:pPr>
              <w:jc w:val="left"/>
            </w:pPr>
            <w:r>
              <w:rPr>
                <w:color w:val="000000"/>
                <w:sz w:val="24"/>
                <w:szCs w:val="24"/>
              </w:rPr>
              <w:t>过去三个月</w:t>
            </w:r>
          </w:p>
        </w:tc>
        <w:tc>
          <w:tcPr>
            <w:tcW w:w="1045" w:type="dxa"/>
            <w:vAlign w:val="center"/>
          </w:tcPr>
          <w:p w:rsidR="00744B97" w:rsidRDefault="002842DB">
            <w:pPr>
              <w:jc w:val="center"/>
            </w:pPr>
            <w:r>
              <w:rPr>
                <w:color w:val="000000"/>
                <w:sz w:val="24"/>
                <w:szCs w:val="24"/>
              </w:rPr>
              <w:t>24.45%</w:t>
            </w:r>
          </w:p>
        </w:tc>
        <w:tc>
          <w:tcPr>
            <w:tcW w:w="1344" w:type="dxa"/>
            <w:vAlign w:val="center"/>
          </w:tcPr>
          <w:p w:rsidR="00744B97" w:rsidRDefault="002842DB">
            <w:pPr>
              <w:jc w:val="center"/>
            </w:pPr>
            <w:r>
              <w:rPr>
                <w:color w:val="000000"/>
                <w:sz w:val="24"/>
                <w:szCs w:val="24"/>
              </w:rPr>
              <w:t>1.40%</w:t>
            </w:r>
          </w:p>
        </w:tc>
        <w:tc>
          <w:tcPr>
            <w:tcW w:w="1194" w:type="dxa"/>
            <w:vAlign w:val="center"/>
          </w:tcPr>
          <w:p w:rsidR="00744B97" w:rsidRDefault="002842DB">
            <w:pPr>
              <w:jc w:val="center"/>
            </w:pPr>
            <w:r>
              <w:rPr>
                <w:color w:val="000000"/>
                <w:sz w:val="24"/>
                <w:szCs w:val="24"/>
              </w:rPr>
              <w:t>12.45%</w:t>
            </w:r>
          </w:p>
        </w:tc>
        <w:tc>
          <w:tcPr>
            <w:tcW w:w="1492" w:type="dxa"/>
            <w:vAlign w:val="center"/>
          </w:tcPr>
          <w:p w:rsidR="00744B97" w:rsidRDefault="002842DB">
            <w:pPr>
              <w:jc w:val="center"/>
            </w:pPr>
            <w:r>
              <w:rPr>
                <w:color w:val="000000"/>
                <w:sz w:val="24"/>
                <w:szCs w:val="24"/>
              </w:rPr>
              <w:t>0.82%</w:t>
            </w:r>
          </w:p>
        </w:tc>
        <w:tc>
          <w:tcPr>
            <w:tcW w:w="1194" w:type="dxa"/>
            <w:vAlign w:val="center"/>
          </w:tcPr>
          <w:p w:rsidR="00744B97" w:rsidRDefault="002842DB">
            <w:pPr>
              <w:jc w:val="center"/>
            </w:pPr>
            <w:r>
              <w:rPr>
                <w:color w:val="000000"/>
                <w:sz w:val="24"/>
                <w:szCs w:val="24"/>
              </w:rPr>
              <w:t>12.00%</w:t>
            </w:r>
          </w:p>
        </w:tc>
        <w:tc>
          <w:tcPr>
            <w:tcW w:w="898" w:type="dxa"/>
            <w:vAlign w:val="center"/>
          </w:tcPr>
          <w:p w:rsidR="00744B97" w:rsidRDefault="002842DB">
            <w:pPr>
              <w:jc w:val="center"/>
            </w:pPr>
            <w:r>
              <w:rPr>
                <w:color w:val="000000"/>
                <w:sz w:val="24"/>
                <w:szCs w:val="24"/>
              </w:rPr>
              <w:t>0.58%</w:t>
            </w:r>
          </w:p>
        </w:tc>
      </w:tr>
      <w:tr w:rsidR="00744B97">
        <w:trPr>
          <w:jc w:val="center"/>
        </w:trPr>
        <w:tc>
          <w:tcPr>
            <w:tcW w:w="1701" w:type="dxa"/>
            <w:vAlign w:val="center"/>
          </w:tcPr>
          <w:p w:rsidR="00744B97" w:rsidRDefault="002842DB">
            <w:pPr>
              <w:jc w:val="left"/>
            </w:pPr>
            <w:r>
              <w:rPr>
                <w:color w:val="000000"/>
                <w:sz w:val="24"/>
                <w:szCs w:val="24"/>
              </w:rPr>
              <w:t>过去六个月</w:t>
            </w:r>
          </w:p>
        </w:tc>
        <w:tc>
          <w:tcPr>
            <w:tcW w:w="1045" w:type="dxa"/>
            <w:vAlign w:val="center"/>
          </w:tcPr>
          <w:p w:rsidR="00744B97" w:rsidRDefault="002842DB">
            <w:pPr>
              <w:jc w:val="center"/>
            </w:pPr>
            <w:r>
              <w:rPr>
                <w:color w:val="000000"/>
                <w:sz w:val="24"/>
                <w:szCs w:val="24"/>
              </w:rPr>
              <w:t>21.82%</w:t>
            </w:r>
          </w:p>
        </w:tc>
        <w:tc>
          <w:tcPr>
            <w:tcW w:w="1344" w:type="dxa"/>
            <w:vAlign w:val="center"/>
          </w:tcPr>
          <w:p w:rsidR="00744B97" w:rsidRDefault="002842DB">
            <w:pPr>
              <w:jc w:val="center"/>
            </w:pPr>
            <w:r>
              <w:rPr>
                <w:color w:val="000000"/>
                <w:sz w:val="24"/>
                <w:szCs w:val="24"/>
              </w:rPr>
              <w:t>1.92%</w:t>
            </w:r>
          </w:p>
        </w:tc>
        <w:tc>
          <w:tcPr>
            <w:tcW w:w="1194" w:type="dxa"/>
            <w:vAlign w:val="center"/>
          </w:tcPr>
          <w:p w:rsidR="00744B97" w:rsidRDefault="002842DB">
            <w:pPr>
              <w:jc w:val="center"/>
            </w:pPr>
            <w:r>
              <w:rPr>
                <w:color w:val="000000"/>
                <w:sz w:val="24"/>
                <w:szCs w:val="24"/>
              </w:rPr>
              <w:t>9.54%</w:t>
            </w:r>
          </w:p>
        </w:tc>
        <w:tc>
          <w:tcPr>
            <w:tcW w:w="1492" w:type="dxa"/>
            <w:vAlign w:val="center"/>
          </w:tcPr>
          <w:p w:rsidR="00744B97" w:rsidRDefault="002842DB">
            <w:pPr>
              <w:jc w:val="center"/>
            </w:pPr>
            <w:r>
              <w:rPr>
                <w:color w:val="000000"/>
                <w:sz w:val="24"/>
                <w:szCs w:val="24"/>
              </w:rPr>
              <w:t>1.30%</w:t>
            </w:r>
          </w:p>
        </w:tc>
        <w:tc>
          <w:tcPr>
            <w:tcW w:w="1194" w:type="dxa"/>
            <w:vAlign w:val="center"/>
          </w:tcPr>
          <w:p w:rsidR="00744B97" w:rsidRDefault="002842DB">
            <w:pPr>
              <w:jc w:val="center"/>
            </w:pPr>
            <w:r>
              <w:rPr>
                <w:color w:val="000000"/>
                <w:sz w:val="24"/>
                <w:szCs w:val="24"/>
              </w:rPr>
              <w:t>12.28%</w:t>
            </w:r>
          </w:p>
        </w:tc>
        <w:tc>
          <w:tcPr>
            <w:tcW w:w="898" w:type="dxa"/>
            <w:vAlign w:val="center"/>
          </w:tcPr>
          <w:p w:rsidR="00744B97" w:rsidRDefault="002842DB">
            <w:pPr>
              <w:jc w:val="center"/>
            </w:pPr>
            <w:r>
              <w:rPr>
                <w:color w:val="000000"/>
                <w:sz w:val="24"/>
                <w:szCs w:val="24"/>
              </w:rPr>
              <w:t>0.62%</w:t>
            </w:r>
          </w:p>
        </w:tc>
      </w:tr>
      <w:tr w:rsidR="00744B97">
        <w:trPr>
          <w:jc w:val="center"/>
        </w:trPr>
        <w:tc>
          <w:tcPr>
            <w:tcW w:w="1701" w:type="dxa"/>
            <w:vAlign w:val="center"/>
          </w:tcPr>
          <w:p w:rsidR="00744B97" w:rsidRDefault="002842DB">
            <w:pPr>
              <w:jc w:val="left"/>
            </w:pPr>
            <w:r>
              <w:rPr>
                <w:color w:val="000000"/>
                <w:sz w:val="24"/>
                <w:szCs w:val="24"/>
              </w:rPr>
              <w:t>过去一年</w:t>
            </w:r>
          </w:p>
        </w:tc>
        <w:tc>
          <w:tcPr>
            <w:tcW w:w="1045" w:type="dxa"/>
            <w:vAlign w:val="center"/>
          </w:tcPr>
          <w:p w:rsidR="00744B97" w:rsidRDefault="002842DB">
            <w:pPr>
              <w:jc w:val="center"/>
            </w:pPr>
            <w:r>
              <w:rPr>
                <w:color w:val="000000"/>
                <w:sz w:val="24"/>
                <w:szCs w:val="24"/>
              </w:rPr>
              <w:t>35.42%</w:t>
            </w:r>
          </w:p>
        </w:tc>
        <w:tc>
          <w:tcPr>
            <w:tcW w:w="1344" w:type="dxa"/>
            <w:vAlign w:val="center"/>
          </w:tcPr>
          <w:p w:rsidR="00744B97" w:rsidRDefault="002842DB">
            <w:pPr>
              <w:jc w:val="center"/>
            </w:pPr>
            <w:r>
              <w:rPr>
                <w:color w:val="000000"/>
                <w:sz w:val="24"/>
                <w:szCs w:val="24"/>
              </w:rPr>
              <w:t>1.62%</w:t>
            </w:r>
          </w:p>
        </w:tc>
        <w:tc>
          <w:tcPr>
            <w:tcW w:w="1194" w:type="dxa"/>
            <w:vAlign w:val="center"/>
          </w:tcPr>
          <w:p w:rsidR="00744B97" w:rsidRDefault="002842DB">
            <w:pPr>
              <w:jc w:val="center"/>
            </w:pPr>
            <w:r>
              <w:rPr>
                <w:color w:val="000000"/>
                <w:sz w:val="24"/>
                <w:szCs w:val="24"/>
              </w:rPr>
              <w:t>17.68%</w:t>
            </w:r>
          </w:p>
        </w:tc>
        <w:tc>
          <w:tcPr>
            <w:tcW w:w="1492" w:type="dxa"/>
            <w:vAlign w:val="center"/>
          </w:tcPr>
          <w:p w:rsidR="00744B97" w:rsidRDefault="002842DB">
            <w:pPr>
              <w:jc w:val="center"/>
            </w:pPr>
            <w:r>
              <w:rPr>
                <w:color w:val="000000"/>
                <w:sz w:val="24"/>
                <w:szCs w:val="24"/>
              </w:rPr>
              <w:t>1.06%</w:t>
            </w:r>
          </w:p>
        </w:tc>
        <w:tc>
          <w:tcPr>
            <w:tcW w:w="1194" w:type="dxa"/>
            <w:vAlign w:val="center"/>
          </w:tcPr>
          <w:p w:rsidR="00744B97" w:rsidRDefault="002842DB">
            <w:pPr>
              <w:jc w:val="center"/>
            </w:pPr>
            <w:r>
              <w:rPr>
                <w:color w:val="000000"/>
                <w:sz w:val="24"/>
                <w:szCs w:val="24"/>
              </w:rPr>
              <w:t>17.74%</w:t>
            </w:r>
          </w:p>
        </w:tc>
        <w:tc>
          <w:tcPr>
            <w:tcW w:w="898" w:type="dxa"/>
            <w:vAlign w:val="center"/>
          </w:tcPr>
          <w:p w:rsidR="00744B97" w:rsidRDefault="002842DB">
            <w:pPr>
              <w:jc w:val="center"/>
            </w:pPr>
            <w:r>
              <w:rPr>
                <w:color w:val="000000"/>
                <w:sz w:val="24"/>
                <w:szCs w:val="24"/>
              </w:rPr>
              <w:t>0.56%</w:t>
            </w:r>
          </w:p>
        </w:tc>
      </w:tr>
      <w:tr w:rsidR="00744B97">
        <w:trPr>
          <w:jc w:val="center"/>
        </w:trPr>
        <w:tc>
          <w:tcPr>
            <w:tcW w:w="1701" w:type="dxa"/>
            <w:vAlign w:val="center"/>
          </w:tcPr>
          <w:p w:rsidR="00744B97" w:rsidRDefault="002842DB">
            <w:pPr>
              <w:jc w:val="left"/>
            </w:pPr>
            <w:r>
              <w:rPr>
                <w:color w:val="000000"/>
                <w:sz w:val="24"/>
                <w:szCs w:val="24"/>
              </w:rPr>
              <w:lastRenderedPageBreak/>
              <w:t>过去三年</w:t>
            </w:r>
          </w:p>
        </w:tc>
        <w:tc>
          <w:tcPr>
            <w:tcW w:w="1045" w:type="dxa"/>
            <w:vAlign w:val="center"/>
          </w:tcPr>
          <w:p w:rsidR="00744B97" w:rsidRDefault="002842DB">
            <w:pPr>
              <w:jc w:val="center"/>
            </w:pPr>
            <w:r>
              <w:rPr>
                <w:color w:val="000000"/>
                <w:sz w:val="24"/>
                <w:szCs w:val="24"/>
              </w:rPr>
              <w:t>43.30%</w:t>
            </w:r>
          </w:p>
        </w:tc>
        <w:tc>
          <w:tcPr>
            <w:tcW w:w="1344" w:type="dxa"/>
            <w:vAlign w:val="center"/>
          </w:tcPr>
          <w:p w:rsidR="00744B97" w:rsidRDefault="002842DB">
            <w:pPr>
              <w:jc w:val="center"/>
            </w:pPr>
            <w:r>
              <w:rPr>
                <w:color w:val="000000"/>
                <w:sz w:val="24"/>
                <w:szCs w:val="24"/>
              </w:rPr>
              <w:t>1.72%</w:t>
            </w:r>
          </w:p>
        </w:tc>
        <w:tc>
          <w:tcPr>
            <w:tcW w:w="1194" w:type="dxa"/>
            <w:vAlign w:val="center"/>
          </w:tcPr>
          <w:p w:rsidR="00744B97" w:rsidRDefault="002842DB">
            <w:pPr>
              <w:jc w:val="center"/>
            </w:pPr>
            <w:r>
              <w:rPr>
                <w:color w:val="000000"/>
                <w:sz w:val="24"/>
                <w:szCs w:val="24"/>
              </w:rPr>
              <w:t>6.67%</w:t>
            </w:r>
          </w:p>
        </w:tc>
        <w:tc>
          <w:tcPr>
            <w:tcW w:w="1492" w:type="dxa"/>
            <w:vAlign w:val="center"/>
          </w:tcPr>
          <w:p w:rsidR="00744B97" w:rsidRDefault="002842DB">
            <w:pPr>
              <w:jc w:val="center"/>
            </w:pPr>
            <w:r>
              <w:rPr>
                <w:color w:val="000000"/>
                <w:sz w:val="24"/>
                <w:szCs w:val="24"/>
              </w:rPr>
              <w:t>1.06%</w:t>
            </w:r>
          </w:p>
        </w:tc>
        <w:tc>
          <w:tcPr>
            <w:tcW w:w="1194" w:type="dxa"/>
            <w:vAlign w:val="center"/>
          </w:tcPr>
          <w:p w:rsidR="00744B97" w:rsidRDefault="002842DB">
            <w:pPr>
              <w:jc w:val="center"/>
            </w:pPr>
            <w:r>
              <w:rPr>
                <w:color w:val="000000"/>
                <w:sz w:val="24"/>
                <w:szCs w:val="24"/>
              </w:rPr>
              <w:t>36.63%</w:t>
            </w:r>
          </w:p>
        </w:tc>
        <w:tc>
          <w:tcPr>
            <w:tcW w:w="898" w:type="dxa"/>
            <w:vAlign w:val="center"/>
          </w:tcPr>
          <w:p w:rsidR="00744B97" w:rsidRDefault="002842DB">
            <w:pPr>
              <w:jc w:val="center"/>
            </w:pPr>
            <w:r>
              <w:rPr>
                <w:color w:val="000000"/>
                <w:sz w:val="24"/>
                <w:szCs w:val="24"/>
              </w:rPr>
              <w:t>0.66%</w:t>
            </w:r>
          </w:p>
        </w:tc>
      </w:tr>
      <w:tr w:rsidR="00744B97">
        <w:trPr>
          <w:jc w:val="center"/>
        </w:trPr>
        <w:tc>
          <w:tcPr>
            <w:tcW w:w="1701" w:type="dxa"/>
            <w:vAlign w:val="center"/>
          </w:tcPr>
          <w:p w:rsidR="00744B97" w:rsidRDefault="002842DB">
            <w:pPr>
              <w:jc w:val="left"/>
            </w:pPr>
            <w:r>
              <w:rPr>
                <w:color w:val="000000"/>
                <w:sz w:val="24"/>
                <w:szCs w:val="24"/>
              </w:rPr>
              <w:t>过去五年</w:t>
            </w:r>
          </w:p>
        </w:tc>
        <w:tc>
          <w:tcPr>
            <w:tcW w:w="1045" w:type="dxa"/>
            <w:vAlign w:val="center"/>
          </w:tcPr>
          <w:p w:rsidR="00744B97" w:rsidRDefault="002842DB">
            <w:pPr>
              <w:jc w:val="center"/>
            </w:pPr>
            <w:r>
              <w:rPr>
                <w:color w:val="000000"/>
                <w:sz w:val="24"/>
                <w:szCs w:val="24"/>
              </w:rPr>
              <w:t>5.75%</w:t>
            </w:r>
          </w:p>
        </w:tc>
        <w:tc>
          <w:tcPr>
            <w:tcW w:w="1344" w:type="dxa"/>
            <w:vAlign w:val="center"/>
          </w:tcPr>
          <w:p w:rsidR="00744B97" w:rsidRDefault="002842DB">
            <w:pPr>
              <w:jc w:val="center"/>
            </w:pPr>
            <w:r>
              <w:rPr>
                <w:color w:val="000000"/>
                <w:sz w:val="24"/>
                <w:szCs w:val="24"/>
              </w:rPr>
              <w:t>2.21%</w:t>
            </w:r>
          </w:p>
        </w:tc>
        <w:tc>
          <w:tcPr>
            <w:tcW w:w="1194" w:type="dxa"/>
            <w:vAlign w:val="center"/>
          </w:tcPr>
          <w:p w:rsidR="00744B97" w:rsidRDefault="002842DB">
            <w:pPr>
              <w:jc w:val="center"/>
            </w:pPr>
            <w:r>
              <w:rPr>
                <w:color w:val="000000"/>
                <w:sz w:val="24"/>
                <w:szCs w:val="24"/>
              </w:rPr>
              <w:t>-15.74%</w:t>
            </w:r>
          </w:p>
        </w:tc>
        <w:tc>
          <w:tcPr>
            <w:tcW w:w="1492" w:type="dxa"/>
            <w:vAlign w:val="center"/>
          </w:tcPr>
          <w:p w:rsidR="00744B97" w:rsidRDefault="002842DB">
            <w:pPr>
              <w:jc w:val="center"/>
            </w:pPr>
            <w:r>
              <w:rPr>
                <w:color w:val="000000"/>
                <w:sz w:val="24"/>
                <w:szCs w:val="24"/>
              </w:rPr>
              <w:t>1.29%</w:t>
            </w:r>
          </w:p>
        </w:tc>
        <w:tc>
          <w:tcPr>
            <w:tcW w:w="1194" w:type="dxa"/>
            <w:vAlign w:val="center"/>
          </w:tcPr>
          <w:p w:rsidR="00744B97" w:rsidRDefault="002842DB">
            <w:pPr>
              <w:jc w:val="center"/>
            </w:pPr>
            <w:r>
              <w:rPr>
                <w:color w:val="000000"/>
                <w:sz w:val="24"/>
                <w:szCs w:val="24"/>
              </w:rPr>
              <w:t>21.49%</w:t>
            </w:r>
          </w:p>
        </w:tc>
        <w:tc>
          <w:tcPr>
            <w:tcW w:w="898" w:type="dxa"/>
            <w:vAlign w:val="center"/>
          </w:tcPr>
          <w:p w:rsidR="00744B97" w:rsidRDefault="002842DB">
            <w:pPr>
              <w:jc w:val="center"/>
            </w:pPr>
            <w:r>
              <w:rPr>
                <w:color w:val="000000"/>
                <w:sz w:val="24"/>
                <w:szCs w:val="24"/>
              </w:rPr>
              <w:t>0.92%</w:t>
            </w:r>
          </w:p>
        </w:tc>
      </w:tr>
      <w:tr w:rsidR="00744B97">
        <w:trPr>
          <w:jc w:val="center"/>
        </w:trPr>
        <w:tc>
          <w:tcPr>
            <w:tcW w:w="1701" w:type="dxa"/>
            <w:vAlign w:val="center"/>
          </w:tcPr>
          <w:p w:rsidR="00744B97" w:rsidRDefault="002842DB">
            <w:pPr>
              <w:jc w:val="left"/>
            </w:pPr>
            <w:r>
              <w:rPr>
                <w:color w:val="000000"/>
                <w:sz w:val="24"/>
                <w:szCs w:val="24"/>
              </w:rPr>
              <w:t>自基金合同生效起至今</w:t>
            </w:r>
          </w:p>
        </w:tc>
        <w:tc>
          <w:tcPr>
            <w:tcW w:w="1045" w:type="dxa"/>
            <w:vAlign w:val="center"/>
          </w:tcPr>
          <w:p w:rsidR="00744B97" w:rsidRDefault="002842DB">
            <w:pPr>
              <w:jc w:val="center"/>
            </w:pPr>
            <w:r>
              <w:rPr>
                <w:color w:val="000000"/>
                <w:sz w:val="24"/>
                <w:szCs w:val="24"/>
              </w:rPr>
              <w:t>135.79%</w:t>
            </w:r>
          </w:p>
        </w:tc>
        <w:tc>
          <w:tcPr>
            <w:tcW w:w="1344" w:type="dxa"/>
            <w:vAlign w:val="center"/>
          </w:tcPr>
          <w:p w:rsidR="00744B97" w:rsidRDefault="002842DB">
            <w:pPr>
              <w:jc w:val="center"/>
            </w:pPr>
            <w:r>
              <w:rPr>
                <w:color w:val="000000"/>
                <w:sz w:val="24"/>
                <w:szCs w:val="24"/>
              </w:rPr>
              <w:t>1.82%</w:t>
            </w:r>
          </w:p>
        </w:tc>
        <w:tc>
          <w:tcPr>
            <w:tcW w:w="1194" w:type="dxa"/>
            <w:vAlign w:val="center"/>
          </w:tcPr>
          <w:p w:rsidR="00744B97" w:rsidRDefault="002842DB">
            <w:pPr>
              <w:jc w:val="center"/>
            </w:pPr>
            <w:r>
              <w:rPr>
                <w:color w:val="000000"/>
                <w:sz w:val="24"/>
                <w:szCs w:val="24"/>
              </w:rPr>
              <w:t>88.19%</w:t>
            </w:r>
          </w:p>
        </w:tc>
        <w:tc>
          <w:tcPr>
            <w:tcW w:w="1492" w:type="dxa"/>
            <w:vAlign w:val="center"/>
          </w:tcPr>
          <w:p w:rsidR="00744B97" w:rsidRDefault="002842DB">
            <w:pPr>
              <w:jc w:val="center"/>
            </w:pPr>
            <w:r>
              <w:rPr>
                <w:color w:val="000000"/>
                <w:sz w:val="24"/>
                <w:szCs w:val="24"/>
              </w:rPr>
              <w:t>1.26%</w:t>
            </w:r>
          </w:p>
        </w:tc>
        <w:tc>
          <w:tcPr>
            <w:tcW w:w="1194" w:type="dxa"/>
            <w:vAlign w:val="center"/>
          </w:tcPr>
          <w:p w:rsidR="00744B97" w:rsidRDefault="002842DB">
            <w:pPr>
              <w:jc w:val="center"/>
            </w:pPr>
            <w:r>
              <w:rPr>
                <w:color w:val="000000"/>
                <w:sz w:val="24"/>
                <w:szCs w:val="24"/>
              </w:rPr>
              <w:t>47.60%</w:t>
            </w:r>
          </w:p>
        </w:tc>
        <w:tc>
          <w:tcPr>
            <w:tcW w:w="898" w:type="dxa"/>
            <w:vAlign w:val="center"/>
          </w:tcPr>
          <w:p w:rsidR="00744B97" w:rsidRDefault="002842DB">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44B97">
        <w:trPr>
          <w:jc w:val="center"/>
        </w:trPr>
        <w:tc>
          <w:tcPr>
            <w:tcW w:w="846" w:type="dxa"/>
            <w:vAlign w:val="center"/>
          </w:tcPr>
          <w:p w:rsidR="00744B97" w:rsidRDefault="002842DB">
            <w:pPr>
              <w:jc w:val="center"/>
            </w:pPr>
            <w:r>
              <w:rPr>
                <w:color w:val="000000"/>
                <w:sz w:val="24"/>
                <w:szCs w:val="24"/>
              </w:rPr>
              <w:t>芮晨</w:t>
            </w:r>
          </w:p>
        </w:tc>
        <w:tc>
          <w:tcPr>
            <w:tcW w:w="845" w:type="dxa"/>
            <w:vAlign w:val="center"/>
          </w:tcPr>
          <w:p w:rsidR="00744B97" w:rsidRDefault="002842DB">
            <w:pPr>
              <w:jc w:val="center"/>
            </w:pPr>
            <w:r>
              <w:rPr>
                <w:color w:val="000000"/>
                <w:sz w:val="24"/>
                <w:szCs w:val="24"/>
              </w:rPr>
              <w:t>交银先锋混合、交</w:t>
            </w:r>
            <w:proofErr w:type="gramStart"/>
            <w:r>
              <w:rPr>
                <w:color w:val="000000"/>
                <w:sz w:val="24"/>
                <w:szCs w:val="24"/>
              </w:rPr>
              <w:t>银科技</w:t>
            </w:r>
            <w:proofErr w:type="gramEnd"/>
            <w:r>
              <w:rPr>
                <w:color w:val="000000"/>
                <w:sz w:val="24"/>
                <w:szCs w:val="24"/>
              </w:rPr>
              <w:t>创新灵活配置混合的基金经理</w:t>
            </w:r>
          </w:p>
        </w:tc>
        <w:tc>
          <w:tcPr>
            <w:tcW w:w="1549" w:type="dxa"/>
            <w:vAlign w:val="center"/>
          </w:tcPr>
          <w:p w:rsidR="00744B97" w:rsidRDefault="002842DB">
            <w:pPr>
              <w:jc w:val="center"/>
            </w:pPr>
            <w:r>
              <w:rPr>
                <w:color w:val="000000"/>
                <w:sz w:val="24"/>
                <w:szCs w:val="24"/>
              </w:rPr>
              <w:t>2015-05-18</w:t>
            </w:r>
          </w:p>
        </w:tc>
        <w:tc>
          <w:tcPr>
            <w:tcW w:w="1548" w:type="dxa"/>
            <w:vAlign w:val="center"/>
          </w:tcPr>
          <w:p w:rsidR="00744B97" w:rsidRDefault="002842DB">
            <w:pPr>
              <w:jc w:val="center"/>
            </w:pPr>
            <w:r>
              <w:rPr>
                <w:color w:val="000000"/>
                <w:sz w:val="24"/>
                <w:szCs w:val="24"/>
              </w:rPr>
              <w:t>-</w:t>
            </w:r>
          </w:p>
        </w:tc>
        <w:tc>
          <w:tcPr>
            <w:tcW w:w="1407" w:type="dxa"/>
            <w:vAlign w:val="center"/>
          </w:tcPr>
          <w:p w:rsidR="00744B97" w:rsidRDefault="002842DB">
            <w:pPr>
              <w:jc w:val="center"/>
            </w:pPr>
            <w:r>
              <w:rPr>
                <w:color w:val="000000"/>
                <w:sz w:val="24"/>
                <w:szCs w:val="24"/>
              </w:rPr>
              <w:t>13</w:t>
            </w:r>
            <w:r>
              <w:rPr>
                <w:color w:val="000000"/>
                <w:sz w:val="24"/>
                <w:szCs w:val="24"/>
              </w:rPr>
              <w:t>年</w:t>
            </w:r>
          </w:p>
        </w:tc>
        <w:tc>
          <w:tcPr>
            <w:tcW w:w="2673" w:type="dxa"/>
            <w:vAlign w:val="center"/>
          </w:tcPr>
          <w:p w:rsidR="00744B97" w:rsidRDefault="002842DB">
            <w:r>
              <w:rPr>
                <w:color w:val="000000"/>
                <w:sz w:val="24"/>
                <w:szCs w:val="24"/>
              </w:rPr>
              <w:t>芮晨先生，内蒙古科技大学工学士。历任深圳尚诚资产管理有限公司研究员、研究副总监，国联安基金管理有限公司行业研究员、投资经理，</w:t>
            </w:r>
            <w:proofErr w:type="gramStart"/>
            <w:r>
              <w:rPr>
                <w:color w:val="000000"/>
                <w:sz w:val="24"/>
                <w:szCs w:val="24"/>
              </w:rPr>
              <w:t>浙商证券</w:t>
            </w:r>
            <w:proofErr w:type="gramEnd"/>
            <w:r>
              <w:rPr>
                <w:color w:val="000000"/>
                <w:sz w:val="24"/>
                <w:szCs w:val="24"/>
              </w:rPr>
              <w:t>资产管理有限公司投资主办。</w:t>
            </w:r>
            <w:r>
              <w:rPr>
                <w:color w:val="000000"/>
                <w:sz w:val="24"/>
                <w:szCs w:val="24"/>
              </w:rPr>
              <w:t>2015</w:t>
            </w:r>
            <w:r>
              <w:rPr>
                <w:color w:val="000000"/>
                <w:sz w:val="24"/>
                <w:szCs w:val="24"/>
              </w:rPr>
              <w:t>年加入交银施罗德基金管理有限公司。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日担任交银施罗德数据产业灵活配置混合型证券投资基金的基金经理。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44B97" w:rsidRDefault="002842D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44B97" w:rsidRDefault="002842D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44B97" w:rsidRDefault="002842D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44B97" w:rsidRPr="009149D8" w:rsidRDefault="002842DB">
      <w:pPr>
        <w:spacing w:before="29" w:line="288" w:lineRule="auto"/>
        <w:ind w:firstLineChars="200" w:firstLine="480"/>
        <w:rPr>
          <w:color w:val="000000"/>
          <w:sz w:val="24"/>
          <w:szCs w:val="24"/>
        </w:rPr>
      </w:pPr>
      <w:r>
        <w:rPr>
          <w:color w:val="000000"/>
          <w:sz w:val="24"/>
          <w:szCs w:val="24"/>
        </w:rPr>
        <w:t>2020</w:t>
      </w:r>
      <w:r>
        <w:rPr>
          <w:color w:val="000000"/>
          <w:sz w:val="24"/>
          <w:szCs w:val="24"/>
        </w:rPr>
        <w:t>年二季度，新冠疫情在中国得到了有效控制，但是在全世界范围广泛传播，全球范围内新冠病患的发病数量仍然没有看到拐点，但是全球主要股市在流动性的推动下，</w:t>
      </w:r>
      <w:r w:rsidR="009149D8" w:rsidRPr="0030539B">
        <w:rPr>
          <w:rFonts w:ascii="宋体" w:hAnsi="宋体" w:hint="eastAsia"/>
          <w:sz w:val="24"/>
          <w:szCs w:val="24"/>
        </w:rPr>
        <w:t>跌幅相对于一季度都有所收窄</w:t>
      </w:r>
      <w:r w:rsidRPr="009149D8">
        <w:rPr>
          <w:color w:val="000000"/>
          <w:sz w:val="24"/>
          <w:szCs w:val="24"/>
        </w:rPr>
        <w:t>。</w:t>
      </w:r>
    </w:p>
    <w:p w:rsidR="00744B97" w:rsidRPr="009149D8" w:rsidRDefault="002842DB">
      <w:pPr>
        <w:spacing w:before="29" w:line="288" w:lineRule="auto"/>
        <w:ind w:firstLineChars="200" w:firstLine="480"/>
        <w:rPr>
          <w:color w:val="000000"/>
          <w:sz w:val="24"/>
          <w:szCs w:val="24"/>
        </w:rPr>
      </w:pPr>
      <w:r w:rsidRPr="009149D8">
        <w:rPr>
          <w:color w:val="000000"/>
          <w:sz w:val="24"/>
          <w:szCs w:val="24"/>
        </w:rPr>
        <w:t>在一些传统行业受到疫情冲击的同时，我们也看到，一些新的商业模式以线上的方式渗透，发展速度很快，</w:t>
      </w:r>
      <w:r w:rsidR="009149D8" w:rsidRPr="0030539B">
        <w:rPr>
          <w:rFonts w:ascii="宋体" w:hAnsi="宋体" w:hint="eastAsia"/>
          <w:sz w:val="24"/>
          <w:szCs w:val="24"/>
        </w:rPr>
        <w:t>从长期</w:t>
      </w:r>
      <w:proofErr w:type="gramStart"/>
      <w:r w:rsidR="009149D8" w:rsidRPr="0030539B">
        <w:rPr>
          <w:rFonts w:ascii="宋体" w:hAnsi="宋体" w:hint="eastAsia"/>
          <w:sz w:val="24"/>
          <w:szCs w:val="24"/>
        </w:rPr>
        <w:t>看甚至</w:t>
      </w:r>
      <w:proofErr w:type="gramEnd"/>
      <w:r w:rsidR="009149D8" w:rsidRPr="0030539B">
        <w:rPr>
          <w:rFonts w:ascii="宋体" w:hAnsi="宋体" w:hint="eastAsia"/>
          <w:sz w:val="24"/>
          <w:szCs w:val="24"/>
        </w:rPr>
        <w:t>有可能</w:t>
      </w:r>
      <w:r w:rsidRPr="009149D8">
        <w:rPr>
          <w:color w:val="000000"/>
          <w:sz w:val="24"/>
          <w:szCs w:val="24"/>
        </w:rPr>
        <w:t>改变人们的社交、交易和工作方式。本基金二季度跑</w:t>
      </w:r>
      <w:proofErr w:type="gramStart"/>
      <w:r w:rsidRPr="009149D8">
        <w:rPr>
          <w:color w:val="000000"/>
          <w:sz w:val="24"/>
          <w:szCs w:val="24"/>
        </w:rPr>
        <w:t>赢业绩</w:t>
      </w:r>
      <w:proofErr w:type="gramEnd"/>
      <w:r w:rsidRPr="009149D8">
        <w:rPr>
          <w:color w:val="000000"/>
          <w:sz w:val="24"/>
          <w:szCs w:val="24"/>
        </w:rPr>
        <w:t>比较基准。</w:t>
      </w:r>
    </w:p>
    <w:p w:rsidR="004061AC" w:rsidRPr="00414345" w:rsidRDefault="004061AC" w:rsidP="00C15CAC">
      <w:pPr>
        <w:spacing w:before="29" w:line="288" w:lineRule="auto"/>
        <w:ind w:firstLineChars="200" w:firstLine="480"/>
        <w:rPr>
          <w:color w:val="000000"/>
          <w:sz w:val="24"/>
          <w:szCs w:val="24"/>
        </w:rPr>
      </w:pPr>
      <w:r w:rsidRPr="009149D8">
        <w:rPr>
          <w:color w:val="000000"/>
          <w:sz w:val="24"/>
          <w:szCs w:val="24"/>
        </w:rPr>
        <w:t>展望</w:t>
      </w:r>
      <w:r w:rsidRPr="009149D8">
        <w:rPr>
          <w:color w:val="000000"/>
          <w:sz w:val="24"/>
          <w:szCs w:val="24"/>
        </w:rPr>
        <w:t>2020</w:t>
      </w:r>
      <w:r w:rsidRPr="009149D8">
        <w:rPr>
          <w:rFonts w:hint="eastAsia"/>
          <w:color w:val="000000"/>
          <w:sz w:val="24"/>
          <w:szCs w:val="24"/>
        </w:rPr>
        <w:t>年三季度，我们认为可以更多地看到疫情一旦得到控制后，全球经济的弹性和</w:t>
      </w:r>
      <w:r w:rsidR="009149D8" w:rsidRPr="0030539B">
        <w:rPr>
          <w:rFonts w:ascii="宋体" w:hAnsi="宋体" w:hint="eastAsia"/>
          <w:sz w:val="24"/>
          <w:szCs w:val="24"/>
        </w:rPr>
        <w:t>向上可</w:t>
      </w:r>
      <w:r w:rsidRPr="009149D8">
        <w:rPr>
          <w:color w:val="000000"/>
          <w:sz w:val="24"/>
          <w:szCs w:val="24"/>
        </w:rPr>
        <w:t>持续的时间，现在很多传统行业的龙头企业都处于历史估值的底部，从两到三年的角度去看，预计都有不错的收益率，所以我们会密切跟踪疫情</w:t>
      </w:r>
      <w:r w:rsidR="009149D8" w:rsidRPr="0030539B">
        <w:rPr>
          <w:rFonts w:ascii="宋体" w:hAnsi="宋体" w:hint="eastAsia"/>
          <w:sz w:val="24"/>
          <w:szCs w:val="24"/>
        </w:rPr>
        <w:t>发展</w:t>
      </w:r>
      <w:r w:rsidRPr="009149D8">
        <w:rPr>
          <w:color w:val="000000"/>
          <w:sz w:val="24"/>
          <w:szCs w:val="24"/>
        </w:rPr>
        <w:t>和经济恢复的进度。一旦看到拐点，</w:t>
      </w:r>
      <w:r w:rsidR="009149D8" w:rsidRPr="0030539B">
        <w:rPr>
          <w:rFonts w:ascii="宋体" w:hAnsi="宋体" w:hint="eastAsia"/>
          <w:sz w:val="24"/>
          <w:szCs w:val="24"/>
        </w:rPr>
        <w:t>传统行业的龙头企业可能会有比较好的投资机会</w:t>
      </w:r>
      <w:r w:rsidRPr="00414345">
        <w:rPr>
          <w:color w:val="000000"/>
          <w:sz w:val="24"/>
          <w:szCs w:val="24"/>
        </w:rPr>
        <w:t>。</w:t>
      </w:r>
    </w:p>
    <w:p w:rsidR="00627E2D" w:rsidRPr="009149D8"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D8591B" w:rsidRPr="00D8591B" w:rsidRDefault="00D8591B" w:rsidP="00421CD2">
      <w:pPr>
        <w:spacing w:before="29" w:line="288" w:lineRule="auto"/>
        <w:ind w:firstLineChars="200" w:firstLine="480"/>
        <w:rPr>
          <w:rFonts w:hint="eastAsia"/>
          <w:color w:val="000000"/>
          <w:sz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478,295,355.22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85.80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478,295,355.22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85.80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74,667,133.23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4,481,482.89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557,443,971.34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299,551,142.52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7,795,296.60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6,171,377.77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114,488,942.33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20,567,848.00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17,561,653.00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3,435,344.00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8,723,751.00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478,295,355.22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86.87</w:t>
            </w:r>
          </w:p>
        </w:tc>
      </w:tr>
    </w:tbl>
    <w:p w:rsidR="009149D8" w:rsidRDefault="009149D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44B97">
        <w:trPr>
          <w:jc w:val="center"/>
        </w:trPr>
        <w:tc>
          <w:tcPr>
            <w:tcW w:w="855" w:type="dxa"/>
            <w:vAlign w:val="center"/>
          </w:tcPr>
          <w:p w:rsidR="00744B97" w:rsidRDefault="002842DB">
            <w:pPr>
              <w:jc w:val="center"/>
            </w:pPr>
            <w:r>
              <w:rPr>
                <w:color w:val="000000"/>
                <w:sz w:val="24"/>
                <w:szCs w:val="24"/>
              </w:rPr>
              <w:t>1</w:t>
            </w:r>
          </w:p>
        </w:tc>
        <w:tc>
          <w:tcPr>
            <w:tcW w:w="1334" w:type="dxa"/>
            <w:vAlign w:val="center"/>
          </w:tcPr>
          <w:p w:rsidR="00744B97" w:rsidRDefault="002842DB">
            <w:pPr>
              <w:jc w:val="center"/>
            </w:pPr>
            <w:r>
              <w:rPr>
                <w:color w:val="000000"/>
                <w:sz w:val="24"/>
                <w:szCs w:val="24"/>
              </w:rPr>
              <w:t>300395</w:t>
            </w:r>
          </w:p>
        </w:tc>
        <w:tc>
          <w:tcPr>
            <w:tcW w:w="1777" w:type="dxa"/>
            <w:vAlign w:val="center"/>
          </w:tcPr>
          <w:p w:rsidR="00744B97" w:rsidRDefault="002842DB">
            <w:pPr>
              <w:jc w:val="center"/>
            </w:pPr>
            <w:r>
              <w:rPr>
                <w:color w:val="000000"/>
                <w:sz w:val="24"/>
                <w:szCs w:val="24"/>
              </w:rPr>
              <w:t>菲利华</w:t>
            </w:r>
          </w:p>
        </w:tc>
        <w:tc>
          <w:tcPr>
            <w:tcW w:w="1334" w:type="dxa"/>
            <w:vAlign w:val="center"/>
          </w:tcPr>
          <w:p w:rsidR="00744B97" w:rsidRDefault="002842DB">
            <w:pPr>
              <w:jc w:val="right"/>
            </w:pPr>
            <w:r>
              <w:rPr>
                <w:color w:val="000000"/>
                <w:sz w:val="24"/>
                <w:szCs w:val="24"/>
              </w:rPr>
              <w:t>1,530,436</w:t>
            </w:r>
          </w:p>
        </w:tc>
        <w:tc>
          <w:tcPr>
            <w:tcW w:w="1924" w:type="dxa"/>
            <w:vAlign w:val="center"/>
          </w:tcPr>
          <w:p w:rsidR="00744B97" w:rsidRDefault="002842DB">
            <w:pPr>
              <w:jc w:val="right"/>
            </w:pPr>
            <w:r>
              <w:rPr>
                <w:color w:val="000000"/>
                <w:sz w:val="24"/>
                <w:szCs w:val="24"/>
              </w:rPr>
              <w:t>50,305,431.32</w:t>
            </w:r>
          </w:p>
        </w:tc>
        <w:tc>
          <w:tcPr>
            <w:tcW w:w="1644" w:type="dxa"/>
            <w:vAlign w:val="center"/>
          </w:tcPr>
          <w:p w:rsidR="00744B97" w:rsidRDefault="002842DB">
            <w:pPr>
              <w:jc w:val="right"/>
            </w:pPr>
            <w:r>
              <w:rPr>
                <w:color w:val="000000"/>
                <w:sz w:val="24"/>
                <w:szCs w:val="24"/>
              </w:rPr>
              <w:t>9.14</w:t>
            </w:r>
          </w:p>
        </w:tc>
      </w:tr>
      <w:tr w:rsidR="00744B97">
        <w:trPr>
          <w:jc w:val="center"/>
        </w:trPr>
        <w:tc>
          <w:tcPr>
            <w:tcW w:w="855" w:type="dxa"/>
            <w:vAlign w:val="center"/>
          </w:tcPr>
          <w:p w:rsidR="00744B97" w:rsidRDefault="002842DB">
            <w:pPr>
              <w:jc w:val="center"/>
            </w:pPr>
            <w:r>
              <w:rPr>
                <w:color w:val="000000"/>
                <w:sz w:val="24"/>
                <w:szCs w:val="24"/>
              </w:rPr>
              <w:t>2</w:t>
            </w:r>
          </w:p>
        </w:tc>
        <w:tc>
          <w:tcPr>
            <w:tcW w:w="1334" w:type="dxa"/>
            <w:vAlign w:val="center"/>
          </w:tcPr>
          <w:p w:rsidR="00744B97" w:rsidRDefault="002842DB">
            <w:pPr>
              <w:jc w:val="center"/>
            </w:pPr>
            <w:r>
              <w:rPr>
                <w:color w:val="000000"/>
                <w:sz w:val="24"/>
                <w:szCs w:val="24"/>
              </w:rPr>
              <w:t>300572</w:t>
            </w:r>
          </w:p>
        </w:tc>
        <w:tc>
          <w:tcPr>
            <w:tcW w:w="1777" w:type="dxa"/>
            <w:vAlign w:val="center"/>
          </w:tcPr>
          <w:p w:rsidR="00744B97" w:rsidRDefault="002842DB">
            <w:pPr>
              <w:jc w:val="center"/>
            </w:pPr>
            <w:r>
              <w:rPr>
                <w:color w:val="000000"/>
                <w:sz w:val="24"/>
                <w:szCs w:val="24"/>
              </w:rPr>
              <w:t>安车检测</w:t>
            </w:r>
          </w:p>
        </w:tc>
        <w:tc>
          <w:tcPr>
            <w:tcW w:w="1334" w:type="dxa"/>
            <w:vAlign w:val="center"/>
          </w:tcPr>
          <w:p w:rsidR="00744B97" w:rsidRDefault="002842DB">
            <w:pPr>
              <w:jc w:val="right"/>
            </w:pPr>
            <w:r>
              <w:rPr>
                <w:color w:val="000000"/>
                <w:sz w:val="24"/>
                <w:szCs w:val="24"/>
              </w:rPr>
              <w:t>776,987</w:t>
            </w:r>
          </w:p>
        </w:tc>
        <w:tc>
          <w:tcPr>
            <w:tcW w:w="1924" w:type="dxa"/>
            <w:vAlign w:val="center"/>
          </w:tcPr>
          <w:p w:rsidR="00744B97" w:rsidRDefault="002842DB">
            <w:pPr>
              <w:jc w:val="right"/>
            </w:pPr>
            <w:r>
              <w:rPr>
                <w:color w:val="000000"/>
                <w:sz w:val="24"/>
                <w:szCs w:val="24"/>
              </w:rPr>
              <w:t>49,377,523.85</w:t>
            </w:r>
          </w:p>
        </w:tc>
        <w:tc>
          <w:tcPr>
            <w:tcW w:w="1644" w:type="dxa"/>
            <w:vAlign w:val="center"/>
          </w:tcPr>
          <w:p w:rsidR="00744B97" w:rsidRDefault="002842DB">
            <w:pPr>
              <w:jc w:val="right"/>
            </w:pPr>
            <w:r>
              <w:rPr>
                <w:color w:val="000000"/>
                <w:sz w:val="24"/>
                <w:szCs w:val="24"/>
              </w:rPr>
              <w:t>8.97</w:t>
            </w:r>
          </w:p>
        </w:tc>
      </w:tr>
      <w:tr w:rsidR="00744B97">
        <w:trPr>
          <w:jc w:val="center"/>
        </w:trPr>
        <w:tc>
          <w:tcPr>
            <w:tcW w:w="855" w:type="dxa"/>
            <w:vAlign w:val="center"/>
          </w:tcPr>
          <w:p w:rsidR="00744B97" w:rsidRDefault="002842DB">
            <w:pPr>
              <w:jc w:val="center"/>
            </w:pPr>
            <w:r>
              <w:rPr>
                <w:color w:val="000000"/>
                <w:sz w:val="24"/>
                <w:szCs w:val="24"/>
              </w:rPr>
              <w:t>3</w:t>
            </w:r>
          </w:p>
        </w:tc>
        <w:tc>
          <w:tcPr>
            <w:tcW w:w="1334" w:type="dxa"/>
            <w:vAlign w:val="center"/>
          </w:tcPr>
          <w:p w:rsidR="00744B97" w:rsidRDefault="002842DB">
            <w:pPr>
              <w:jc w:val="center"/>
            </w:pPr>
            <w:r>
              <w:rPr>
                <w:color w:val="000000"/>
                <w:sz w:val="24"/>
                <w:szCs w:val="24"/>
              </w:rPr>
              <w:t>300624</w:t>
            </w:r>
          </w:p>
        </w:tc>
        <w:tc>
          <w:tcPr>
            <w:tcW w:w="1777" w:type="dxa"/>
            <w:vAlign w:val="center"/>
          </w:tcPr>
          <w:p w:rsidR="00744B97" w:rsidRDefault="002842DB">
            <w:pPr>
              <w:jc w:val="center"/>
            </w:pPr>
            <w:r>
              <w:rPr>
                <w:color w:val="000000"/>
                <w:sz w:val="24"/>
                <w:szCs w:val="24"/>
              </w:rPr>
              <w:t>万兴科技</w:t>
            </w:r>
          </w:p>
        </w:tc>
        <w:tc>
          <w:tcPr>
            <w:tcW w:w="1334" w:type="dxa"/>
            <w:vAlign w:val="center"/>
          </w:tcPr>
          <w:p w:rsidR="00744B97" w:rsidRDefault="002842DB">
            <w:pPr>
              <w:jc w:val="right"/>
            </w:pPr>
            <w:r>
              <w:rPr>
                <w:color w:val="000000"/>
                <w:sz w:val="24"/>
                <w:szCs w:val="24"/>
              </w:rPr>
              <w:t>460,800</w:t>
            </w:r>
          </w:p>
        </w:tc>
        <w:tc>
          <w:tcPr>
            <w:tcW w:w="1924" w:type="dxa"/>
            <w:vAlign w:val="center"/>
          </w:tcPr>
          <w:p w:rsidR="00744B97" w:rsidRDefault="002842DB">
            <w:pPr>
              <w:jc w:val="right"/>
            </w:pPr>
            <w:r>
              <w:rPr>
                <w:color w:val="000000"/>
                <w:sz w:val="24"/>
                <w:szCs w:val="24"/>
              </w:rPr>
              <w:t>37,094,400.00</w:t>
            </w:r>
          </w:p>
        </w:tc>
        <w:tc>
          <w:tcPr>
            <w:tcW w:w="1644" w:type="dxa"/>
            <w:vAlign w:val="center"/>
          </w:tcPr>
          <w:p w:rsidR="00744B97" w:rsidRDefault="002842DB">
            <w:pPr>
              <w:jc w:val="right"/>
            </w:pPr>
            <w:r>
              <w:rPr>
                <w:color w:val="000000"/>
                <w:sz w:val="24"/>
                <w:szCs w:val="24"/>
              </w:rPr>
              <w:t>6.74</w:t>
            </w:r>
          </w:p>
        </w:tc>
      </w:tr>
      <w:tr w:rsidR="00744B97">
        <w:trPr>
          <w:jc w:val="center"/>
        </w:trPr>
        <w:tc>
          <w:tcPr>
            <w:tcW w:w="855" w:type="dxa"/>
            <w:vAlign w:val="center"/>
          </w:tcPr>
          <w:p w:rsidR="00744B97" w:rsidRDefault="002842DB">
            <w:pPr>
              <w:jc w:val="center"/>
            </w:pPr>
            <w:r>
              <w:rPr>
                <w:color w:val="000000"/>
                <w:sz w:val="24"/>
                <w:szCs w:val="24"/>
              </w:rPr>
              <w:t>4</w:t>
            </w:r>
          </w:p>
        </w:tc>
        <w:tc>
          <w:tcPr>
            <w:tcW w:w="1334" w:type="dxa"/>
            <w:vAlign w:val="center"/>
          </w:tcPr>
          <w:p w:rsidR="00744B97" w:rsidRDefault="002842DB">
            <w:pPr>
              <w:jc w:val="center"/>
            </w:pPr>
            <w:r>
              <w:rPr>
                <w:color w:val="000000"/>
                <w:sz w:val="24"/>
                <w:szCs w:val="24"/>
              </w:rPr>
              <w:t>300365</w:t>
            </w:r>
          </w:p>
        </w:tc>
        <w:tc>
          <w:tcPr>
            <w:tcW w:w="1777" w:type="dxa"/>
            <w:vAlign w:val="center"/>
          </w:tcPr>
          <w:p w:rsidR="00744B97" w:rsidRDefault="002842DB">
            <w:pPr>
              <w:jc w:val="center"/>
            </w:pPr>
            <w:r>
              <w:rPr>
                <w:color w:val="000000"/>
                <w:sz w:val="24"/>
                <w:szCs w:val="24"/>
              </w:rPr>
              <w:t>恒华科技</w:t>
            </w:r>
          </w:p>
        </w:tc>
        <w:tc>
          <w:tcPr>
            <w:tcW w:w="1334" w:type="dxa"/>
            <w:vAlign w:val="center"/>
          </w:tcPr>
          <w:p w:rsidR="00744B97" w:rsidRDefault="002842DB">
            <w:pPr>
              <w:jc w:val="right"/>
            </w:pPr>
            <w:r>
              <w:rPr>
                <w:color w:val="000000"/>
                <w:sz w:val="24"/>
                <w:szCs w:val="24"/>
              </w:rPr>
              <w:t>3,302,496</w:t>
            </w:r>
          </w:p>
        </w:tc>
        <w:tc>
          <w:tcPr>
            <w:tcW w:w="1924" w:type="dxa"/>
            <w:vAlign w:val="center"/>
          </w:tcPr>
          <w:p w:rsidR="00744B97" w:rsidRDefault="002842DB">
            <w:pPr>
              <w:jc w:val="right"/>
            </w:pPr>
            <w:r>
              <w:rPr>
                <w:color w:val="000000"/>
                <w:sz w:val="24"/>
                <w:szCs w:val="24"/>
              </w:rPr>
              <w:t>33,685,459.20</w:t>
            </w:r>
          </w:p>
        </w:tc>
        <w:tc>
          <w:tcPr>
            <w:tcW w:w="1644" w:type="dxa"/>
            <w:vAlign w:val="center"/>
          </w:tcPr>
          <w:p w:rsidR="00744B97" w:rsidRDefault="002842DB">
            <w:pPr>
              <w:jc w:val="right"/>
            </w:pPr>
            <w:r>
              <w:rPr>
                <w:color w:val="000000"/>
                <w:sz w:val="24"/>
                <w:szCs w:val="24"/>
              </w:rPr>
              <w:t>6.12</w:t>
            </w:r>
          </w:p>
        </w:tc>
      </w:tr>
      <w:tr w:rsidR="00744B97">
        <w:trPr>
          <w:jc w:val="center"/>
        </w:trPr>
        <w:tc>
          <w:tcPr>
            <w:tcW w:w="855" w:type="dxa"/>
            <w:vAlign w:val="center"/>
          </w:tcPr>
          <w:p w:rsidR="00744B97" w:rsidRDefault="002842DB">
            <w:pPr>
              <w:jc w:val="center"/>
            </w:pPr>
            <w:r>
              <w:rPr>
                <w:color w:val="000000"/>
                <w:sz w:val="24"/>
                <w:szCs w:val="24"/>
              </w:rPr>
              <w:t>5</w:t>
            </w:r>
          </w:p>
        </w:tc>
        <w:tc>
          <w:tcPr>
            <w:tcW w:w="1334" w:type="dxa"/>
            <w:vAlign w:val="center"/>
          </w:tcPr>
          <w:p w:rsidR="00744B97" w:rsidRDefault="002842DB">
            <w:pPr>
              <w:jc w:val="center"/>
            </w:pPr>
            <w:r>
              <w:rPr>
                <w:color w:val="000000"/>
                <w:sz w:val="24"/>
                <w:szCs w:val="24"/>
              </w:rPr>
              <w:t>603195</w:t>
            </w:r>
          </w:p>
        </w:tc>
        <w:tc>
          <w:tcPr>
            <w:tcW w:w="1777" w:type="dxa"/>
            <w:vAlign w:val="center"/>
          </w:tcPr>
          <w:p w:rsidR="00744B97" w:rsidRDefault="002842DB">
            <w:pPr>
              <w:jc w:val="center"/>
            </w:pPr>
            <w:r>
              <w:rPr>
                <w:color w:val="000000"/>
                <w:sz w:val="24"/>
                <w:szCs w:val="24"/>
              </w:rPr>
              <w:t>公牛集团</w:t>
            </w:r>
          </w:p>
        </w:tc>
        <w:tc>
          <w:tcPr>
            <w:tcW w:w="1334" w:type="dxa"/>
            <w:vAlign w:val="center"/>
          </w:tcPr>
          <w:p w:rsidR="00744B97" w:rsidRDefault="002842DB">
            <w:pPr>
              <w:jc w:val="right"/>
            </w:pPr>
            <w:r>
              <w:rPr>
                <w:color w:val="000000"/>
                <w:sz w:val="24"/>
                <w:szCs w:val="24"/>
              </w:rPr>
              <w:t>204,759</w:t>
            </w:r>
          </w:p>
        </w:tc>
        <w:tc>
          <w:tcPr>
            <w:tcW w:w="1924" w:type="dxa"/>
            <w:vAlign w:val="center"/>
          </w:tcPr>
          <w:p w:rsidR="00744B97" w:rsidRDefault="002842DB">
            <w:pPr>
              <w:jc w:val="right"/>
            </w:pPr>
            <w:r>
              <w:rPr>
                <w:color w:val="000000"/>
                <w:sz w:val="24"/>
                <w:szCs w:val="24"/>
              </w:rPr>
              <w:t>32,894,533.35</w:t>
            </w:r>
          </w:p>
        </w:tc>
        <w:tc>
          <w:tcPr>
            <w:tcW w:w="1644" w:type="dxa"/>
            <w:vAlign w:val="center"/>
          </w:tcPr>
          <w:p w:rsidR="00744B97" w:rsidRDefault="002842DB">
            <w:pPr>
              <w:jc w:val="right"/>
            </w:pPr>
            <w:r>
              <w:rPr>
                <w:color w:val="000000"/>
                <w:sz w:val="24"/>
                <w:szCs w:val="24"/>
              </w:rPr>
              <w:t>5.97</w:t>
            </w:r>
          </w:p>
        </w:tc>
      </w:tr>
      <w:tr w:rsidR="00744B97">
        <w:trPr>
          <w:jc w:val="center"/>
        </w:trPr>
        <w:tc>
          <w:tcPr>
            <w:tcW w:w="855" w:type="dxa"/>
            <w:vAlign w:val="center"/>
          </w:tcPr>
          <w:p w:rsidR="00744B97" w:rsidRDefault="002842DB">
            <w:pPr>
              <w:jc w:val="center"/>
            </w:pPr>
            <w:r>
              <w:rPr>
                <w:color w:val="000000"/>
                <w:sz w:val="24"/>
                <w:szCs w:val="24"/>
              </w:rPr>
              <w:t>6</w:t>
            </w:r>
          </w:p>
        </w:tc>
        <w:tc>
          <w:tcPr>
            <w:tcW w:w="1334" w:type="dxa"/>
            <w:vAlign w:val="center"/>
          </w:tcPr>
          <w:p w:rsidR="00744B97" w:rsidRDefault="002842DB">
            <w:pPr>
              <w:jc w:val="center"/>
            </w:pPr>
            <w:r>
              <w:rPr>
                <w:color w:val="000000"/>
                <w:sz w:val="24"/>
                <w:szCs w:val="24"/>
              </w:rPr>
              <w:t>300601</w:t>
            </w:r>
          </w:p>
        </w:tc>
        <w:tc>
          <w:tcPr>
            <w:tcW w:w="1777" w:type="dxa"/>
            <w:vAlign w:val="center"/>
          </w:tcPr>
          <w:p w:rsidR="00744B97" w:rsidRDefault="002842DB">
            <w:pPr>
              <w:jc w:val="center"/>
            </w:pPr>
            <w:r>
              <w:rPr>
                <w:color w:val="000000"/>
                <w:sz w:val="24"/>
                <w:szCs w:val="24"/>
              </w:rPr>
              <w:t>康泰生物</w:t>
            </w:r>
          </w:p>
        </w:tc>
        <w:tc>
          <w:tcPr>
            <w:tcW w:w="1334" w:type="dxa"/>
            <w:vAlign w:val="center"/>
          </w:tcPr>
          <w:p w:rsidR="00744B97" w:rsidRDefault="002842DB">
            <w:pPr>
              <w:jc w:val="right"/>
            </w:pPr>
            <w:r>
              <w:rPr>
                <w:color w:val="000000"/>
                <w:sz w:val="24"/>
                <w:szCs w:val="24"/>
              </w:rPr>
              <w:t>159,477</w:t>
            </w:r>
          </w:p>
        </w:tc>
        <w:tc>
          <w:tcPr>
            <w:tcW w:w="1924" w:type="dxa"/>
            <w:vAlign w:val="center"/>
          </w:tcPr>
          <w:p w:rsidR="00744B97" w:rsidRDefault="002842DB">
            <w:pPr>
              <w:jc w:val="right"/>
            </w:pPr>
            <w:r>
              <w:rPr>
                <w:color w:val="000000"/>
                <w:sz w:val="24"/>
                <w:szCs w:val="24"/>
              </w:rPr>
              <w:t>25,438,143.68</w:t>
            </w:r>
          </w:p>
        </w:tc>
        <w:tc>
          <w:tcPr>
            <w:tcW w:w="1644" w:type="dxa"/>
            <w:vAlign w:val="center"/>
          </w:tcPr>
          <w:p w:rsidR="00744B97" w:rsidRDefault="002842DB">
            <w:pPr>
              <w:jc w:val="right"/>
            </w:pPr>
            <w:r>
              <w:rPr>
                <w:color w:val="000000"/>
                <w:sz w:val="24"/>
                <w:szCs w:val="24"/>
              </w:rPr>
              <w:t>4.62</w:t>
            </w:r>
          </w:p>
        </w:tc>
      </w:tr>
      <w:tr w:rsidR="00744B97">
        <w:trPr>
          <w:jc w:val="center"/>
        </w:trPr>
        <w:tc>
          <w:tcPr>
            <w:tcW w:w="855" w:type="dxa"/>
            <w:vAlign w:val="center"/>
          </w:tcPr>
          <w:p w:rsidR="00744B97" w:rsidRDefault="002842DB">
            <w:pPr>
              <w:jc w:val="center"/>
            </w:pPr>
            <w:r>
              <w:rPr>
                <w:color w:val="000000"/>
                <w:sz w:val="24"/>
                <w:szCs w:val="24"/>
              </w:rPr>
              <w:t>7</w:t>
            </w:r>
          </w:p>
        </w:tc>
        <w:tc>
          <w:tcPr>
            <w:tcW w:w="1334" w:type="dxa"/>
            <w:vAlign w:val="center"/>
          </w:tcPr>
          <w:p w:rsidR="00744B97" w:rsidRDefault="002842DB">
            <w:pPr>
              <w:jc w:val="center"/>
            </w:pPr>
            <w:r>
              <w:rPr>
                <w:color w:val="000000"/>
                <w:sz w:val="24"/>
                <w:szCs w:val="24"/>
              </w:rPr>
              <w:t>603816</w:t>
            </w:r>
          </w:p>
        </w:tc>
        <w:tc>
          <w:tcPr>
            <w:tcW w:w="1777" w:type="dxa"/>
            <w:vAlign w:val="center"/>
          </w:tcPr>
          <w:p w:rsidR="00744B97" w:rsidRDefault="002842DB">
            <w:pPr>
              <w:jc w:val="center"/>
            </w:pPr>
            <w:r>
              <w:rPr>
                <w:color w:val="000000"/>
                <w:sz w:val="24"/>
                <w:szCs w:val="24"/>
              </w:rPr>
              <w:t>顾家家居</w:t>
            </w:r>
          </w:p>
        </w:tc>
        <w:tc>
          <w:tcPr>
            <w:tcW w:w="1334" w:type="dxa"/>
            <w:vAlign w:val="center"/>
          </w:tcPr>
          <w:p w:rsidR="00744B97" w:rsidRDefault="002842DB">
            <w:pPr>
              <w:jc w:val="right"/>
            </w:pPr>
            <w:r>
              <w:rPr>
                <w:color w:val="000000"/>
                <w:sz w:val="24"/>
                <w:szCs w:val="24"/>
              </w:rPr>
              <w:t>560,589</w:t>
            </w:r>
          </w:p>
        </w:tc>
        <w:tc>
          <w:tcPr>
            <w:tcW w:w="1924" w:type="dxa"/>
            <w:vAlign w:val="center"/>
          </w:tcPr>
          <w:p w:rsidR="00744B97" w:rsidRDefault="002842DB">
            <w:pPr>
              <w:jc w:val="right"/>
            </w:pPr>
            <w:r>
              <w:rPr>
                <w:color w:val="000000"/>
                <w:sz w:val="24"/>
                <w:szCs w:val="24"/>
              </w:rPr>
              <w:t>25,232,110.89</w:t>
            </w:r>
          </w:p>
        </w:tc>
        <w:tc>
          <w:tcPr>
            <w:tcW w:w="1644" w:type="dxa"/>
            <w:vAlign w:val="center"/>
          </w:tcPr>
          <w:p w:rsidR="00744B97" w:rsidRDefault="002842DB">
            <w:pPr>
              <w:jc w:val="right"/>
            </w:pPr>
            <w:r>
              <w:rPr>
                <w:color w:val="000000"/>
                <w:sz w:val="24"/>
                <w:szCs w:val="24"/>
              </w:rPr>
              <w:t>4.58</w:t>
            </w:r>
          </w:p>
        </w:tc>
      </w:tr>
      <w:tr w:rsidR="00744B97">
        <w:trPr>
          <w:jc w:val="center"/>
        </w:trPr>
        <w:tc>
          <w:tcPr>
            <w:tcW w:w="855" w:type="dxa"/>
            <w:vAlign w:val="center"/>
          </w:tcPr>
          <w:p w:rsidR="00744B97" w:rsidRDefault="002842DB">
            <w:pPr>
              <w:jc w:val="center"/>
            </w:pPr>
            <w:r>
              <w:rPr>
                <w:color w:val="000000"/>
                <w:sz w:val="24"/>
                <w:szCs w:val="24"/>
              </w:rPr>
              <w:t>8</w:t>
            </w:r>
          </w:p>
        </w:tc>
        <w:tc>
          <w:tcPr>
            <w:tcW w:w="1334" w:type="dxa"/>
            <w:vAlign w:val="center"/>
          </w:tcPr>
          <w:p w:rsidR="00744B97" w:rsidRDefault="002842DB">
            <w:pPr>
              <w:jc w:val="center"/>
            </w:pPr>
            <w:r>
              <w:rPr>
                <w:color w:val="000000"/>
                <w:sz w:val="24"/>
                <w:szCs w:val="24"/>
              </w:rPr>
              <w:t>002439</w:t>
            </w:r>
          </w:p>
        </w:tc>
        <w:tc>
          <w:tcPr>
            <w:tcW w:w="1777" w:type="dxa"/>
            <w:vAlign w:val="center"/>
          </w:tcPr>
          <w:p w:rsidR="00744B97" w:rsidRDefault="002842DB">
            <w:pPr>
              <w:jc w:val="center"/>
            </w:pPr>
            <w:r>
              <w:rPr>
                <w:color w:val="000000"/>
                <w:sz w:val="24"/>
                <w:szCs w:val="24"/>
              </w:rPr>
              <w:t>启明星辰</w:t>
            </w:r>
          </w:p>
        </w:tc>
        <w:tc>
          <w:tcPr>
            <w:tcW w:w="1334" w:type="dxa"/>
            <w:vAlign w:val="center"/>
          </w:tcPr>
          <w:p w:rsidR="00744B97" w:rsidRDefault="002842DB">
            <w:pPr>
              <w:jc w:val="right"/>
            </w:pPr>
            <w:r>
              <w:rPr>
                <w:color w:val="000000"/>
                <w:sz w:val="24"/>
                <w:szCs w:val="24"/>
              </w:rPr>
              <w:t>551,679</w:t>
            </w:r>
          </w:p>
        </w:tc>
        <w:tc>
          <w:tcPr>
            <w:tcW w:w="1924" w:type="dxa"/>
            <w:vAlign w:val="center"/>
          </w:tcPr>
          <w:p w:rsidR="00744B97" w:rsidRDefault="002842DB">
            <w:pPr>
              <w:jc w:val="right"/>
            </w:pPr>
            <w:r>
              <w:rPr>
                <w:color w:val="000000"/>
                <w:sz w:val="24"/>
                <w:szCs w:val="24"/>
              </w:rPr>
              <w:t>23,209,135.53</w:t>
            </w:r>
          </w:p>
        </w:tc>
        <w:tc>
          <w:tcPr>
            <w:tcW w:w="1644" w:type="dxa"/>
            <w:vAlign w:val="center"/>
          </w:tcPr>
          <w:p w:rsidR="00744B97" w:rsidRDefault="002842DB">
            <w:pPr>
              <w:jc w:val="right"/>
            </w:pPr>
            <w:r>
              <w:rPr>
                <w:color w:val="000000"/>
                <w:sz w:val="24"/>
                <w:szCs w:val="24"/>
              </w:rPr>
              <w:t>4.22</w:t>
            </w:r>
          </w:p>
        </w:tc>
      </w:tr>
      <w:tr w:rsidR="00744B97">
        <w:trPr>
          <w:jc w:val="center"/>
        </w:trPr>
        <w:tc>
          <w:tcPr>
            <w:tcW w:w="855" w:type="dxa"/>
            <w:vAlign w:val="center"/>
          </w:tcPr>
          <w:p w:rsidR="00744B97" w:rsidRDefault="002842DB">
            <w:pPr>
              <w:jc w:val="center"/>
            </w:pPr>
            <w:r>
              <w:rPr>
                <w:color w:val="000000"/>
                <w:sz w:val="24"/>
                <w:szCs w:val="24"/>
              </w:rPr>
              <w:t>9</w:t>
            </w:r>
          </w:p>
        </w:tc>
        <w:tc>
          <w:tcPr>
            <w:tcW w:w="1334" w:type="dxa"/>
            <w:vAlign w:val="center"/>
          </w:tcPr>
          <w:p w:rsidR="00744B97" w:rsidRDefault="002842DB">
            <w:pPr>
              <w:jc w:val="center"/>
            </w:pPr>
            <w:r>
              <w:rPr>
                <w:color w:val="000000"/>
                <w:sz w:val="24"/>
                <w:szCs w:val="24"/>
              </w:rPr>
              <w:t>603290</w:t>
            </w:r>
          </w:p>
        </w:tc>
        <w:tc>
          <w:tcPr>
            <w:tcW w:w="1777" w:type="dxa"/>
            <w:vAlign w:val="center"/>
          </w:tcPr>
          <w:p w:rsidR="00744B97" w:rsidRDefault="002842DB">
            <w:pPr>
              <w:jc w:val="center"/>
            </w:pPr>
            <w:r>
              <w:rPr>
                <w:color w:val="000000"/>
                <w:sz w:val="24"/>
                <w:szCs w:val="24"/>
              </w:rPr>
              <w:t>斯达半导</w:t>
            </w:r>
          </w:p>
        </w:tc>
        <w:tc>
          <w:tcPr>
            <w:tcW w:w="1334" w:type="dxa"/>
            <w:vAlign w:val="center"/>
          </w:tcPr>
          <w:p w:rsidR="00744B97" w:rsidRDefault="002842DB">
            <w:pPr>
              <w:jc w:val="right"/>
            </w:pPr>
            <w:r>
              <w:rPr>
                <w:color w:val="000000"/>
                <w:sz w:val="24"/>
                <w:szCs w:val="24"/>
              </w:rPr>
              <w:t>98,900</w:t>
            </w:r>
          </w:p>
        </w:tc>
        <w:tc>
          <w:tcPr>
            <w:tcW w:w="1924" w:type="dxa"/>
            <w:vAlign w:val="center"/>
          </w:tcPr>
          <w:p w:rsidR="00744B97" w:rsidRDefault="002842DB">
            <w:pPr>
              <w:jc w:val="right"/>
            </w:pPr>
            <w:r>
              <w:rPr>
                <w:color w:val="000000"/>
                <w:sz w:val="24"/>
                <w:szCs w:val="24"/>
              </w:rPr>
              <w:t>20,749,220.00</w:t>
            </w:r>
          </w:p>
        </w:tc>
        <w:tc>
          <w:tcPr>
            <w:tcW w:w="1644" w:type="dxa"/>
            <w:vAlign w:val="center"/>
          </w:tcPr>
          <w:p w:rsidR="00744B97" w:rsidRDefault="002842DB">
            <w:pPr>
              <w:jc w:val="right"/>
            </w:pPr>
            <w:r>
              <w:rPr>
                <w:color w:val="000000"/>
                <w:sz w:val="24"/>
                <w:szCs w:val="24"/>
              </w:rPr>
              <w:t>3.77</w:t>
            </w:r>
          </w:p>
        </w:tc>
      </w:tr>
      <w:tr w:rsidR="00744B97">
        <w:trPr>
          <w:jc w:val="center"/>
        </w:trPr>
        <w:tc>
          <w:tcPr>
            <w:tcW w:w="855" w:type="dxa"/>
            <w:vAlign w:val="center"/>
          </w:tcPr>
          <w:p w:rsidR="00744B97" w:rsidRDefault="002842DB">
            <w:pPr>
              <w:jc w:val="center"/>
            </w:pPr>
            <w:r>
              <w:rPr>
                <w:color w:val="000000"/>
                <w:sz w:val="24"/>
                <w:szCs w:val="24"/>
              </w:rPr>
              <w:t>10</w:t>
            </w:r>
          </w:p>
        </w:tc>
        <w:tc>
          <w:tcPr>
            <w:tcW w:w="1334" w:type="dxa"/>
            <w:vAlign w:val="center"/>
          </w:tcPr>
          <w:p w:rsidR="00744B97" w:rsidRDefault="002842DB">
            <w:pPr>
              <w:jc w:val="center"/>
            </w:pPr>
            <w:r>
              <w:rPr>
                <w:color w:val="000000"/>
                <w:sz w:val="24"/>
                <w:szCs w:val="24"/>
              </w:rPr>
              <w:t>600048</w:t>
            </w:r>
          </w:p>
        </w:tc>
        <w:tc>
          <w:tcPr>
            <w:tcW w:w="1777" w:type="dxa"/>
            <w:vAlign w:val="center"/>
          </w:tcPr>
          <w:p w:rsidR="00744B97" w:rsidRDefault="002842DB">
            <w:pPr>
              <w:jc w:val="center"/>
            </w:pPr>
            <w:r>
              <w:rPr>
                <w:color w:val="000000"/>
                <w:sz w:val="24"/>
                <w:szCs w:val="24"/>
              </w:rPr>
              <w:t>保利地产</w:t>
            </w:r>
          </w:p>
        </w:tc>
        <w:tc>
          <w:tcPr>
            <w:tcW w:w="1334" w:type="dxa"/>
            <w:vAlign w:val="center"/>
          </w:tcPr>
          <w:p w:rsidR="00744B97" w:rsidRDefault="002842DB">
            <w:pPr>
              <w:jc w:val="right"/>
            </w:pPr>
            <w:r>
              <w:rPr>
                <w:color w:val="000000"/>
                <w:sz w:val="24"/>
                <w:szCs w:val="24"/>
              </w:rPr>
              <w:t>1,391,600</w:t>
            </w:r>
          </w:p>
        </w:tc>
        <w:tc>
          <w:tcPr>
            <w:tcW w:w="1924" w:type="dxa"/>
            <w:vAlign w:val="center"/>
          </w:tcPr>
          <w:p w:rsidR="00744B97" w:rsidRDefault="002842DB">
            <w:pPr>
              <w:jc w:val="right"/>
            </w:pPr>
            <w:r>
              <w:rPr>
                <w:color w:val="000000"/>
                <w:sz w:val="24"/>
                <w:szCs w:val="24"/>
              </w:rPr>
              <w:t>20,567,848.00</w:t>
            </w:r>
          </w:p>
        </w:tc>
        <w:tc>
          <w:tcPr>
            <w:tcW w:w="1644" w:type="dxa"/>
            <w:vAlign w:val="center"/>
          </w:tcPr>
          <w:p w:rsidR="00744B97" w:rsidRDefault="002842DB">
            <w:pPr>
              <w:jc w:val="right"/>
            </w:pPr>
            <w:r>
              <w:rPr>
                <w:color w:val="000000"/>
                <w:sz w:val="24"/>
                <w:szCs w:val="24"/>
              </w:rPr>
              <w:t>3.74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本基金本报告期末未持有债券。</w:t>
      </w:r>
    </w:p>
    <w:p w:rsidR="00D8591B" w:rsidRDefault="00D8591B"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bookmarkStart w:id="0" w:name="_GoBack"/>
      <w:bookmarkEnd w:id="0"/>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9149D8" w:rsidRDefault="009149D8"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9149D8" w:rsidRDefault="009149D8"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395,932.01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3,121,802.65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14,435.85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949,312.38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4,481,482.89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9149D8" w:rsidRDefault="009149D8"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44B97">
        <w:trPr>
          <w:jc w:val="center"/>
        </w:trPr>
        <w:tc>
          <w:tcPr>
            <w:tcW w:w="1129" w:type="dxa"/>
            <w:vAlign w:val="center"/>
          </w:tcPr>
          <w:p w:rsidR="00744B97" w:rsidRDefault="002842DB">
            <w:pPr>
              <w:jc w:val="center"/>
            </w:pPr>
            <w:r>
              <w:rPr>
                <w:color w:val="000000"/>
                <w:sz w:val="24"/>
                <w:szCs w:val="24"/>
              </w:rPr>
              <w:t>1</w:t>
            </w:r>
          </w:p>
        </w:tc>
        <w:tc>
          <w:tcPr>
            <w:tcW w:w="1356" w:type="dxa"/>
            <w:vAlign w:val="center"/>
          </w:tcPr>
          <w:p w:rsidR="00744B97" w:rsidRDefault="002842DB">
            <w:pPr>
              <w:jc w:val="center"/>
            </w:pPr>
            <w:r>
              <w:rPr>
                <w:color w:val="000000"/>
                <w:sz w:val="24"/>
                <w:szCs w:val="24"/>
              </w:rPr>
              <w:t>300601</w:t>
            </w:r>
          </w:p>
        </w:tc>
        <w:tc>
          <w:tcPr>
            <w:tcW w:w="1355" w:type="dxa"/>
            <w:vAlign w:val="center"/>
          </w:tcPr>
          <w:p w:rsidR="00744B97" w:rsidRDefault="002842DB">
            <w:pPr>
              <w:jc w:val="center"/>
            </w:pPr>
            <w:r>
              <w:rPr>
                <w:color w:val="000000"/>
                <w:sz w:val="24"/>
                <w:szCs w:val="24"/>
              </w:rPr>
              <w:t>康泰生物</w:t>
            </w:r>
          </w:p>
        </w:tc>
        <w:tc>
          <w:tcPr>
            <w:tcW w:w="1880" w:type="dxa"/>
            <w:vAlign w:val="center"/>
          </w:tcPr>
          <w:p w:rsidR="00744B97" w:rsidRDefault="002842DB">
            <w:pPr>
              <w:jc w:val="right"/>
            </w:pPr>
            <w:r>
              <w:rPr>
                <w:color w:val="000000"/>
                <w:sz w:val="24"/>
                <w:szCs w:val="24"/>
              </w:rPr>
              <w:t>6,514,233.84</w:t>
            </w:r>
          </w:p>
        </w:tc>
        <w:tc>
          <w:tcPr>
            <w:tcW w:w="1724" w:type="dxa"/>
            <w:vAlign w:val="center"/>
          </w:tcPr>
          <w:p w:rsidR="00744B97" w:rsidRDefault="002842DB">
            <w:pPr>
              <w:jc w:val="right"/>
            </w:pPr>
            <w:r>
              <w:rPr>
                <w:color w:val="000000"/>
                <w:sz w:val="24"/>
                <w:szCs w:val="24"/>
              </w:rPr>
              <w:t>1.18</w:t>
            </w:r>
          </w:p>
        </w:tc>
        <w:tc>
          <w:tcPr>
            <w:tcW w:w="1424" w:type="dxa"/>
            <w:vAlign w:val="center"/>
          </w:tcPr>
          <w:p w:rsidR="00744B97" w:rsidRDefault="002842DB">
            <w:pPr>
              <w:jc w:val="right"/>
            </w:pPr>
            <w:r>
              <w:rPr>
                <w:color w:val="000000"/>
                <w:sz w:val="24"/>
                <w:szCs w:val="24"/>
              </w:rPr>
              <w:t>非公开发行</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350,927,349.31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15,455,463.49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54,246,569.41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312,136,243.39</w:t>
            </w:r>
          </w:p>
        </w:tc>
      </w:tr>
    </w:tbl>
    <w:p w:rsidR="00744B97" w:rsidRDefault="002842D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44B97" w:rsidRDefault="002842D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744B97" w:rsidRDefault="002842D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744B97" w:rsidRDefault="002842D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744B97" w:rsidRDefault="002842D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744B97" w:rsidRDefault="002842DB">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744B97" w:rsidRDefault="002842DB">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744B97" w:rsidRDefault="002842DB">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44B97" w:rsidRDefault="002842D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6D8" w:rsidRDefault="00A166D8" w:rsidP="00876D65">
      <w:r>
        <w:separator/>
      </w:r>
    </w:p>
  </w:endnote>
  <w:endnote w:type="continuationSeparator" w:id="0">
    <w:p w:rsidR="00A166D8" w:rsidRDefault="00A166D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6D8" w:rsidRDefault="00A166D8" w:rsidP="00876D65">
      <w:r>
        <w:separator/>
      </w:r>
    </w:p>
  </w:footnote>
  <w:footnote w:type="continuationSeparator" w:id="0">
    <w:p w:rsidR="00A166D8" w:rsidRDefault="00A166D8"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交银施罗德先锋混合型证券投资基金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42DB"/>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39B"/>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5E5"/>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44B97"/>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49D8"/>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166D8"/>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591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55247"/>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C73F-1AFC-4124-A90C-50E9BE81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604</cp:revision>
  <dcterms:created xsi:type="dcterms:W3CDTF">2012-10-16T06:07:00Z</dcterms:created>
  <dcterms:modified xsi:type="dcterms:W3CDTF">2020-07-17T05:38:00Z</dcterms:modified>
</cp:coreProperties>
</file>