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交银施罗德成长30混合型证券投资基金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交银成长30混合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2013年6月5日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1,090,875,826.99</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本基金属于成长型混合型基金，主要通过投资于不超过30只精选的成长型上市公司股票，在适度控制风险并保持基金资产良好流动性的前提下，为基金份额持有人谋求长期、稳定的资本增值。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75%×富时中国A600成长指数收益率+25%×中证综合债券指数收益率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xml:space="preserve">本基金是一只混合型基金，以成长型股票为主要投资对象，其风险和预期收益高于债券型基金和货币市场基金，低于股票型基金。属于承担较高风险、预期收益较高的证券投资基金品种。 </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96,204,294.87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398,729,935.27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0.3049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2,081,219,560.63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1.908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19.85%</w:t>
            </w:r>
          </w:p>
        </w:tc>
        <w:tc>
          <w:tcPr>
            <w:vAlign w:val="center"/>
          </w:tcPr>
          <w:p>
            <w:pPr>
              <w:jc w:val="center"/>
            </w:pPr>
            <w:r>
              <w:rPr>
                <w:color w:val="000000"/>
                <w:sz w:val="24"/>
                <w:szCs w:val="24"/>
              </w:rPr>
              <w:t>1.01%</w:t>
            </w:r>
          </w:p>
        </w:tc>
        <w:tc>
          <w:tcPr>
            <w:vAlign w:val="center"/>
          </w:tcPr>
          <w:p>
            <w:pPr>
              <w:jc w:val="center"/>
            </w:pPr>
            <w:r>
              <w:rPr>
                <w:color w:val="000000"/>
                <w:sz w:val="24"/>
                <w:szCs w:val="24"/>
              </w:rPr>
              <w:t>15.83%</w:t>
            </w:r>
          </w:p>
        </w:tc>
        <w:tc>
          <w:tcPr>
            <w:vAlign w:val="center"/>
          </w:tcPr>
          <w:p>
            <w:pPr>
              <w:jc w:val="center"/>
            </w:pPr>
            <w:r>
              <w:rPr>
                <w:color w:val="000000"/>
                <w:sz w:val="24"/>
                <w:szCs w:val="24"/>
              </w:rPr>
              <w:t>0.78%</w:t>
            </w:r>
          </w:p>
        </w:tc>
        <w:tc>
          <w:tcPr>
            <w:vAlign w:val="center"/>
          </w:tcPr>
          <w:p>
            <w:pPr>
              <w:jc w:val="center"/>
            </w:pPr>
            <w:r>
              <w:rPr>
                <w:color w:val="000000"/>
                <w:sz w:val="24"/>
                <w:szCs w:val="24"/>
              </w:rPr>
              <w:t>4.02%</w:t>
            </w:r>
          </w:p>
        </w:tc>
        <w:tc>
          <w:tcPr>
            <w:vAlign w:val="center"/>
          </w:tcPr>
          <w:p>
            <w:pPr>
              <w:jc w:val="center"/>
            </w:pPr>
            <w:r>
              <w:rPr>
                <w:color w:val="000000"/>
                <w:sz w:val="24"/>
                <w:szCs w:val="24"/>
              </w:rPr>
              <w:t>0.23%</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18.58%</w:t>
            </w:r>
          </w:p>
        </w:tc>
        <w:tc>
          <w:tcPr>
            <w:vAlign w:val="center"/>
          </w:tcPr>
          <w:p>
            <w:pPr>
              <w:jc w:val="center"/>
            </w:pPr>
            <w:r>
              <w:rPr>
                <w:color w:val="000000"/>
                <w:sz w:val="24"/>
                <w:szCs w:val="24"/>
              </w:rPr>
              <w:t>1.91%</w:t>
            </w:r>
          </w:p>
        </w:tc>
        <w:tc>
          <w:tcPr>
            <w:vAlign w:val="center"/>
          </w:tcPr>
          <w:p>
            <w:pPr>
              <w:jc w:val="center"/>
            </w:pPr>
            <w:r>
              <w:rPr>
                <w:color w:val="000000"/>
                <w:sz w:val="24"/>
                <w:szCs w:val="24"/>
              </w:rPr>
              <w:t>10.70%</w:t>
            </w:r>
          </w:p>
        </w:tc>
        <w:tc>
          <w:tcPr>
            <w:vAlign w:val="center"/>
          </w:tcPr>
          <w:p>
            <w:pPr>
              <w:jc w:val="center"/>
            </w:pPr>
            <w:r>
              <w:rPr>
                <w:color w:val="000000"/>
                <w:sz w:val="24"/>
                <w:szCs w:val="24"/>
              </w:rPr>
              <w:t>1.22%</w:t>
            </w:r>
          </w:p>
        </w:tc>
        <w:tc>
          <w:tcPr>
            <w:vAlign w:val="center"/>
          </w:tcPr>
          <w:p>
            <w:pPr>
              <w:jc w:val="center"/>
            </w:pPr>
            <w:r>
              <w:rPr>
                <w:color w:val="000000"/>
                <w:sz w:val="24"/>
                <w:szCs w:val="24"/>
              </w:rPr>
              <w:t>7.88%</w:t>
            </w:r>
          </w:p>
        </w:tc>
        <w:tc>
          <w:tcPr>
            <w:vAlign w:val="center"/>
          </w:tcPr>
          <w:p>
            <w:pPr>
              <w:jc w:val="center"/>
            </w:pPr>
            <w:r>
              <w:rPr>
                <w:color w:val="000000"/>
                <w:sz w:val="24"/>
                <w:szCs w:val="24"/>
              </w:rPr>
              <w:t>0.69%</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67.66%</w:t>
            </w:r>
          </w:p>
        </w:tc>
        <w:tc>
          <w:tcPr>
            <w:vAlign w:val="center"/>
          </w:tcPr>
          <w:p>
            <w:pPr>
              <w:jc w:val="center"/>
            </w:pPr>
            <w:r>
              <w:rPr>
                <w:color w:val="000000"/>
                <w:sz w:val="24"/>
                <w:szCs w:val="24"/>
              </w:rPr>
              <w:t>1.69%</w:t>
            </w:r>
          </w:p>
        </w:tc>
        <w:tc>
          <w:tcPr>
            <w:vAlign w:val="center"/>
          </w:tcPr>
          <w:p>
            <w:pPr>
              <w:jc w:val="center"/>
            </w:pPr>
            <w:r>
              <w:rPr>
                <w:color w:val="000000"/>
                <w:sz w:val="24"/>
                <w:szCs w:val="24"/>
              </w:rPr>
              <w:t>19.42%</w:t>
            </w:r>
          </w:p>
        </w:tc>
        <w:tc>
          <w:tcPr>
            <w:vAlign w:val="center"/>
          </w:tcPr>
          <w:p>
            <w:pPr>
              <w:jc w:val="center"/>
            </w:pPr>
            <w:r>
              <w:rPr>
                <w:color w:val="000000"/>
                <w:sz w:val="24"/>
                <w:szCs w:val="24"/>
              </w:rPr>
              <w:t>0.98%</w:t>
            </w:r>
          </w:p>
        </w:tc>
        <w:tc>
          <w:tcPr>
            <w:vAlign w:val="center"/>
          </w:tcPr>
          <w:p>
            <w:pPr>
              <w:jc w:val="center"/>
            </w:pPr>
            <w:r>
              <w:rPr>
                <w:color w:val="000000"/>
                <w:sz w:val="24"/>
                <w:szCs w:val="24"/>
              </w:rPr>
              <w:t>48.24%</w:t>
            </w:r>
          </w:p>
        </w:tc>
        <w:tc>
          <w:tcPr>
            <w:vAlign w:val="center"/>
          </w:tcPr>
          <w:p>
            <w:pPr>
              <w:jc w:val="center"/>
            </w:pPr>
            <w:r>
              <w:rPr>
                <w:color w:val="000000"/>
                <w:sz w:val="24"/>
                <w:szCs w:val="24"/>
              </w:rPr>
              <w:t>0.71%</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105.83%</w:t>
            </w:r>
          </w:p>
        </w:tc>
        <w:tc>
          <w:tcPr>
            <w:vAlign w:val="center"/>
          </w:tcPr>
          <w:p>
            <w:pPr>
              <w:jc w:val="center"/>
            </w:pPr>
            <w:r>
              <w:rPr>
                <w:color w:val="000000"/>
                <w:sz w:val="24"/>
                <w:szCs w:val="24"/>
              </w:rPr>
              <w:t>1.58%</w:t>
            </w:r>
          </w:p>
        </w:tc>
        <w:tc>
          <w:tcPr>
            <w:vAlign w:val="center"/>
          </w:tcPr>
          <w:p>
            <w:pPr>
              <w:jc w:val="center"/>
            </w:pPr>
            <w:r>
              <w:rPr>
                <w:color w:val="000000"/>
                <w:sz w:val="24"/>
                <w:szCs w:val="24"/>
              </w:rPr>
              <w:t>22.28%</w:t>
            </w:r>
          </w:p>
        </w:tc>
        <w:tc>
          <w:tcPr>
            <w:vAlign w:val="center"/>
          </w:tcPr>
          <w:p>
            <w:pPr>
              <w:jc w:val="center"/>
            </w:pPr>
            <w:r>
              <w:rPr>
                <w:color w:val="000000"/>
                <w:sz w:val="24"/>
                <w:szCs w:val="24"/>
              </w:rPr>
              <w:t>1.03%</w:t>
            </w:r>
          </w:p>
        </w:tc>
        <w:tc>
          <w:tcPr>
            <w:vAlign w:val="center"/>
          </w:tcPr>
          <w:p>
            <w:pPr>
              <w:jc w:val="center"/>
            </w:pPr>
            <w:r>
              <w:rPr>
                <w:color w:val="000000"/>
                <w:sz w:val="24"/>
                <w:szCs w:val="24"/>
              </w:rPr>
              <w:t>83.55%</w:t>
            </w:r>
          </w:p>
        </w:tc>
        <w:tc>
          <w:tcPr>
            <w:vAlign w:val="center"/>
          </w:tcPr>
          <w:p>
            <w:pPr>
              <w:jc w:val="center"/>
            </w:pPr>
            <w:r>
              <w:rPr>
                <w:color w:val="000000"/>
                <w:sz w:val="24"/>
                <w:szCs w:val="24"/>
              </w:rPr>
              <w:t>0.55%</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52.54%</w:t>
            </w:r>
          </w:p>
        </w:tc>
        <w:tc>
          <w:tcPr>
            <w:vAlign w:val="center"/>
          </w:tcPr>
          <w:p>
            <w:pPr>
              <w:jc w:val="center"/>
            </w:pPr>
            <w:r>
              <w:rPr>
                <w:color w:val="000000"/>
                <w:sz w:val="24"/>
                <w:szCs w:val="24"/>
              </w:rPr>
              <w:t>1.77%</w:t>
            </w:r>
          </w:p>
        </w:tc>
        <w:tc>
          <w:tcPr>
            <w:vAlign w:val="center"/>
          </w:tcPr>
          <w:p>
            <w:pPr>
              <w:jc w:val="center"/>
            </w:pPr>
            <w:r>
              <w:rPr>
                <w:color w:val="000000"/>
                <w:sz w:val="24"/>
                <w:szCs w:val="24"/>
              </w:rPr>
              <w:t>-3.94%</w:t>
            </w:r>
          </w:p>
        </w:tc>
        <w:tc>
          <w:tcPr>
            <w:vAlign w:val="center"/>
          </w:tcPr>
          <w:p>
            <w:pPr>
              <w:jc w:val="center"/>
            </w:pPr>
            <w:r>
              <w:rPr>
                <w:color w:val="000000"/>
                <w:sz w:val="24"/>
                <w:szCs w:val="24"/>
              </w:rPr>
              <w:t>1.22%</w:t>
            </w:r>
          </w:p>
        </w:tc>
        <w:tc>
          <w:tcPr>
            <w:vAlign w:val="center"/>
          </w:tcPr>
          <w:p>
            <w:pPr>
              <w:jc w:val="center"/>
            </w:pPr>
            <w:r>
              <w:rPr>
                <w:color w:val="000000"/>
                <w:sz w:val="24"/>
                <w:szCs w:val="24"/>
              </w:rPr>
              <w:t>56.48%</w:t>
            </w:r>
          </w:p>
        </w:tc>
        <w:tc>
          <w:tcPr>
            <w:vAlign w:val="center"/>
          </w:tcPr>
          <w:p>
            <w:pPr>
              <w:jc w:val="center"/>
            </w:pPr>
            <w:r>
              <w:rPr>
                <w:color w:val="000000"/>
                <w:sz w:val="24"/>
                <w:szCs w:val="24"/>
              </w:rPr>
              <w:t>0.55%</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172.44%</w:t>
            </w:r>
          </w:p>
        </w:tc>
        <w:tc>
          <w:tcPr>
            <w:vAlign w:val="center"/>
          </w:tcPr>
          <w:p>
            <w:pPr>
              <w:jc w:val="center"/>
            </w:pPr>
            <w:r>
              <w:rPr>
                <w:color w:val="000000"/>
                <w:sz w:val="24"/>
                <w:szCs w:val="24"/>
              </w:rPr>
              <w:t>1.66%</w:t>
            </w:r>
          </w:p>
        </w:tc>
        <w:tc>
          <w:tcPr>
            <w:vAlign w:val="center"/>
          </w:tcPr>
          <w:p>
            <w:pPr>
              <w:jc w:val="center"/>
            </w:pPr>
            <w:r>
              <w:rPr>
                <w:color w:val="000000"/>
                <w:sz w:val="24"/>
                <w:szCs w:val="24"/>
              </w:rPr>
              <w:t>45.23%</w:t>
            </w:r>
          </w:p>
        </w:tc>
        <w:tc>
          <w:tcPr>
            <w:vAlign w:val="center"/>
          </w:tcPr>
          <w:p>
            <w:pPr>
              <w:jc w:val="center"/>
            </w:pPr>
            <w:r>
              <w:rPr>
                <w:color w:val="000000"/>
                <w:sz w:val="24"/>
                <w:szCs w:val="24"/>
              </w:rPr>
              <w:t>1.20%</w:t>
            </w:r>
          </w:p>
        </w:tc>
        <w:tc>
          <w:tcPr>
            <w:vAlign w:val="center"/>
          </w:tcPr>
          <w:p>
            <w:pPr>
              <w:jc w:val="center"/>
            </w:pPr>
            <w:r>
              <w:rPr>
                <w:color w:val="000000"/>
                <w:sz w:val="24"/>
                <w:szCs w:val="24"/>
              </w:rPr>
              <w:t>127.21%</w:t>
            </w:r>
          </w:p>
        </w:tc>
        <w:tc>
          <w:tcPr>
            <w:vAlign w:val="center"/>
          </w:tcPr>
          <w:p>
            <w:pPr>
              <w:jc w:val="center"/>
            </w:pPr>
            <w:r>
              <w:rPr>
                <w:color w:val="000000"/>
                <w:sz w:val="24"/>
                <w:szCs w:val="24"/>
              </w:rPr>
              <w:t>0.46%</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富时中国A600成长指数收益率+25%×中信标普全债指数收益率”变更为“75%×富时中国A600成长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交银施罗德成长30混合型证券投资基金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2013年6月5日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郭斐</w:t>
            </w:r>
          </w:p>
        </w:tc>
        <w:tc>
          <w:tcPr>
            <w:vAlign w:val="center"/>
          </w:tcPr>
          <w:p>
            <w:pPr>
              <w:jc w:val="center"/>
            </w:pPr>
            <w:r>
              <w:rPr>
                <w:color w:val="000000"/>
                <w:sz w:val="24"/>
                <w:szCs w:val="24"/>
              </w:rPr>
              <w:t>交银成长30混合、交银经济新动力混合、交银创新领航混合的基金经理</w:t>
            </w:r>
          </w:p>
        </w:tc>
        <w:tc>
          <w:tcPr>
            <w:vAlign w:val="center"/>
          </w:tcPr>
          <w:p>
            <w:pPr>
              <w:jc w:val="center"/>
            </w:pPr>
            <w:r>
              <w:rPr>
                <w:color w:val="000000"/>
                <w:sz w:val="24"/>
                <w:szCs w:val="24"/>
              </w:rPr>
              <w:t>2017-09-26</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郭斐先生，复旦大学经济学本科。2009年8月至2014年3月于高盛（亚洲）有限责任公司、高华证券公司任职。2014年加入交银施罗德基金管理有限公司，历任行业分析师、基金经理助理。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2020年的二季度足以载入史册，尽管海外疫情仍在继续，在史无前例的流动性刺激下，海外市场先抑后扬，国内市场也韧性十足。</w:t>
      </w:r>
    </w:p>
    <w:p>
      <w:pPr>
        <w:spacing w:before="29" w:line="288" w:lineRule="auto"/>
        <w:ind w:firstLine="480" w:firstLineChars="200"/>
        <w:rPr>
          <w:color w:val="000000"/>
          <w:sz w:val="24"/>
          <w:szCs w:val="24"/>
        </w:rPr>
      </w:pPr>
      <w:r>
        <w:rPr>
          <w:color w:val="000000"/>
          <w:sz w:val="24"/>
          <w:szCs w:val="24"/>
        </w:rPr>
        <w:t>报告期内，本基金重点配置了新能源汽车、创新硬件、半导体、数据中心、5G等领域的成长股以及部分低估值的地产建材蓝筹。</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三季度，“轻抗疫重刺激”的海外局势让外需与内需的天平正在发生微妙的变化。我们适度增加了对以外需导向为主的成长品种的配置并提升了总体仓位水平。在4G/5G代际之交、新能源革命已然启动以及数据经济/企业数字化转型加速到来的当下，我们认为科技成长仍将是未来市场的主线。我们有幸已经挖掘出并持有一批估值具备吸引力的优质成长股，它们或顺应产业爆发的趋势，或有望成长为细分行业的隐形冠军。本基金将持续挖掘行业成长空间广阔、具备核心竞争力的公司，把握合适的配置窗口，力争为投资人获得持续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1,966,044,282.05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91.18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1,966,044,282.05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91.18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154,579,728.52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7.17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35,481,263.80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2,156,105,274.37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57,117,825.00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2.74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1,452,335,333.25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69.78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50,084,740.80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350,165,392.68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16.83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19,899,860.00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36,441,130.32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1,966,044,282.05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94.47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4,655,430</w:t>
            </w:r>
          </w:p>
        </w:tc>
        <w:tc>
          <w:tcPr>
            <w:vAlign w:val="center"/>
          </w:tcPr>
          <w:p>
            <w:pPr>
              <w:jc w:val="right"/>
            </w:pPr>
            <w:r>
              <w:rPr>
                <w:color w:val="000000"/>
                <w:sz w:val="24"/>
                <w:szCs w:val="24"/>
              </w:rPr>
              <w:t>222,762,325.50</w:t>
            </w:r>
          </w:p>
        </w:tc>
        <w:tc>
          <w:tcPr>
            <w:vAlign w:val="center"/>
          </w:tcPr>
          <w:p>
            <w:pPr>
              <w:jc w:val="right"/>
            </w:pPr>
            <w:r>
              <w:rPr>
                <w:color w:val="000000"/>
                <w:sz w:val="24"/>
                <w:szCs w:val="24"/>
              </w:rPr>
              <w:t>10.70</w:t>
            </w:r>
          </w:p>
        </w:tc>
      </w:tr>
      <w:tr>
        <w:tc>
          <w:tcPr>
            <w:vAlign w:val="center"/>
          </w:tcPr>
          <w:p>
            <w:pPr>
              <w:jc w:val="center"/>
            </w:pPr>
            <w:r>
              <w:rPr>
                <w:color w:val="000000"/>
                <w:sz w:val="24"/>
                <w:szCs w:val="24"/>
              </w:rPr>
              <w:t>2</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2,554,622</w:t>
            </w:r>
          </w:p>
        </w:tc>
        <w:tc>
          <w:tcPr>
            <w:vAlign w:val="center"/>
          </w:tcPr>
          <w:p>
            <w:pPr>
              <w:jc w:val="right"/>
            </w:pPr>
            <w:r>
              <w:rPr>
                <w:color w:val="000000"/>
                <w:sz w:val="24"/>
                <w:szCs w:val="24"/>
              </w:rPr>
              <w:t>185,848,750.50</w:t>
            </w:r>
          </w:p>
        </w:tc>
        <w:tc>
          <w:tcPr>
            <w:vAlign w:val="center"/>
          </w:tcPr>
          <w:p>
            <w:pPr>
              <w:jc w:val="right"/>
            </w:pPr>
            <w:r>
              <w:rPr>
                <w:color w:val="000000"/>
                <w:sz w:val="24"/>
                <w:szCs w:val="24"/>
              </w:rPr>
              <w:t>8.93</w:t>
            </w:r>
          </w:p>
        </w:tc>
      </w:tr>
      <w:tr>
        <w:tc>
          <w:tcPr>
            <w:vAlign w:val="center"/>
          </w:tcPr>
          <w:p>
            <w:pPr>
              <w:jc w:val="center"/>
            </w:pPr>
            <w:r>
              <w:rPr>
                <w:color w:val="000000"/>
                <w:sz w:val="24"/>
                <w:szCs w:val="24"/>
              </w:rPr>
              <w:t>3</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12,557,691</w:t>
            </w:r>
          </w:p>
        </w:tc>
        <w:tc>
          <w:tcPr>
            <w:vAlign w:val="center"/>
          </w:tcPr>
          <w:p>
            <w:pPr>
              <w:jc w:val="right"/>
            </w:pPr>
            <w:r>
              <w:rPr>
                <w:color w:val="000000"/>
                <w:sz w:val="24"/>
                <w:szCs w:val="24"/>
              </w:rPr>
              <w:t>185,602,672.98</w:t>
            </w:r>
          </w:p>
        </w:tc>
        <w:tc>
          <w:tcPr>
            <w:vAlign w:val="center"/>
          </w:tcPr>
          <w:p>
            <w:pPr>
              <w:jc w:val="right"/>
            </w:pPr>
            <w:r>
              <w:rPr>
                <w:color w:val="000000"/>
                <w:sz w:val="24"/>
                <w:szCs w:val="24"/>
              </w:rPr>
              <w:t>8.92</w:t>
            </w:r>
          </w:p>
        </w:tc>
      </w:tr>
      <w:tr>
        <w:tc>
          <w:tcPr>
            <w:vAlign w:val="center"/>
          </w:tcPr>
          <w:p>
            <w:pPr>
              <w:jc w:val="center"/>
            </w:pPr>
            <w:r>
              <w:rPr>
                <w:color w:val="000000"/>
                <w:sz w:val="24"/>
                <w:szCs w:val="24"/>
              </w:rPr>
              <w:t>4</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3,164,883</w:t>
            </w:r>
          </w:p>
        </w:tc>
        <w:tc>
          <w:tcPr>
            <w:vAlign w:val="center"/>
          </w:tcPr>
          <w:p>
            <w:pPr>
              <w:jc w:val="right"/>
            </w:pPr>
            <w:r>
              <w:rPr>
                <w:color w:val="000000"/>
                <w:sz w:val="24"/>
                <w:szCs w:val="24"/>
              </w:rPr>
              <w:t>162,516,742.05</w:t>
            </w:r>
          </w:p>
        </w:tc>
        <w:tc>
          <w:tcPr>
            <w:vAlign w:val="center"/>
          </w:tcPr>
          <w:p>
            <w:pPr>
              <w:jc w:val="right"/>
            </w:pPr>
            <w:r>
              <w:rPr>
                <w:color w:val="000000"/>
                <w:sz w:val="24"/>
                <w:szCs w:val="24"/>
              </w:rPr>
              <w:t>7.81</w:t>
            </w:r>
          </w:p>
        </w:tc>
      </w:tr>
      <w:tr>
        <w:tc>
          <w:tcPr>
            <w:vAlign w:val="center"/>
          </w:tcPr>
          <w:p>
            <w:pPr>
              <w:jc w:val="center"/>
            </w:pPr>
            <w:r>
              <w:rPr>
                <w:color w:val="000000"/>
                <w:sz w:val="24"/>
                <w:szCs w:val="24"/>
              </w:rPr>
              <w:t>5</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4,012,400</w:t>
            </w:r>
          </w:p>
        </w:tc>
        <w:tc>
          <w:tcPr>
            <w:vAlign w:val="center"/>
          </w:tcPr>
          <w:p>
            <w:pPr>
              <w:jc w:val="right"/>
            </w:pPr>
            <w:r>
              <w:rPr>
                <w:color w:val="000000"/>
                <w:sz w:val="24"/>
                <w:szCs w:val="24"/>
              </w:rPr>
              <w:t>104,884,136.00</w:t>
            </w:r>
          </w:p>
        </w:tc>
        <w:tc>
          <w:tcPr>
            <w:vAlign w:val="center"/>
          </w:tcPr>
          <w:p>
            <w:pPr>
              <w:jc w:val="right"/>
            </w:pPr>
            <w:r>
              <w:rPr>
                <w:color w:val="000000"/>
                <w:sz w:val="24"/>
                <w:szCs w:val="24"/>
              </w:rPr>
              <w:t>5.04</w:t>
            </w:r>
          </w:p>
        </w:tc>
      </w:tr>
      <w:tr>
        <w:tc>
          <w:tcPr>
            <w:vAlign w:val="center"/>
          </w:tcPr>
          <w:p>
            <w:pPr>
              <w:jc w:val="center"/>
            </w:pPr>
            <w:r>
              <w:rPr>
                <w:color w:val="000000"/>
                <w:sz w:val="24"/>
                <w:szCs w:val="24"/>
              </w:rPr>
              <w:t>6</w:t>
            </w:r>
          </w:p>
        </w:tc>
        <w:tc>
          <w:tcPr>
            <w:vAlign w:val="center"/>
          </w:tcPr>
          <w:p>
            <w:pPr>
              <w:jc w:val="center"/>
            </w:pPr>
            <w:r>
              <w:rPr>
                <w:color w:val="000000"/>
                <w:sz w:val="24"/>
                <w:szCs w:val="24"/>
              </w:rPr>
              <w:t>000636</w:t>
            </w:r>
          </w:p>
        </w:tc>
        <w:tc>
          <w:tcPr>
            <w:vAlign w:val="center"/>
          </w:tcPr>
          <w:p>
            <w:pPr>
              <w:jc w:val="center"/>
            </w:pPr>
            <w:r>
              <w:rPr>
                <w:color w:val="000000"/>
                <w:sz w:val="24"/>
                <w:szCs w:val="24"/>
              </w:rPr>
              <w:t>风华高科</w:t>
            </w:r>
          </w:p>
        </w:tc>
        <w:tc>
          <w:tcPr>
            <w:vAlign w:val="center"/>
          </w:tcPr>
          <w:p>
            <w:pPr>
              <w:jc w:val="right"/>
            </w:pPr>
            <w:r>
              <w:rPr>
                <w:color w:val="000000"/>
                <w:sz w:val="24"/>
                <w:szCs w:val="24"/>
              </w:rPr>
              <w:t>3,496,700</w:t>
            </w:r>
          </w:p>
        </w:tc>
        <w:tc>
          <w:tcPr>
            <w:vAlign w:val="center"/>
          </w:tcPr>
          <w:p>
            <w:pPr>
              <w:jc w:val="right"/>
            </w:pPr>
            <w:r>
              <w:rPr>
                <w:color w:val="000000"/>
                <w:sz w:val="24"/>
                <w:szCs w:val="24"/>
              </w:rPr>
              <w:t>102,068,673.00</w:t>
            </w:r>
          </w:p>
        </w:tc>
        <w:tc>
          <w:tcPr>
            <w:vAlign w:val="center"/>
          </w:tcPr>
          <w:p>
            <w:pPr>
              <w:jc w:val="right"/>
            </w:pPr>
            <w:r>
              <w:rPr>
                <w:color w:val="000000"/>
                <w:sz w:val="24"/>
                <w:szCs w:val="24"/>
              </w:rPr>
              <w:t>4.90</w:t>
            </w:r>
          </w:p>
        </w:tc>
      </w:tr>
      <w:tr>
        <w:tc>
          <w:tcPr>
            <w:vAlign w:val="center"/>
          </w:tcPr>
          <w:p>
            <w:pPr>
              <w:jc w:val="center"/>
            </w:pPr>
            <w:r>
              <w:rPr>
                <w:color w:val="000000"/>
                <w:sz w:val="24"/>
                <w:szCs w:val="24"/>
              </w:rPr>
              <w:t>7</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2,385,217</w:t>
            </w:r>
          </w:p>
        </w:tc>
        <w:tc>
          <w:tcPr>
            <w:vAlign w:val="center"/>
          </w:tcPr>
          <w:p>
            <w:pPr>
              <w:jc w:val="right"/>
            </w:pPr>
            <w:r>
              <w:rPr>
                <w:color w:val="000000"/>
                <w:sz w:val="24"/>
                <w:szCs w:val="24"/>
              </w:rPr>
              <w:t>96,911,366.71</w:t>
            </w:r>
          </w:p>
        </w:tc>
        <w:tc>
          <w:tcPr>
            <w:vAlign w:val="center"/>
          </w:tcPr>
          <w:p>
            <w:pPr>
              <w:jc w:val="right"/>
            </w:pPr>
            <w:r>
              <w:rPr>
                <w:color w:val="000000"/>
                <w:sz w:val="24"/>
                <w:szCs w:val="24"/>
              </w:rPr>
              <w:t>4.66</w:t>
            </w:r>
          </w:p>
        </w:tc>
      </w:tr>
      <w:tr>
        <w:tc>
          <w:tcPr>
            <w:vAlign w:val="center"/>
          </w:tcPr>
          <w:p>
            <w:pPr>
              <w:jc w:val="center"/>
            </w:pPr>
            <w:r>
              <w:rPr>
                <w:color w:val="000000"/>
                <w:sz w:val="24"/>
                <w:szCs w:val="24"/>
              </w:rPr>
              <w:t>8</w:t>
            </w:r>
          </w:p>
        </w:tc>
        <w:tc>
          <w:tcPr>
            <w:vAlign w:val="center"/>
          </w:tcPr>
          <w:p>
            <w:pPr>
              <w:jc w:val="center"/>
            </w:pPr>
            <w:r>
              <w:rPr>
                <w:color w:val="000000"/>
                <w:sz w:val="24"/>
                <w:szCs w:val="24"/>
              </w:rPr>
              <w:t>002179</w:t>
            </w:r>
          </w:p>
        </w:tc>
        <w:tc>
          <w:tcPr>
            <w:vAlign w:val="center"/>
          </w:tcPr>
          <w:p>
            <w:pPr>
              <w:jc w:val="center"/>
            </w:pPr>
            <w:r>
              <w:rPr>
                <w:color w:val="000000"/>
                <w:sz w:val="24"/>
                <w:szCs w:val="24"/>
              </w:rPr>
              <w:t>中航光电</w:t>
            </w:r>
          </w:p>
        </w:tc>
        <w:tc>
          <w:tcPr>
            <w:vAlign w:val="center"/>
          </w:tcPr>
          <w:p>
            <w:pPr>
              <w:jc w:val="right"/>
            </w:pPr>
            <w:r>
              <w:rPr>
                <w:color w:val="000000"/>
                <w:sz w:val="24"/>
                <w:szCs w:val="24"/>
              </w:rPr>
              <w:t>2,072,900</w:t>
            </w:r>
          </w:p>
        </w:tc>
        <w:tc>
          <w:tcPr>
            <w:vAlign w:val="center"/>
          </w:tcPr>
          <w:p>
            <w:pPr>
              <w:jc w:val="right"/>
            </w:pPr>
            <w:r>
              <w:rPr>
                <w:color w:val="000000"/>
                <w:sz w:val="24"/>
                <w:szCs w:val="24"/>
              </w:rPr>
              <w:t>85,009,629.00</w:t>
            </w:r>
          </w:p>
        </w:tc>
        <w:tc>
          <w:tcPr>
            <w:vAlign w:val="center"/>
          </w:tcPr>
          <w:p>
            <w:pPr>
              <w:jc w:val="right"/>
            </w:pPr>
            <w:r>
              <w:rPr>
                <w:color w:val="000000"/>
                <w:sz w:val="24"/>
                <w:szCs w:val="24"/>
              </w:rPr>
              <w:t>4.08</w:t>
            </w:r>
          </w:p>
        </w:tc>
      </w:tr>
      <w:tr>
        <w:tc>
          <w:tcPr>
            <w:vAlign w:val="center"/>
          </w:tcPr>
          <w:p>
            <w:pPr>
              <w:jc w:val="center"/>
            </w:pPr>
            <w:r>
              <w:rPr>
                <w:color w:val="000000"/>
                <w:sz w:val="24"/>
                <w:szCs w:val="24"/>
              </w:rPr>
              <w:t>9</w:t>
            </w:r>
          </w:p>
        </w:tc>
        <w:tc>
          <w:tcPr>
            <w:vAlign w:val="center"/>
          </w:tcPr>
          <w:p>
            <w:pPr>
              <w:jc w:val="center"/>
            </w:pPr>
            <w:r>
              <w:rPr>
                <w:color w:val="000000"/>
                <w:sz w:val="24"/>
                <w:szCs w:val="24"/>
              </w:rPr>
              <w:t>002837</w:t>
            </w:r>
          </w:p>
        </w:tc>
        <w:tc>
          <w:tcPr>
            <w:vAlign w:val="center"/>
          </w:tcPr>
          <w:p>
            <w:pPr>
              <w:jc w:val="center"/>
            </w:pPr>
            <w:r>
              <w:rPr>
                <w:color w:val="000000"/>
                <w:sz w:val="24"/>
                <w:szCs w:val="24"/>
              </w:rPr>
              <w:t>英维克</w:t>
            </w:r>
          </w:p>
        </w:tc>
        <w:tc>
          <w:tcPr>
            <w:vAlign w:val="center"/>
          </w:tcPr>
          <w:p>
            <w:pPr>
              <w:jc w:val="right"/>
            </w:pPr>
            <w:r>
              <w:rPr>
                <w:color w:val="000000"/>
                <w:sz w:val="24"/>
                <w:szCs w:val="24"/>
              </w:rPr>
              <w:t>2,601,375</w:t>
            </w:r>
          </w:p>
        </w:tc>
        <w:tc>
          <w:tcPr>
            <w:vAlign w:val="center"/>
          </w:tcPr>
          <w:p>
            <w:pPr>
              <w:jc w:val="right"/>
            </w:pPr>
            <w:r>
              <w:rPr>
                <w:color w:val="000000"/>
                <w:sz w:val="24"/>
                <w:szCs w:val="24"/>
              </w:rPr>
              <w:t>77,052,727.50</w:t>
            </w:r>
          </w:p>
        </w:tc>
        <w:tc>
          <w:tcPr>
            <w:vAlign w:val="center"/>
          </w:tcPr>
          <w:p>
            <w:pPr>
              <w:jc w:val="right"/>
            </w:pPr>
            <w:r>
              <w:rPr>
                <w:color w:val="000000"/>
                <w:sz w:val="24"/>
                <w:szCs w:val="24"/>
              </w:rPr>
              <w:t>3.70</w:t>
            </w:r>
          </w:p>
        </w:tc>
      </w:tr>
      <w:tr>
        <w:tc>
          <w:tcPr>
            <w:vAlign w:val="center"/>
          </w:tcPr>
          <w:p>
            <w:pPr>
              <w:jc w:val="center"/>
            </w:pPr>
            <w:r>
              <w:rPr>
                <w:color w:val="000000"/>
                <w:sz w:val="24"/>
                <w:szCs w:val="24"/>
              </w:rPr>
              <w:t>10</w:t>
            </w:r>
          </w:p>
        </w:tc>
        <w:tc>
          <w:tcPr>
            <w:vAlign w:val="center"/>
          </w:tcPr>
          <w:p>
            <w:pPr>
              <w:jc w:val="center"/>
            </w:pPr>
            <w:r>
              <w:rPr>
                <w:color w:val="000000"/>
                <w:sz w:val="24"/>
                <w:szCs w:val="24"/>
              </w:rPr>
              <w:t>002970</w:t>
            </w:r>
          </w:p>
        </w:tc>
        <w:tc>
          <w:tcPr>
            <w:vAlign w:val="center"/>
          </w:tcPr>
          <w:p>
            <w:pPr>
              <w:jc w:val="center"/>
            </w:pPr>
            <w:r>
              <w:rPr>
                <w:color w:val="000000"/>
                <w:sz w:val="24"/>
                <w:szCs w:val="24"/>
              </w:rPr>
              <w:t>锐明技术</w:t>
            </w:r>
          </w:p>
        </w:tc>
        <w:tc>
          <w:tcPr>
            <w:vAlign w:val="center"/>
          </w:tcPr>
          <w:p>
            <w:pPr>
              <w:jc w:val="right"/>
            </w:pPr>
            <w:r>
              <w:rPr>
                <w:color w:val="000000"/>
                <w:sz w:val="24"/>
                <w:szCs w:val="24"/>
              </w:rPr>
              <w:t>940,222</w:t>
            </w:r>
          </w:p>
        </w:tc>
        <w:tc>
          <w:tcPr>
            <w:vAlign w:val="center"/>
          </w:tcPr>
          <w:p>
            <w:pPr>
              <w:jc w:val="right"/>
            </w:pPr>
            <w:r>
              <w:rPr>
                <w:color w:val="000000"/>
                <w:sz w:val="24"/>
                <w:szCs w:val="24"/>
              </w:rPr>
              <w:t>64,245,369.26</w:t>
            </w:r>
          </w:p>
        </w:tc>
        <w:tc>
          <w:tcPr>
            <w:vAlign w:val="center"/>
          </w:tcPr>
          <w:p>
            <w:pPr>
              <w:jc w:val="right"/>
            </w:pPr>
            <w:r>
              <w:rPr>
                <w:color w:val="000000"/>
                <w:sz w:val="24"/>
                <w:szCs w:val="24"/>
              </w:rPr>
              <w:t>3.09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报告期内本基金投资的前十名证券的发行主体除风华高科（000636）外，未出现被监管部门立案调查，或在报告编制日前一年内受到公开谴责、处罚的情形。</w:t>
      </w:r>
    </w:p>
    <w:p>
      <w:pPr>
        <w:autoSpaceDE w:val="0"/>
        <w:autoSpaceDN w:val="0"/>
        <w:adjustRightInd w:val="0"/>
        <w:spacing w:before="29" w:line="288" w:lineRule="auto"/>
        <w:jc w:val="left"/>
        <w:rPr>
          <w:b/>
          <w:bCs/>
          <w:color w:val="000000"/>
          <w:kern w:val="0"/>
          <w:sz w:val="24"/>
          <w:szCs w:val="24"/>
        </w:rPr>
      </w:pPr>
      <w:r>
        <w:rPr>
          <w:bCs/>
          <w:color w:val="000000"/>
          <w:kern w:val="0"/>
          <w:sz w:val="24"/>
          <w:szCs w:val="24"/>
        </w:rPr>
        <w:t>报告期内本基金投资的前十名证券之一风华高科（000636）于2019年11月25日公告，公司及相关当事人于2019年11月22日收到中国证监会广东监管局下发的《行政处罚决定书》（[2019]13号），《行政处罚决定书》主要内容：一、公告的信息存在虚假记载；二、未及时披露董事会及监事会决议。责令风华高科改正，给予警告，并处以40万元罚款。</w:t>
      </w:r>
    </w:p>
    <w:p>
      <w:pPr>
        <w:autoSpaceDE w:val="0"/>
        <w:autoSpaceDN w:val="0"/>
        <w:adjustRightInd w:val="0"/>
        <w:spacing w:before="29" w:line="288" w:lineRule="auto"/>
        <w:jc w:val="left"/>
        <w:rPr>
          <w:b/>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806,073.86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25,311,767.77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33,886.55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9,329,535.62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35,481,263.80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1,439,293,405.03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221,265,692.23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569,683,270.27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1,090,875,826.99</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1、中国证监会批准交银施罗德成长30股票型证券投资基金募集的文件；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2、《交银施罗德成长30混合型证券投资基金基金合同》；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3、《交银施罗德成长30混合型证券投资基金招募说明书》；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4、《交银施罗德成长30混合型证券投资基金托管协议》；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5、关于募集交银施罗德成长30股票型证券投资基金之法律意见书；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8、报告期内交银施罗德成长30混合型证券投资基金在指定报刊上各项公告的原稿。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交银施罗德成长30混合型证券投资基金2020年第2季度报告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