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二〇二〇年七月二十一日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227,546,232.02</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196,567,370.02</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15,489,431.00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15,489,431.00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F68D1" w:rsidRPr="005E324A" w:rsidTr="007F68D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7F68D1" w:rsidRPr="005E324A" w:rsidTr="007F68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1,156,954.71</w:t>
            </w:r>
          </w:p>
        </w:tc>
      </w:tr>
      <w:tr w:rsidR="007F68D1" w:rsidRPr="005E324A" w:rsidTr="007F68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43,511,974.73</w:t>
            </w:r>
          </w:p>
        </w:tc>
      </w:tr>
      <w:tr w:rsidR="007F68D1" w:rsidRPr="005E324A" w:rsidTr="007F68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0.1821</w:t>
            </w:r>
          </w:p>
        </w:tc>
      </w:tr>
      <w:tr w:rsidR="007F68D1" w:rsidRPr="005E324A" w:rsidTr="007F68D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258,387,738.19</w:t>
            </w:r>
          </w:p>
        </w:tc>
      </w:tr>
      <w:tr w:rsidR="007F68D1" w:rsidRPr="005E324A" w:rsidTr="007F68D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1.136</w:t>
            </w:r>
          </w:p>
        </w:tc>
      </w:tr>
    </w:tbl>
    <w:p w:rsidR="00552AB3" w:rsidRDefault="007F68D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a"/>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552AB3">
        <w:tc>
          <w:tcPr>
            <w:tcW w:w="1215" w:type="dxa"/>
            <w:vAlign w:val="center"/>
          </w:tcPr>
          <w:p w:rsidR="00552AB3" w:rsidRDefault="007F68D1">
            <w:pPr>
              <w:jc w:val="left"/>
            </w:pPr>
            <w:r>
              <w:rPr>
                <w:rFonts w:eastAsiaTheme="minorEastAsia"/>
                <w:color w:val="000000"/>
                <w:kern w:val="0"/>
                <w:sz w:val="24"/>
              </w:rPr>
              <w:t>过去三个月</w:t>
            </w:r>
          </w:p>
        </w:tc>
        <w:tc>
          <w:tcPr>
            <w:tcW w:w="1216" w:type="dxa"/>
            <w:vAlign w:val="center"/>
          </w:tcPr>
          <w:p w:rsidR="00552AB3" w:rsidRDefault="007F68D1">
            <w:pPr>
              <w:jc w:val="center"/>
            </w:pPr>
            <w:r>
              <w:rPr>
                <w:rFonts w:eastAsiaTheme="minorEastAsia"/>
                <w:color w:val="000000"/>
                <w:kern w:val="0"/>
                <w:sz w:val="24"/>
              </w:rPr>
              <w:t>19.20%</w:t>
            </w:r>
          </w:p>
        </w:tc>
        <w:tc>
          <w:tcPr>
            <w:tcW w:w="1216" w:type="dxa"/>
            <w:vAlign w:val="center"/>
          </w:tcPr>
          <w:p w:rsidR="00552AB3" w:rsidRDefault="007F68D1">
            <w:pPr>
              <w:jc w:val="center"/>
            </w:pPr>
            <w:r>
              <w:rPr>
                <w:rFonts w:eastAsiaTheme="minorEastAsia"/>
                <w:color w:val="000000"/>
                <w:kern w:val="0"/>
                <w:sz w:val="24"/>
              </w:rPr>
              <w:t>1.30%</w:t>
            </w:r>
          </w:p>
        </w:tc>
        <w:tc>
          <w:tcPr>
            <w:tcW w:w="1216" w:type="dxa"/>
            <w:vAlign w:val="center"/>
          </w:tcPr>
          <w:p w:rsidR="00552AB3" w:rsidRDefault="007F68D1">
            <w:pPr>
              <w:jc w:val="center"/>
            </w:pPr>
            <w:r>
              <w:rPr>
                <w:rFonts w:eastAsiaTheme="minorEastAsia"/>
                <w:color w:val="000000"/>
                <w:kern w:val="0"/>
                <w:sz w:val="24"/>
              </w:rPr>
              <w:t>19.02%</w:t>
            </w:r>
          </w:p>
        </w:tc>
        <w:tc>
          <w:tcPr>
            <w:tcW w:w="1216" w:type="dxa"/>
            <w:vAlign w:val="center"/>
          </w:tcPr>
          <w:p w:rsidR="00552AB3" w:rsidRDefault="007F68D1">
            <w:pPr>
              <w:jc w:val="center"/>
            </w:pPr>
            <w:r>
              <w:rPr>
                <w:rFonts w:eastAsiaTheme="minorEastAsia"/>
                <w:color w:val="000000"/>
                <w:kern w:val="0"/>
                <w:sz w:val="24"/>
              </w:rPr>
              <w:t>1.31%</w:t>
            </w:r>
          </w:p>
        </w:tc>
        <w:tc>
          <w:tcPr>
            <w:tcW w:w="1217" w:type="dxa"/>
            <w:vAlign w:val="center"/>
          </w:tcPr>
          <w:p w:rsidR="00552AB3" w:rsidRDefault="007F68D1">
            <w:pPr>
              <w:jc w:val="center"/>
            </w:pPr>
            <w:r>
              <w:rPr>
                <w:rFonts w:eastAsiaTheme="minorEastAsia"/>
                <w:color w:val="000000"/>
                <w:kern w:val="0"/>
                <w:sz w:val="24"/>
              </w:rPr>
              <w:t>0.18%</w:t>
            </w:r>
          </w:p>
        </w:tc>
        <w:tc>
          <w:tcPr>
            <w:tcW w:w="1217" w:type="dxa"/>
            <w:vAlign w:val="center"/>
          </w:tcPr>
          <w:p w:rsidR="00552AB3" w:rsidRDefault="007F68D1">
            <w:pPr>
              <w:jc w:val="center"/>
            </w:pPr>
            <w:r>
              <w:rPr>
                <w:rFonts w:eastAsiaTheme="minorEastAsia"/>
                <w:color w:val="000000"/>
                <w:kern w:val="0"/>
                <w:sz w:val="24"/>
              </w:rPr>
              <w:t>-0.01%</w:t>
            </w:r>
          </w:p>
        </w:tc>
      </w:tr>
      <w:tr w:rsidR="00552AB3">
        <w:tc>
          <w:tcPr>
            <w:tcW w:w="1215" w:type="dxa"/>
            <w:vAlign w:val="center"/>
          </w:tcPr>
          <w:p w:rsidR="00552AB3" w:rsidRDefault="007F68D1">
            <w:pPr>
              <w:jc w:val="left"/>
            </w:pPr>
            <w:r>
              <w:rPr>
                <w:rFonts w:eastAsiaTheme="minorEastAsia"/>
                <w:color w:val="000000"/>
                <w:kern w:val="0"/>
                <w:sz w:val="24"/>
              </w:rPr>
              <w:t>过去六个月</w:t>
            </w:r>
          </w:p>
        </w:tc>
        <w:tc>
          <w:tcPr>
            <w:tcW w:w="1216" w:type="dxa"/>
            <w:vAlign w:val="center"/>
          </w:tcPr>
          <w:p w:rsidR="00552AB3" w:rsidRDefault="007F68D1">
            <w:pPr>
              <w:jc w:val="center"/>
            </w:pPr>
            <w:r>
              <w:rPr>
                <w:rFonts w:eastAsiaTheme="minorEastAsia"/>
                <w:color w:val="000000"/>
                <w:kern w:val="0"/>
                <w:sz w:val="24"/>
              </w:rPr>
              <w:t>13.33%</w:t>
            </w:r>
          </w:p>
        </w:tc>
        <w:tc>
          <w:tcPr>
            <w:tcW w:w="1216" w:type="dxa"/>
            <w:vAlign w:val="center"/>
          </w:tcPr>
          <w:p w:rsidR="00552AB3" w:rsidRDefault="007F68D1">
            <w:pPr>
              <w:jc w:val="center"/>
            </w:pPr>
            <w:r>
              <w:rPr>
                <w:rFonts w:eastAsiaTheme="minorEastAsia"/>
                <w:color w:val="000000"/>
                <w:kern w:val="0"/>
                <w:sz w:val="24"/>
              </w:rPr>
              <w:t>2.02%</w:t>
            </w:r>
          </w:p>
        </w:tc>
        <w:tc>
          <w:tcPr>
            <w:tcW w:w="1216" w:type="dxa"/>
            <w:vAlign w:val="center"/>
          </w:tcPr>
          <w:p w:rsidR="00552AB3" w:rsidRDefault="007F68D1">
            <w:pPr>
              <w:jc w:val="center"/>
            </w:pPr>
            <w:r>
              <w:rPr>
                <w:rFonts w:eastAsiaTheme="minorEastAsia"/>
                <w:color w:val="000000"/>
                <w:kern w:val="0"/>
                <w:sz w:val="24"/>
              </w:rPr>
              <w:t>13.29%</w:t>
            </w:r>
          </w:p>
        </w:tc>
        <w:tc>
          <w:tcPr>
            <w:tcW w:w="1216" w:type="dxa"/>
            <w:vAlign w:val="center"/>
          </w:tcPr>
          <w:p w:rsidR="00552AB3" w:rsidRDefault="007F68D1">
            <w:pPr>
              <w:jc w:val="center"/>
            </w:pPr>
            <w:r>
              <w:rPr>
                <w:rFonts w:eastAsiaTheme="minorEastAsia"/>
                <w:color w:val="000000"/>
                <w:kern w:val="0"/>
                <w:sz w:val="24"/>
              </w:rPr>
              <w:t>2.03%</w:t>
            </w:r>
          </w:p>
        </w:tc>
        <w:tc>
          <w:tcPr>
            <w:tcW w:w="1217" w:type="dxa"/>
            <w:vAlign w:val="center"/>
          </w:tcPr>
          <w:p w:rsidR="00552AB3" w:rsidRDefault="007F68D1">
            <w:pPr>
              <w:jc w:val="center"/>
            </w:pPr>
            <w:r>
              <w:rPr>
                <w:rFonts w:eastAsiaTheme="minorEastAsia"/>
                <w:color w:val="000000"/>
                <w:kern w:val="0"/>
                <w:sz w:val="24"/>
              </w:rPr>
              <w:t>0.04%</w:t>
            </w:r>
          </w:p>
        </w:tc>
        <w:tc>
          <w:tcPr>
            <w:tcW w:w="1217" w:type="dxa"/>
            <w:vAlign w:val="center"/>
          </w:tcPr>
          <w:p w:rsidR="00552AB3" w:rsidRDefault="007F68D1">
            <w:pPr>
              <w:jc w:val="center"/>
            </w:pPr>
            <w:r>
              <w:rPr>
                <w:rFonts w:eastAsiaTheme="minorEastAsia"/>
                <w:color w:val="000000"/>
                <w:kern w:val="0"/>
                <w:sz w:val="24"/>
              </w:rPr>
              <w:t>-0.01%</w:t>
            </w:r>
          </w:p>
        </w:tc>
      </w:tr>
      <w:tr w:rsidR="00552AB3">
        <w:tc>
          <w:tcPr>
            <w:tcW w:w="1215" w:type="dxa"/>
            <w:vAlign w:val="center"/>
          </w:tcPr>
          <w:p w:rsidR="00552AB3" w:rsidRDefault="007F68D1">
            <w:pPr>
              <w:jc w:val="left"/>
            </w:pPr>
            <w:r>
              <w:rPr>
                <w:rFonts w:eastAsiaTheme="minorEastAsia"/>
                <w:color w:val="000000"/>
                <w:kern w:val="0"/>
                <w:sz w:val="24"/>
              </w:rPr>
              <w:t>过去一年</w:t>
            </w:r>
          </w:p>
        </w:tc>
        <w:tc>
          <w:tcPr>
            <w:tcW w:w="1216" w:type="dxa"/>
            <w:vAlign w:val="center"/>
          </w:tcPr>
          <w:p w:rsidR="00552AB3" w:rsidRDefault="007F68D1">
            <w:pPr>
              <w:jc w:val="center"/>
            </w:pPr>
            <w:r>
              <w:rPr>
                <w:rFonts w:eastAsiaTheme="minorEastAsia"/>
                <w:color w:val="000000"/>
                <w:kern w:val="0"/>
                <w:sz w:val="24"/>
              </w:rPr>
              <w:t>25.86%</w:t>
            </w:r>
          </w:p>
        </w:tc>
        <w:tc>
          <w:tcPr>
            <w:tcW w:w="1216" w:type="dxa"/>
            <w:vAlign w:val="center"/>
          </w:tcPr>
          <w:p w:rsidR="00552AB3" w:rsidRDefault="007F68D1">
            <w:pPr>
              <w:jc w:val="center"/>
            </w:pPr>
            <w:r>
              <w:rPr>
                <w:rFonts w:eastAsiaTheme="minorEastAsia"/>
                <w:color w:val="000000"/>
                <w:kern w:val="0"/>
                <w:sz w:val="24"/>
              </w:rPr>
              <w:t>1.59%</w:t>
            </w:r>
          </w:p>
        </w:tc>
        <w:tc>
          <w:tcPr>
            <w:tcW w:w="1216" w:type="dxa"/>
            <w:vAlign w:val="center"/>
          </w:tcPr>
          <w:p w:rsidR="00552AB3" w:rsidRDefault="007F68D1">
            <w:pPr>
              <w:jc w:val="center"/>
            </w:pPr>
            <w:r>
              <w:rPr>
                <w:rFonts w:eastAsiaTheme="minorEastAsia"/>
                <w:color w:val="000000"/>
                <w:kern w:val="0"/>
                <w:sz w:val="24"/>
              </w:rPr>
              <w:t>25.96%</w:t>
            </w:r>
          </w:p>
        </w:tc>
        <w:tc>
          <w:tcPr>
            <w:tcW w:w="1216" w:type="dxa"/>
            <w:vAlign w:val="center"/>
          </w:tcPr>
          <w:p w:rsidR="00552AB3" w:rsidRDefault="007F68D1">
            <w:pPr>
              <w:jc w:val="center"/>
            </w:pPr>
            <w:r>
              <w:rPr>
                <w:rFonts w:eastAsiaTheme="minorEastAsia"/>
                <w:color w:val="000000"/>
                <w:kern w:val="0"/>
                <w:sz w:val="24"/>
              </w:rPr>
              <w:t>1.60%</w:t>
            </w:r>
          </w:p>
        </w:tc>
        <w:tc>
          <w:tcPr>
            <w:tcW w:w="1217" w:type="dxa"/>
            <w:vAlign w:val="center"/>
          </w:tcPr>
          <w:p w:rsidR="00552AB3" w:rsidRDefault="007F68D1">
            <w:pPr>
              <w:jc w:val="center"/>
            </w:pPr>
            <w:r>
              <w:rPr>
                <w:rFonts w:eastAsiaTheme="minorEastAsia"/>
                <w:color w:val="000000"/>
                <w:kern w:val="0"/>
                <w:sz w:val="24"/>
              </w:rPr>
              <w:t>-0.10%</w:t>
            </w:r>
          </w:p>
        </w:tc>
        <w:tc>
          <w:tcPr>
            <w:tcW w:w="1217" w:type="dxa"/>
            <w:vAlign w:val="center"/>
          </w:tcPr>
          <w:p w:rsidR="00552AB3" w:rsidRDefault="007F68D1">
            <w:pPr>
              <w:jc w:val="center"/>
            </w:pPr>
            <w:r>
              <w:rPr>
                <w:rFonts w:eastAsiaTheme="minorEastAsia"/>
                <w:color w:val="000000"/>
                <w:kern w:val="0"/>
                <w:sz w:val="24"/>
              </w:rPr>
              <w:t>-0.01%</w:t>
            </w:r>
          </w:p>
        </w:tc>
      </w:tr>
      <w:tr w:rsidR="00552AB3">
        <w:tc>
          <w:tcPr>
            <w:tcW w:w="1215" w:type="dxa"/>
            <w:vAlign w:val="center"/>
          </w:tcPr>
          <w:p w:rsidR="00552AB3" w:rsidRDefault="007F68D1">
            <w:pPr>
              <w:jc w:val="left"/>
            </w:pPr>
            <w:r>
              <w:rPr>
                <w:rFonts w:eastAsiaTheme="minorEastAsia"/>
                <w:color w:val="000000"/>
                <w:kern w:val="0"/>
                <w:sz w:val="24"/>
              </w:rPr>
              <w:t>过去三年</w:t>
            </w:r>
          </w:p>
        </w:tc>
        <w:tc>
          <w:tcPr>
            <w:tcW w:w="1216" w:type="dxa"/>
            <w:vAlign w:val="center"/>
          </w:tcPr>
          <w:p w:rsidR="00552AB3" w:rsidRDefault="007F68D1">
            <w:pPr>
              <w:jc w:val="center"/>
            </w:pPr>
            <w:r>
              <w:rPr>
                <w:rFonts w:eastAsiaTheme="minorEastAsia"/>
                <w:color w:val="000000"/>
                <w:kern w:val="0"/>
                <w:sz w:val="24"/>
              </w:rPr>
              <w:t>-3.67%</w:t>
            </w:r>
          </w:p>
        </w:tc>
        <w:tc>
          <w:tcPr>
            <w:tcW w:w="1216" w:type="dxa"/>
            <w:vAlign w:val="center"/>
          </w:tcPr>
          <w:p w:rsidR="00552AB3" w:rsidRDefault="007F68D1">
            <w:pPr>
              <w:jc w:val="center"/>
            </w:pPr>
            <w:r>
              <w:rPr>
                <w:rFonts w:eastAsiaTheme="minorEastAsia"/>
                <w:color w:val="000000"/>
                <w:kern w:val="0"/>
                <w:sz w:val="24"/>
              </w:rPr>
              <w:t>1.55%</w:t>
            </w:r>
          </w:p>
        </w:tc>
        <w:tc>
          <w:tcPr>
            <w:tcW w:w="1216" w:type="dxa"/>
            <w:vAlign w:val="center"/>
          </w:tcPr>
          <w:p w:rsidR="00552AB3" w:rsidRDefault="007F68D1">
            <w:pPr>
              <w:jc w:val="center"/>
            </w:pPr>
            <w:r>
              <w:rPr>
                <w:rFonts w:eastAsiaTheme="minorEastAsia"/>
                <w:color w:val="000000"/>
                <w:kern w:val="0"/>
                <w:sz w:val="24"/>
              </w:rPr>
              <w:t>-0.31%</w:t>
            </w:r>
          </w:p>
        </w:tc>
        <w:tc>
          <w:tcPr>
            <w:tcW w:w="1216" w:type="dxa"/>
            <w:vAlign w:val="center"/>
          </w:tcPr>
          <w:p w:rsidR="00552AB3" w:rsidRDefault="007F68D1">
            <w:pPr>
              <w:jc w:val="center"/>
            </w:pPr>
            <w:r>
              <w:rPr>
                <w:rFonts w:eastAsiaTheme="minorEastAsia"/>
                <w:color w:val="000000"/>
                <w:kern w:val="0"/>
                <w:sz w:val="24"/>
              </w:rPr>
              <w:t>1.56%</w:t>
            </w:r>
          </w:p>
        </w:tc>
        <w:tc>
          <w:tcPr>
            <w:tcW w:w="1217" w:type="dxa"/>
            <w:vAlign w:val="center"/>
          </w:tcPr>
          <w:p w:rsidR="00552AB3" w:rsidRDefault="007F68D1">
            <w:pPr>
              <w:jc w:val="center"/>
            </w:pPr>
            <w:r>
              <w:rPr>
                <w:rFonts w:eastAsiaTheme="minorEastAsia"/>
                <w:color w:val="000000"/>
                <w:kern w:val="0"/>
                <w:sz w:val="24"/>
              </w:rPr>
              <w:t>-3.36%</w:t>
            </w:r>
          </w:p>
        </w:tc>
        <w:tc>
          <w:tcPr>
            <w:tcW w:w="1217" w:type="dxa"/>
            <w:vAlign w:val="center"/>
          </w:tcPr>
          <w:p w:rsidR="00552AB3" w:rsidRDefault="007F68D1">
            <w:pPr>
              <w:jc w:val="center"/>
            </w:pPr>
            <w:r>
              <w:rPr>
                <w:rFonts w:eastAsiaTheme="minorEastAsia"/>
                <w:color w:val="000000"/>
                <w:kern w:val="0"/>
                <w:sz w:val="24"/>
              </w:rPr>
              <w:t>-0.01%</w:t>
            </w:r>
          </w:p>
        </w:tc>
      </w:tr>
      <w:tr w:rsidR="00552AB3">
        <w:tc>
          <w:tcPr>
            <w:tcW w:w="1215" w:type="dxa"/>
            <w:vAlign w:val="center"/>
          </w:tcPr>
          <w:p w:rsidR="00552AB3" w:rsidRDefault="007F68D1">
            <w:pPr>
              <w:jc w:val="left"/>
            </w:pPr>
            <w:r>
              <w:rPr>
                <w:rFonts w:eastAsiaTheme="minorEastAsia"/>
                <w:color w:val="000000"/>
                <w:kern w:val="0"/>
                <w:sz w:val="24"/>
              </w:rPr>
              <w:t>过去五年</w:t>
            </w:r>
          </w:p>
        </w:tc>
        <w:tc>
          <w:tcPr>
            <w:tcW w:w="1216" w:type="dxa"/>
            <w:vAlign w:val="center"/>
          </w:tcPr>
          <w:p w:rsidR="00552AB3" w:rsidRDefault="007F68D1">
            <w:pPr>
              <w:jc w:val="center"/>
            </w:pPr>
            <w:r>
              <w:rPr>
                <w:rFonts w:eastAsiaTheme="minorEastAsia"/>
                <w:color w:val="000000"/>
                <w:kern w:val="0"/>
                <w:sz w:val="24"/>
              </w:rPr>
              <w:t>-26.73%</w:t>
            </w:r>
          </w:p>
        </w:tc>
        <w:tc>
          <w:tcPr>
            <w:tcW w:w="1216" w:type="dxa"/>
            <w:vAlign w:val="center"/>
          </w:tcPr>
          <w:p w:rsidR="00552AB3" w:rsidRDefault="007F68D1">
            <w:pPr>
              <w:jc w:val="center"/>
            </w:pPr>
            <w:r>
              <w:rPr>
                <w:rFonts w:eastAsiaTheme="minorEastAsia"/>
                <w:color w:val="000000"/>
                <w:kern w:val="0"/>
                <w:sz w:val="24"/>
              </w:rPr>
              <w:t>1.96%</w:t>
            </w:r>
          </w:p>
        </w:tc>
        <w:tc>
          <w:tcPr>
            <w:tcW w:w="1216" w:type="dxa"/>
            <w:vAlign w:val="center"/>
          </w:tcPr>
          <w:p w:rsidR="00552AB3" w:rsidRDefault="007F68D1">
            <w:pPr>
              <w:jc w:val="center"/>
            </w:pPr>
            <w:r>
              <w:rPr>
                <w:rFonts w:eastAsiaTheme="minorEastAsia"/>
                <w:color w:val="000000"/>
                <w:kern w:val="0"/>
                <w:sz w:val="24"/>
              </w:rPr>
              <w:t>-22.14%</w:t>
            </w:r>
          </w:p>
        </w:tc>
        <w:tc>
          <w:tcPr>
            <w:tcW w:w="1216" w:type="dxa"/>
            <w:vAlign w:val="center"/>
          </w:tcPr>
          <w:p w:rsidR="00552AB3" w:rsidRDefault="007F68D1">
            <w:pPr>
              <w:jc w:val="center"/>
            </w:pPr>
            <w:r>
              <w:rPr>
                <w:rFonts w:eastAsiaTheme="minorEastAsia"/>
                <w:color w:val="000000"/>
                <w:kern w:val="0"/>
                <w:sz w:val="24"/>
              </w:rPr>
              <w:t>1.85%</w:t>
            </w:r>
          </w:p>
        </w:tc>
        <w:tc>
          <w:tcPr>
            <w:tcW w:w="1217" w:type="dxa"/>
            <w:vAlign w:val="center"/>
          </w:tcPr>
          <w:p w:rsidR="00552AB3" w:rsidRDefault="007F68D1">
            <w:pPr>
              <w:jc w:val="center"/>
            </w:pPr>
            <w:r>
              <w:rPr>
                <w:rFonts w:eastAsiaTheme="minorEastAsia"/>
                <w:color w:val="000000"/>
                <w:kern w:val="0"/>
                <w:sz w:val="24"/>
              </w:rPr>
              <w:t>-4.59%</w:t>
            </w:r>
          </w:p>
        </w:tc>
        <w:tc>
          <w:tcPr>
            <w:tcW w:w="1217" w:type="dxa"/>
            <w:vAlign w:val="center"/>
          </w:tcPr>
          <w:p w:rsidR="00552AB3" w:rsidRDefault="007F68D1">
            <w:pPr>
              <w:jc w:val="center"/>
            </w:pPr>
            <w:r>
              <w:rPr>
                <w:rFonts w:eastAsiaTheme="minorEastAsia"/>
                <w:color w:val="000000"/>
                <w:kern w:val="0"/>
                <w:sz w:val="24"/>
              </w:rPr>
              <w:t>0.11%</w:t>
            </w:r>
          </w:p>
        </w:tc>
      </w:tr>
      <w:tr w:rsidR="00552AB3">
        <w:tc>
          <w:tcPr>
            <w:tcW w:w="1215" w:type="dxa"/>
            <w:vAlign w:val="center"/>
          </w:tcPr>
          <w:p w:rsidR="00552AB3" w:rsidRDefault="007F68D1">
            <w:pPr>
              <w:jc w:val="left"/>
            </w:pPr>
            <w:r>
              <w:rPr>
                <w:rFonts w:eastAsiaTheme="minorEastAsia"/>
                <w:color w:val="000000"/>
                <w:kern w:val="0"/>
                <w:sz w:val="24"/>
              </w:rPr>
              <w:t>自基金合同生效起至今</w:t>
            </w:r>
          </w:p>
        </w:tc>
        <w:tc>
          <w:tcPr>
            <w:tcW w:w="1216" w:type="dxa"/>
            <w:vAlign w:val="center"/>
          </w:tcPr>
          <w:p w:rsidR="00552AB3" w:rsidRDefault="007F68D1">
            <w:pPr>
              <w:jc w:val="center"/>
            </w:pPr>
            <w:r>
              <w:rPr>
                <w:rFonts w:eastAsiaTheme="minorEastAsia"/>
                <w:color w:val="000000"/>
                <w:kern w:val="0"/>
                <w:sz w:val="24"/>
              </w:rPr>
              <w:t>-21.23%</w:t>
            </w:r>
          </w:p>
        </w:tc>
        <w:tc>
          <w:tcPr>
            <w:tcW w:w="1216" w:type="dxa"/>
            <w:vAlign w:val="center"/>
          </w:tcPr>
          <w:p w:rsidR="00552AB3" w:rsidRDefault="007F68D1">
            <w:pPr>
              <w:jc w:val="center"/>
            </w:pPr>
            <w:r>
              <w:rPr>
                <w:rFonts w:eastAsiaTheme="minorEastAsia"/>
                <w:color w:val="000000"/>
                <w:kern w:val="0"/>
                <w:sz w:val="24"/>
              </w:rPr>
              <w:t>2.02%</w:t>
            </w:r>
          </w:p>
        </w:tc>
        <w:tc>
          <w:tcPr>
            <w:tcW w:w="1216" w:type="dxa"/>
            <w:vAlign w:val="center"/>
          </w:tcPr>
          <w:p w:rsidR="00552AB3" w:rsidRDefault="007F68D1">
            <w:pPr>
              <w:jc w:val="center"/>
            </w:pPr>
            <w:r>
              <w:rPr>
                <w:rFonts w:eastAsiaTheme="minorEastAsia"/>
                <w:color w:val="000000"/>
                <w:kern w:val="0"/>
                <w:sz w:val="24"/>
              </w:rPr>
              <w:t>-8.05%</w:t>
            </w:r>
          </w:p>
        </w:tc>
        <w:tc>
          <w:tcPr>
            <w:tcW w:w="1216" w:type="dxa"/>
            <w:vAlign w:val="center"/>
          </w:tcPr>
          <w:p w:rsidR="00552AB3" w:rsidRDefault="007F68D1">
            <w:pPr>
              <w:jc w:val="center"/>
            </w:pPr>
            <w:r>
              <w:rPr>
                <w:rFonts w:eastAsiaTheme="minorEastAsia"/>
                <w:color w:val="000000"/>
                <w:kern w:val="0"/>
                <w:sz w:val="24"/>
              </w:rPr>
              <w:t>1.90%</w:t>
            </w:r>
          </w:p>
        </w:tc>
        <w:tc>
          <w:tcPr>
            <w:tcW w:w="1217" w:type="dxa"/>
            <w:vAlign w:val="center"/>
          </w:tcPr>
          <w:p w:rsidR="00552AB3" w:rsidRDefault="007F68D1">
            <w:pPr>
              <w:jc w:val="center"/>
            </w:pPr>
            <w:r>
              <w:rPr>
                <w:rFonts w:eastAsiaTheme="minorEastAsia"/>
                <w:color w:val="000000"/>
                <w:kern w:val="0"/>
                <w:sz w:val="24"/>
              </w:rPr>
              <w:t>-13.18%</w:t>
            </w:r>
          </w:p>
        </w:tc>
        <w:tc>
          <w:tcPr>
            <w:tcW w:w="1217" w:type="dxa"/>
            <w:vAlign w:val="center"/>
          </w:tcPr>
          <w:p w:rsidR="00552AB3" w:rsidRDefault="007F68D1">
            <w:pPr>
              <w:jc w:val="center"/>
            </w:pPr>
            <w:r>
              <w:rPr>
                <w:rFonts w:eastAsiaTheme="minorEastAsia"/>
                <w:color w:val="000000"/>
                <w:kern w:val="0"/>
                <w:sz w:val="24"/>
              </w:rPr>
              <w:t>0.12%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b"/>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552AB3">
        <w:tc>
          <w:tcPr>
            <w:tcW w:w="952" w:type="dxa"/>
            <w:vAlign w:val="center"/>
          </w:tcPr>
          <w:p w:rsidR="00552AB3" w:rsidRDefault="007F68D1">
            <w:pPr>
              <w:jc w:val="center"/>
            </w:pPr>
            <w:r>
              <w:rPr>
                <w:rFonts w:eastAsiaTheme="minorEastAsia"/>
                <w:color w:val="000000"/>
                <w:sz w:val="24"/>
              </w:rPr>
              <w:t>蔡铮</w:t>
            </w:r>
          </w:p>
        </w:tc>
        <w:tc>
          <w:tcPr>
            <w:tcW w:w="930" w:type="dxa"/>
            <w:vAlign w:val="center"/>
          </w:tcPr>
          <w:p w:rsidR="00552AB3" w:rsidRDefault="007F68D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w:t>
            </w:r>
            <w:r>
              <w:rPr>
                <w:rFonts w:eastAsiaTheme="minorEastAsia"/>
                <w:color w:val="000000"/>
                <w:sz w:val="24"/>
              </w:rPr>
              <w:lastRenderedPageBreak/>
              <w:t>境治理指数（</w:t>
            </w:r>
            <w:r>
              <w:rPr>
                <w:rFonts w:eastAsiaTheme="minorEastAsia"/>
                <w:color w:val="000000"/>
                <w:sz w:val="24"/>
              </w:rPr>
              <w:t>LOF</w:t>
            </w:r>
            <w:r>
              <w:rPr>
                <w:rFonts w:eastAsiaTheme="minorEastAsia"/>
                <w:color w:val="000000"/>
                <w:sz w:val="24"/>
              </w:rPr>
              <w:t>）、交银创业板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552AB3" w:rsidRDefault="007F68D1">
            <w:pPr>
              <w:jc w:val="center"/>
            </w:pPr>
            <w:r>
              <w:rPr>
                <w:rFonts w:eastAsiaTheme="minorEastAsia"/>
                <w:color w:val="000000"/>
                <w:sz w:val="24"/>
              </w:rPr>
              <w:lastRenderedPageBreak/>
              <w:t>2015-03-26</w:t>
            </w:r>
          </w:p>
        </w:tc>
        <w:tc>
          <w:tcPr>
            <w:tcW w:w="1309" w:type="dxa"/>
            <w:vAlign w:val="center"/>
          </w:tcPr>
          <w:p w:rsidR="00552AB3" w:rsidRDefault="007F68D1">
            <w:pPr>
              <w:jc w:val="center"/>
            </w:pPr>
            <w:r>
              <w:rPr>
                <w:rFonts w:eastAsiaTheme="minorEastAsia"/>
                <w:color w:val="000000"/>
                <w:sz w:val="24"/>
              </w:rPr>
              <w:t>-</w:t>
            </w:r>
          </w:p>
        </w:tc>
        <w:tc>
          <w:tcPr>
            <w:tcW w:w="1254" w:type="dxa"/>
            <w:vAlign w:val="center"/>
          </w:tcPr>
          <w:p w:rsidR="00552AB3" w:rsidRDefault="007F68D1">
            <w:pPr>
              <w:jc w:val="center"/>
            </w:pPr>
            <w:r>
              <w:rPr>
                <w:rFonts w:eastAsiaTheme="minorEastAsia"/>
                <w:color w:val="000000"/>
                <w:sz w:val="24"/>
              </w:rPr>
              <w:t>11</w:t>
            </w:r>
            <w:r>
              <w:rPr>
                <w:rFonts w:eastAsiaTheme="minorEastAsia"/>
                <w:color w:val="000000"/>
                <w:sz w:val="24"/>
              </w:rPr>
              <w:t>年</w:t>
            </w:r>
          </w:p>
        </w:tc>
        <w:tc>
          <w:tcPr>
            <w:tcW w:w="3276" w:type="dxa"/>
            <w:vAlign w:val="center"/>
          </w:tcPr>
          <w:p w:rsidR="00552AB3" w:rsidRDefault="007F68D1" w:rsidP="00D5654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w:t>
            </w:r>
            <w:bookmarkStart w:id="0" w:name="_GoBack"/>
            <w:bookmarkEnd w:id="0"/>
            <w:r>
              <w:rPr>
                <w:rFonts w:eastAsiaTheme="minorEastAsia"/>
                <w:color w:val="000000"/>
                <w:sz w:val="24"/>
              </w:rPr>
              <w:t>中证环境治理指数分级证券投资基金基金经理。</w:t>
            </w:r>
            <w:r>
              <w:rPr>
                <w:rFonts w:eastAsiaTheme="minorEastAsia"/>
                <w:color w:val="000000"/>
                <w:sz w:val="24"/>
              </w:rPr>
              <w:t>2018</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2020</w:t>
            </w:r>
            <w:r>
              <w:rPr>
                <w:rFonts w:eastAsiaTheme="minorEastAsia"/>
                <w:color w:val="000000"/>
                <w:sz w:val="24"/>
              </w:rPr>
              <w:t>年</w:t>
            </w:r>
            <w:r w:rsidR="00D56541">
              <w:rPr>
                <w:rFonts w:eastAsiaTheme="minorEastAsia"/>
                <w:color w:val="000000"/>
                <w:sz w:val="24"/>
              </w:rPr>
              <w:t>7</w:t>
            </w:r>
            <w:r>
              <w:rPr>
                <w:rFonts w:eastAsiaTheme="minorEastAsia"/>
                <w:color w:val="000000"/>
                <w:sz w:val="24"/>
              </w:rPr>
              <w:t>月</w:t>
            </w:r>
            <w:r w:rsidR="00D56541">
              <w:rPr>
                <w:rFonts w:eastAsiaTheme="minorEastAsia"/>
                <w:color w:val="000000"/>
                <w:sz w:val="24"/>
              </w:rPr>
              <w:t>17</w:t>
            </w:r>
            <w:r>
              <w:rPr>
                <w:rFonts w:eastAsiaTheme="minorEastAsia"/>
                <w:color w:val="000000"/>
                <w:sz w:val="24"/>
              </w:rPr>
              <w:t>日担任交银施罗德致远量化智投策略定期开放混合型证券投资基金的基金经理。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552AB3" w:rsidRDefault="007F68D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2AB3" w:rsidRDefault="007F68D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w:t>
      </w:r>
      <w:r>
        <w:rPr>
          <w:rFonts w:eastAsiaTheme="minorEastAsia"/>
          <w:color w:val="000000"/>
          <w:kern w:val="0"/>
          <w:sz w:val="24"/>
        </w:rPr>
        <w:lastRenderedPageBreak/>
        <w:t>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552AB3" w:rsidRDefault="007F68D1">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552AB3" w:rsidRDefault="007F68D1">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rFonts w:eastAsiaTheme="minorEastAsia"/>
          <w:color w:val="000000"/>
          <w:kern w:val="0"/>
          <w:sz w:val="24"/>
        </w:rPr>
        <w:t>A</w:t>
      </w:r>
      <w:r>
        <w:rPr>
          <w:rFonts w:eastAsiaTheme="minorEastAsia"/>
          <w:color w:val="000000"/>
          <w:kern w:val="0"/>
          <w:sz w:val="24"/>
        </w:rPr>
        <w:t>股市场风险偏好稳步回升，市场点位震荡上行。作为跟踪基准指数的指数基金，二季度基金总体呈现震荡上行的走势。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w:t>
      </w:r>
      <w:r w:rsidRPr="005E324A">
        <w:rPr>
          <w:rFonts w:eastAsiaTheme="minorEastAsia"/>
          <w:color w:val="000000"/>
          <w:kern w:val="0"/>
          <w:sz w:val="24"/>
        </w:rPr>
        <w:lastRenderedPageBreak/>
        <w:t>力点。国内资本市场各项金融改革政策有序推进，创业板注册制细则落地，科创板</w:t>
      </w:r>
      <w:r w:rsidRPr="005E324A">
        <w:rPr>
          <w:rFonts w:eastAsiaTheme="minorEastAsia"/>
          <w:color w:val="000000"/>
          <w:kern w:val="0"/>
          <w:sz w:val="24"/>
        </w:rPr>
        <w:t>50</w:t>
      </w:r>
      <w:r w:rsidRPr="005E324A">
        <w:rPr>
          <w:rFonts w:eastAsiaTheme="minorEastAsia"/>
          <w:color w:val="000000"/>
          <w:kern w:val="0"/>
          <w:sz w:val="24"/>
        </w:rPr>
        <w:t>指数即将发布，同时上证综指编制规则迎来较大调整。这一系列措施有望提振市场信心与情绪，吸引增量资金入场。总体而言，从中长期来看我们对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243,259,685.93</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93.36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243,259,685.93</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93.36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w:t>
            </w:r>
            <w:r w:rsidRPr="00A21501">
              <w:rPr>
                <w:rFonts w:eastAsiaTheme="minorEastAsia"/>
                <w:color w:val="000000" w:themeColor="text1"/>
                <w:sz w:val="24"/>
              </w:rPr>
              <w:lastRenderedPageBreak/>
              <w:t>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lastRenderedPageBreak/>
              <w:t>17,253,106.80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6.62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44,119.25</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260,556,911.98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3A52D2" w:rsidRPr="003A52D2" w:rsidRDefault="003A52D2" w:rsidP="003A52D2">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28,849.60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28,849.60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bl>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lastRenderedPageBreak/>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3,288,370.50</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1.27</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213,032,714.48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82.45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13,207,938.52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5.11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3,258,330.84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6,574,878.54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3,868,603.45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243,230,836.33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94.13</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52AB3">
        <w:tc>
          <w:tcPr>
            <w:tcW w:w="817" w:type="dxa"/>
            <w:vAlign w:val="center"/>
          </w:tcPr>
          <w:p w:rsidR="00552AB3" w:rsidRDefault="007F68D1">
            <w:pPr>
              <w:jc w:val="center"/>
            </w:pPr>
            <w:r>
              <w:rPr>
                <w:rFonts w:eastAsiaTheme="minorEastAsia"/>
                <w:color w:val="000000"/>
                <w:sz w:val="24"/>
              </w:rPr>
              <w:lastRenderedPageBreak/>
              <w:t>1</w:t>
            </w:r>
          </w:p>
        </w:tc>
        <w:tc>
          <w:tcPr>
            <w:tcW w:w="1276" w:type="dxa"/>
            <w:vAlign w:val="center"/>
          </w:tcPr>
          <w:p w:rsidR="00552AB3" w:rsidRDefault="007F68D1">
            <w:pPr>
              <w:jc w:val="center"/>
            </w:pPr>
            <w:r>
              <w:rPr>
                <w:rFonts w:eastAsiaTheme="minorEastAsia"/>
                <w:color w:val="000000"/>
                <w:sz w:val="24"/>
              </w:rPr>
              <w:t>600884</w:t>
            </w:r>
          </w:p>
        </w:tc>
        <w:tc>
          <w:tcPr>
            <w:tcW w:w="1701" w:type="dxa"/>
            <w:vAlign w:val="center"/>
          </w:tcPr>
          <w:p w:rsidR="00552AB3" w:rsidRDefault="007F68D1">
            <w:pPr>
              <w:jc w:val="center"/>
            </w:pPr>
            <w:r>
              <w:rPr>
                <w:rFonts w:eastAsiaTheme="minorEastAsia"/>
                <w:color w:val="000000"/>
                <w:sz w:val="24"/>
              </w:rPr>
              <w:t>杉杉股份</w:t>
            </w:r>
          </w:p>
        </w:tc>
        <w:tc>
          <w:tcPr>
            <w:tcW w:w="1276" w:type="dxa"/>
            <w:vAlign w:val="center"/>
          </w:tcPr>
          <w:p w:rsidR="00552AB3" w:rsidRDefault="007F68D1">
            <w:pPr>
              <w:jc w:val="right"/>
            </w:pPr>
            <w:r>
              <w:rPr>
                <w:rFonts w:eastAsiaTheme="minorEastAsia"/>
                <w:color w:val="000000"/>
                <w:sz w:val="24"/>
              </w:rPr>
              <w:t>381,337</w:t>
            </w:r>
          </w:p>
        </w:tc>
        <w:tc>
          <w:tcPr>
            <w:tcW w:w="1842" w:type="dxa"/>
            <w:vAlign w:val="center"/>
          </w:tcPr>
          <w:p w:rsidR="00552AB3" w:rsidRDefault="007F68D1">
            <w:pPr>
              <w:jc w:val="right"/>
            </w:pPr>
            <w:r>
              <w:rPr>
                <w:rFonts w:eastAsiaTheme="minorEastAsia"/>
                <w:color w:val="000000"/>
                <w:sz w:val="24"/>
              </w:rPr>
              <w:t>4,495,963.23</w:t>
            </w:r>
          </w:p>
        </w:tc>
        <w:tc>
          <w:tcPr>
            <w:tcW w:w="1616" w:type="dxa"/>
            <w:vAlign w:val="center"/>
          </w:tcPr>
          <w:p w:rsidR="00552AB3" w:rsidRDefault="007F68D1">
            <w:pPr>
              <w:jc w:val="right"/>
            </w:pPr>
            <w:r>
              <w:rPr>
                <w:rFonts w:eastAsiaTheme="minorEastAsia"/>
                <w:color w:val="000000"/>
                <w:sz w:val="24"/>
              </w:rPr>
              <w:t>1.74</w:t>
            </w:r>
          </w:p>
        </w:tc>
      </w:tr>
      <w:tr w:rsidR="00552AB3">
        <w:tc>
          <w:tcPr>
            <w:tcW w:w="817" w:type="dxa"/>
            <w:vAlign w:val="center"/>
          </w:tcPr>
          <w:p w:rsidR="00552AB3" w:rsidRDefault="007F68D1">
            <w:pPr>
              <w:jc w:val="center"/>
            </w:pPr>
            <w:r>
              <w:rPr>
                <w:rFonts w:eastAsiaTheme="minorEastAsia"/>
                <w:color w:val="000000"/>
                <w:sz w:val="24"/>
              </w:rPr>
              <w:t>2</w:t>
            </w:r>
          </w:p>
        </w:tc>
        <w:tc>
          <w:tcPr>
            <w:tcW w:w="1276" w:type="dxa"/>
            <w:vAlign w:val="center"/>
          </w:tcPr>
          <w:p w:rsidR="00552AB3" w:rsidRDefault="007F68D1">
            <w:pPr>
              <w:jc w:val="center"/>
            </w:pPr>
            <w:r>
              <w:rPr>
                <w:rFonts w:eastAsiaTheme="minorEastAsia"/>
                <w:color w:val="000000"/>
                <w:sz w:val="24"/>
              </w:rPr>
              <w:t>601012</w:t>
            </w:r>
          </w:p>
        </w:tc>
        <w:tc>
          <w:tcPr>
            <w:tcW w:w="1701" w:type="dxa"/>
            <w:vAlign w:val="center"/>
          </w:tcPr>
          <w:p w:rsidR="00552AB3" w:rsidRDefault="007F68D1">
            <w:pPr>
              <w:jc w:val="center"/>
            </w:pPr>
            <w:r>
              <w:rPr>
                <w:rFonts w:eastAsiaTheme="minorEastAsia"/>
                <w:color w:val="000000"/>
                <w:sz w:val="24"/>
              </w:rPr>
              <w:t>隆基股份</w:t>
            </w:r>
          </w:p>
        </w:tc>
        <w:tc>
          <w:tcPr>
            <w:tcW w:w="1276" w:type="dxa"/>
            <w:vAlign w:val="center"/>
          </w:tcPr>
          <w:p w:rsidR="00552AB3" w:rsidRDefault="007F68D1">
            <w:pPr>
              <w:jc w:val="right"/>
            </w:pPr>
            <w:r>
              <w:rPr>
                <w:rFonts w:eastAsiaTheme="minorEastAsia"/>
                <w:color w:val="000000"/>
                <w:sz w:val="24"/>
              </w:rPr>
              <w:t>103,472</w:t>
            </w:r>
          </w:p>
        </w:tc>
        <w:tc>
          <w:tcPr>
            <w:tcW w:w="1842" w:type="dxa"/>
            <w:vAlign w:val="center"/>
          </w:tcPr>
          <w:p w:rsidR="00552AB3" w:rsidRDefault="007F68D1">
            <w:pPr>
              <w:jc w:val="right"/>
            </w:pPr>
            <w:r>
              <w:rPr>
                <w:rFonts w:eastAsiaTheme="minorEastAsia"/>
                <w:color w:val="000000"/>
                <w:sz w:val="24"/>
              </w:rPr>
              <w:t>4,214,414.56</w:t>
            </w:r>
          </w:p>
        </w:tc>
        <w:tc>
          <w:tcPr>
            <w:tcW w:w="1616" w:type="dxa"/>
            <w:vAlign w:val="center"/>
          </w:tcPr>
          <w:p w:rsidR="00552AB3" w:rsidRDefault="007F68D1">
            <w:pPr>
              <w:jc w:val="right"/>
            </w:pPr>
            <w:r>
              <w:rPr>
                <w:rFonts w:eastAsiaTheme="minorEastAsia"/>
                <w:color w:val="000000"/>
                <w:sz w:val="24"/>
              </w:rPr>
              <w:t>1.63</w:t>
            </w:r>
          </w:p>
        </w:tc>
      </w:tr>
      <w:tr w:rsidR="00552AB3">
        <w:tc>
          <w:tcPr>
            <w:tcW w:w="817" w:type="dxa"/>
            <w:vAlign w:val="center"/>
          </w:tcPr>
          <w:p w:rsidR="00552AB3" w:rsidRDefault="007F68D1">
            <w:pPr>
              <w:jc w:val="center"/>
            </w:pPr>
            <w:r>
              <w:rPr>
                <w:rFonts w:eastAsiaTheme="minorEastAsia"/>
                <w:color w:val="000000"/>
                <w:sz w:val="24"/>
              </w:rPr>
              <w:t>3</w:t>
            </w:r>
          </w:p>
        </w:tc>
        <w:tc>
          <w:tcPr>
            <w:tcW w:w="1276" w:type="dxa"/>
            <w:vAlign w:val="center"/>
          </w:tcPr>
          <w:p w:rsidR="00552AB3" w:rsidRDefault="007F68D1">
            <w:pPr>
              <w:jc w:val="center"/>
            </w:pPr>
            <w:r>
              <w:rPr>
                <w:rFonts w:eastAsiaTheme="minorEastAsia"/>
                <w:color w:val="000000"/>
                <w:sz w:val="24"/>
              </w:rPr>
              <w:t>603806</w:t>
            </w:r>
          </w:p>
        </w:tc>
        <w:tc>
          <w:tcPr>
            <w:tcW w:w="1701" w:type="dxa"/>
            <w:vAlign w:val="center"/>
          </w:tcPr>
          <w:p w:rsidR="00552AB3" w:rsidRDefault="007F68D1">
            <w:pPr>
              <w:jc w:val="center"/>
            </w:pPr>
            <w:r>
              <w:rPr>
                <w:rFonts w:eastAsiaTheme="minorEastAsia"/>
                <w:color w:val="000000"/>
                <w:sz w:val="24"/>
              </w:rPr>
              <w:t>福斯特</w:t>
            </w:r>
          </w:p>
        </w:tc>
        <w:tc>
          <w:tcPr>
            <w:tcW w:w="1276" w:type="dxa"/>
            <w:vAlign w:val="center"/>
          </w:tcPr>
          <w:p w:rsidR="00552AB3" w:rsidRDefault="007F68D1">
            <w:pPr>
              <w:jc w:val="right"/>
            </w:pPr>
            <w:r>
              <w:rPr>
                <w:rFonts w:eastAsiaTheme="minorEastAsia"/>
                <w:color w:val="000000"/>
                <w:sz w:val="24"/>
              </w:rPr>
              <w:t>83,120</w:t>
            </w:r>
          </w:p>
        </w:tc>
        <w:tc>
          <w:tcPr>
            <w:tcW w:w="1842" w:type="dxa"/>
            <w:vAlign w:val="center"/>
          </w:tcPr>
          <w:p w:rsidR="00552AB3" w:rsidRDefault="007F68D1">
            <w:pPr>
              <w:jc w:val="right"/>
            </w:pPr>
            <w:r>
              <w:rPr>
                <w:rFonts w:eastAsiaTheme="minorEastAsia"/>
                <w:color w:val="000000"/>
                <w:sz w:val="24"/>
              </w:rPr>
              <w:t>4,148,519.20</w:t>
            </w:r>
          </w:p>
        </w:tc>
        <w:tc>
          <w:tcPr>
            <w:tcW w:w="1616" w:type="dxa"/>
            <w:vAlign w:val="center"/>
          </w:tcPr>
          <w:p w:rsidR="00552AB3" w:rsidRDefault="007F68D1">
            <w:pPr>
              <w:jc w:val="right"/>
            </w:pPr>
            <w:r>
              <w:rPr>
                <w:rFonts w:eastAsiaTheme="minorEastAsia"/>
                <w:color w:val="000000"/>
                <w:sz w:val="24"/>
              </w:rPr>
              <w:t>1.61</w:t>
            </w:r>
          </w:p>
        </w:tc>
      </w:tr>
      <w:tr w:rsidR="00552AB3">
        <w:tc>
          <w:tcPr>
            <w:tcW w:w="817" w:type="dxa"/>
            <w:vAlign w:val="center"/>
          </w:tcPr>
          <w:p w:rsidR="00552AB3" w:rsidRDefault="007F68D1">
            <w:pPr>
              <w:jc w:val="center"/>
            </w:pPr>
            <w:r>
              <w:rPr>
                <w:rFonts w:eastAsiaTheme="minorEastAsia"/>
                <w:color w:val="000000"/>
                <w:sz w:val="24"/>
              </w:rPr>
              <w:t>4</w:t>
            </w:r>
          </w:p>
        </w:tc>
        <w:tc>
          <w:tcPr>
            <w:tcW w:w="1276" w:type="dxa"/>
            <w:vAlign w:val="center"/>
          </w:tcPr>
          <w:p w:rsidR="00552AB3" w:rsidRDefault="007F68D1">
            <w:pPr>
              <w:jc w:val="center"/>
            </w:pPr>
            <w:r>
              <w:rPr>
                <w:rFonts w:eastAsiaTheme="minorEastAsia"/>
                <w:color w:val="000000"/>
                <w:sz w:val="24"/>
              </w:rPr>
              <w:t>300037</w:t>
            </w:r>
          </w:p>
        </w:tc>
        <w:tc>
          <w:tcPr>
            <w:tcW w:w="1701" w:type="dxa"/>
            <w:vAlign w:val="center"/>
          </w:tcPr>
          <w:p w:rsidR="00552AB3" w:rsidRDefault="007F68D1">
            <w:pPr>
              <w:jc w:val="center"/>
            </w:pPr>
            <w:r>
              <w:rPr>
                <w:rFonts w:eastAsiaTheme="minorEastAsia"/>
                <w:color w:val="000000"/>
                <w:sz w:val="24"/>
              </w:rPr>
              <w:t>新宙邦</w:t>
            </w:r>
          </w:p>
        </w:tc>
        <w:tc>
          <w:tcPr>
            <w:tcW w:w="1276" w:type="dxa"/>
            <w:vAlign w:val="center"/>
          </w:tcPr>
          <w:p w:rsidR="00552AB3" w:rsidRDefault="007F68D1">
            <w:pPr>
              <w:jc w:val="right"/>
            </w:pPr>
            <w:r>
              <w:rPr>
                <w:rFonts w:eastAsiaTheme="minorEastAsia"/>
                <w:color w:val="000000"/>
                <w:sz w:val="24"/>
              </w:rPr>
              <w:t>74,904</w:t>
            </w:r>
          </w:p>
        </w:tc>
        <w:tc>
          <w:tcPr>
            <w:tcW w:w="1842" w:type="dxa"/>
            <w:vAlign w:val="center"/>
          </w:tcPr>
          <w:p w:rsidR="00552AB3" w:rsidRDefault="007F68D1">
            <w:pPr>
              <w:jc w:val="right"/>
            </w:pPr>
            <w:r>
              <w:rPr>
                <w:rFonts w:eastAsiaTheme="minorEastAsia"/>
                <w:color w:val="000000"/>
                <w:sz w:val="24"/>
              </w:rPr>
              <w:t>4,124,214.24</w:t>
            </w:r>
          </w:p>
        </w:tc>
        <w:tc>
          <w:tcPr>
            <w:tcW w:w="1616" w:type="dxa"/>
            <w:vAlign w:val="center"/>
          </w:tcPr>
          <w:p w:rsidR="00552AB3" w:rsidRDefault="007F68D1">
            <w:pPr>
              <w:jc w:val="right"/>
            </w:pPr>
            <w:r>
              <w:rPr>
                <w:rFonts w:eastAsiaTheme="minorEastAsia"/>
                <w:color w:val="000000"/>
                <w:sz w:val="24"/>
              </w:rPr>
              <w:t>1.60</w:t>
            </w:r>
          </w:p>
        </w:tc>
      </w:tr>
      <w:tr w:rsidR="00552AB3">
        <w:tc>
          <w:tcPr>
            <w:tcW w:w="817" w:type="dxa"/>
            <w:vAlign w:val="center"/>
          </w:tcPr>
          <w:p w:rsidR="00552AB3" w:rsidRDefault="007F68D1">
            <w:pPr>
              <w:jc w:val="center"/>
            </w:pPr>
            <w:r>
              <w:rPr>
                <w:rFonts w:eastAsiaTheme="minorEastAsia"/>
                <w:color w:val="000000"/>
                <w:sz w:val="24"/>
              </w:rPr>
              <w:t>5</w:t>
            </w:r>
          </w:p>
        </w:tc>
        <w:tc>
          <w:tcPr>
            <w:tcW w:w="1276" w:type="dxa"/>
            <w:vAlign w:val="center"/>
          </w:tcPr>
          <w:p w:rsidR="00552AB3" w:rsidRDefault="007F68D1">
            <w:pPr>
              <w:jc w:val="center"/>
            </w:pPr>
            <w:r>
              <w:rPr>
                <w:rFonts w:eastAsiaTheme="minorEastAsia"/>
                <w:color w:val="000000"/>
                <w:sz w:val="24"/>
              </w:rPr>
              <w:t>300014</w:t>
            </w:r>
          </w:p>
        </w:tc>
        <w:tc>
          <w:tcPr>
            <w:tcW w:w="1701" w:type="dxa"/>
            <w:vAlign w:val="center"/>
          </w:tcPr>
          <w:p w:rsidR="00552AB3" w:rsidRDefault="007F68D1">
            <w:pPr>
              <w:jc w:val="center"/>
            </w:pPr>
            <w:r>
              <w:rPr>
                <w:rFonts w:eastAsiaTheme="minorEastAsia"/>
                <w:color w:val="000000"/>
                <w:sz w:val="24"/>
              </w:rPr>
              <w:t>亿纬锂能</w:t>
            </w:r>
          </w:p>
        </w:tc>
        <w:tc>
          <w:tcPr>
            <w:tcW w:w="1276" w:type="dxa"/>
            <w:vAlign w:val="center"/>
          </w:tcPr>
          <w:p w:rsidR="00552AB3" w:rsidRDefault="007F68D1">
            <w:pPr>
              <w:jc w:val="right"/>
            </w:pPr>
            <w:r>
              <w:rPr>
                <w:rFonts w:eastAsiaTheme="minorEastAsia"/>
                <w:color w:val="000000"/>
                <w:sz w:val="24"/>
              </w:rPr>
              <w:t>85,109</w:t>
            </w:r>
          </w:p>
        </w:tc>
        <w:tc>
          <w:tcPr>
            <w:tcW w:w="1842" w:type="dxa"/>
            <w:vAlign w:val="center"/>
          </w:tcPr>
          <w:p w:rsidR="00552AB3" w:rsidRDefault="007F68D1">
            <w:pPr>
              <w:jc w:val="right"/>
            </w:pPr>
            <w:r>
              <w:rPr>
                <w:rFonts w:eastAsiaTheme="minorEastAsia"/>
                <w:color w:val="000000"/>
                <w:sz w:val="24"/>
              </w:rPr>
              <w:t>4,072,465.65</w:t>
            </w:r>
          </w:p>
        </w:tc>
        <w:tc>
          <w:tcPr>
            <w:tcW w:w="1616" w:type="dxa"/>
            <w:vAlign w:val="center"/>
          </w:tcPr>
          <w:p w:rsidR="00552AB3" w:rsidRDefault="007F68D1">
            <w:pPr>
              <w:jc w:val="right"/>
            </w:pPr>
            <w:r>
              <w:rPr>
                <w:rFonts w:eastAsiaTheme="minorEastAsia"/>
                <w:color w:val="000000"/>
                <w:sz w:val="24"/>
              </w:rPr>
              <w:t>1.58</w:t>
            </w:r>
          </w:p>
        </w:tc>
      </w:tr>
      <w:tr w:rsidR="00552AB3">
        <w:tc>
          <w:tcPr>
            <w:tcW w:w="817" w:type="dxa"/>
            <w:vAlign w:val="center"/>
          </w:tcPr>
          <w:p w:rsidR="00552AB3" w:rsidRDefault="007F68D1">
            <w:pPr>
              <w:jc w:val="center"/>
            </w:pPr>
            <w:r>
              <w:rPr>
                <w:rFonts w:eastAsiaTheme="minorEastAsia"/>
                <w:color w:val="000000"/>
                <w:sz w:val="24"/>
              </w:rPr>
              <w:t>6</w:t>
            </w:r>
          </w:p>
        </w:tc>
        <w:tc>
          <w:tcPr>
            <w:tcW w:w="1276" w:type="dxa"/>
            <w:vAlign w:val="center"/>
          </w:tcPr>
          <w:p w:rsidR="00552AB3" w:rsidRDefault="007F68D1">
            <w:pPr>
              <w:jc w:val="center"/>
            </w:pPr>
            <w:r>
              <w:rPr>
                <w:rFonts w:eastAsiaTheme="minorEastAsia"/>
                <w:color w:val="000000"/>
                <w:sz w:val="24"/>
              </w:rPr>
              <w:t>300618</w:t>
            </w:r>
          </w:p>
        </w:tc>
        <w:tc>
          <w:tcPr>
            <w:tcW w:w="1701" w:type="dxa"/>
            <w:vAlign w:val="center"/>
          </w:tcPr>
          <w:p w:rsidR="00552AB3" w:rsidRDefault="007F68D1">
            <w:pPr>
              <w:jc w:val="center"/>
            </w:pPr>
            <w:r>
              <w:rPr>
                <w:rFonts w:eastAsiaTheme="minorEastAsia"/>
                <w:color w:val="000000"/>
                <w:sz w:val="24"/>
              </w:rPr>
              <w:t>寒锐钴业</w:t>
            </w:r>
          </w:p>
        </w:tc>
        <w:tc>
          <w:tcPr>
            <w:tcW w:w="1276" w:type="dxa"/>
            <w:vAlign w:val="center"/>
          </w:tcPr>
          <w:p w:rsidR="00552AB3" w:rsidRDefault="007F68D1">
            <w:pPr>
              <w:jc w:val="right"/>
            </w:pPr>
            <w:r>
              <w:rPr>
                <w:rFonts w:eastAsiaTheme="minorEastAsia"/>
                <w:color w:val="000000"/>
                <w:sz w:val="24"/>
              </w:rPr>
              <w:t>64,004</w:t>
            </w:r>
          </w:p>
        </w:tc>
        <w:tc>
          <w:tcPr>
            <w:tcW w:w="1842" w:type="dxa"/>
            <w:vAlign w:val="center"/>
          </w:tcPr>
          <w:p w:rsidR="00552AB3" w:rsidRDefault="007F68D1">
            <w:pPr>
              <w:jc w:val="right"/>
            </w:pPr>
            <w:r>
              <w:rPr>
                <w:rFonts w:eastAsiaTheme="minorEastAsia"/>
                <w:color w:val="000000"/>
                <w:sz w:val="24"/>
              </w:rPr>
              <w:t>3,969,528.08</w:t>
            </w:r>
          </w:p>
        </w:tc>
        <w:tc>
          <w:tcPr>
            <w:tcW w:w="1616" w:type="dxa"/>
            <w:vAlign w:val="center"/>
          </w:tcPr>
          <w:p w:rsidR="00552AB3" w:rsidRDefault="007F68D1">
            <w:pPr>
              <w:jc w:val="right"/>
            </w:pPr>
            <w:r>
              <w:rPr>
                <w:rFonts w:eastAsiaTheme="minorEastAsia"/>
                <w:color w:val="000000"/>
                <w:sz w:val="24"/>
              </w:rPr>
              <w:t>1.54</w:t>
            </w:r>
          </w:p>
        </w:tc>
      </w:tr>
      <w:tr w:rsidR="00552AB3">
        <w:tc>
          <w:tcPr>
            <w:tcW w:w="817" w:type="dxa"/>
            <w:vAlign w:val="center"/>
          </w:tcPr>
          <w:p w:rsidR="00552AB3" w:rsidRDefault="007F68D1">
            <w:pPr>
              <w:jc w:val="center"/>
            </w:pPr>
            <w:r>
              <w:rPr>
                <w:rFonts w:eastAsiaTheme="minorEastAsia"/>
                <w:color w:val="000000"/>
                <w:sz w:val="24"/>
              </w:rPr>
              <w:t>7</w:t>
            </w:r>
          </w:p>
        </w:tc>
        <w:tc>
          <w:tcPr>
            <w:tcW w:w="1276" w:type="dxa"/>
            <w:vAlign w:val="center"/>
          </w:tcPr>
          <w:p w:rsidR="00552AB3" w:rsidRDefault="007F68D1">
            <w:pPr>
              <w:jc w:val="center"/>
            </w:pPr>
            <w:r>
              <w:rPr>
                <w:rFonts w:eastAsiaTheme="minorEastAsia"/>
                <w:color w:val="000000"/>
                <w:sz w:val="24"/>
              </w:rPr>
              <w:t>300274</w:t>
            </w:r>
          </w:p>
        </w:tc>
        <w:tc>
          <w:tcPr>
            <w:tcW w:w="1701" w:type="dxa"/>
            <w:vAlign w:val="center"/>
          </w:tcPr>
          <w:p w:rsidR="00552AB3" w:rsidRDefault="007F68D1">
            <w:pPr>
              <w:jc w:val="center"/>
            </w:pPr>
            <w:r>
              <w:rPr>
                <w:rFonts w:eastAsiaTheme="minorEastAsia"/>
                <w:color w:val="000000"/>
                <w:sz w:val="24"/>
              </w:rPr>
              <w:t>阳光电源</w:t>
            </w:r>
          </w:p>
        </w:tc>
        <w:tc>
          <w:tcPr>
            <w:tcW w:w="1276" w:type="dxa"/>
            <w:vAlign w:val="center"/>
          </w:tcPr>
          <w:p w:rsidR="00552AB3" w:rsidRDefault="007F68D1">
            <w:pPr>
              <w:jc w:val="right"/>
            </w:pPr>
            <w:r>
              <w:rPr>
                <w:rFonts w:eastAsiaTheme="minorEastAsia"/>
                <w:color w:val="000000"/>
                <w:sz w:val="24"/>
              </w:rPr>
              <w:t>275,081</w:t>
            </w:r>
          </w:p>
        </w:tc>
        <w:tc>
          <w:tcPr>
            <w:tcW w:w="1842" w:type="dxa"/>
            <w:vAlign w:val="center"/>
          </w:tcPr>
          <w:p w:rsidR="00552AB3" w:rsidRDefault="007F68D1">
            <w:pPr>
              <w:jc w:val="right"/>
            </w:pPr>
            <w:r>
              <w:rPr>
                <w:rFonts w:eastAsiaTheme="minorEastAsia"/>
                <w:color w:val="000000"/>
                <w:sz w:val="24"/>
              </w:rPr>
              <w:t>3,958,415.59</w:t>
            </w:r>
          </w:p>
        </w:tc>
        <w:tc>
          <w:tcPr>
            <w:tcW w:w="1616" w:type="dxa"/>
            <w:vAlign w:val="center"/>
          </w:tcPr>
          <w:p w:rsidR="00552AB3" w:rsidRDefault="007F68D1">
            <w:pPr>
              <w:jc w:val="right"/>
            </w:pPr>
            <w:r>
              <w:rPr>
                <w:rFonts w:eastAsiaTheme="minorEastAsia"/>
                <w:color w:val="000000"/>
                <w:sz w:val="24"/>
              </w:rPr>
              <w:t>1.53</w:t>
            </w:r>
          </w:p>
        </w:tc>
      </w:tr>
      <w:tr w:rsidR="00552AB3">
        <w:tc>
          <w:tcPr>
            <w:tcW w:w="817" w:type="dxa"/>
            <w:vAlign w:val="center"/>
          </w:tcPr>
          <w:p w:rsidR="00552AB3" w:rsidRDefault="007F68D1">
            <w:pPr>
              <w:jc w:val="center"/>
            </w:pPr>
            <w:r>
              <w:rPr>
                <w:rFonts w:eastAsiaTheme="minorEastAsia"/>
                <w:color w:val="000000"/>
                <w:sz w:val="24"/>
              </w:rPr>
              <w:t>8</w:t>
            </w:r>
          </w:p>
        </w:tc>
        <w:tc>
          <w:tcPr>
            <w:tcW w:w="1276" w:type="dxa"/>
            <w:vAlign w:val="center"/>
          </w:tcPr>
          <w:p w:rsidR="00552AB3" w:rsidRDefault="007F68D1">
            <w:pPr>
              <w:jc w:val="center"/>
            </w:pPr>
            <w:r>
              <w:rPr>
                <w:rFonts w:eastAsiaTheme="minorEastAsia"/>
                <w:color w:val="000000"/>
                <w:sz w:val="24"/>
              </w:rPr>
              <w:t>300724</w:t>
            </w:r>
          </w:p>
        </w:tc>
        <w:tc>
          <w:tcPr>
            <w:tcW w:w="1701" w:type="dxa"/>
            <w:vAlign w:val="center"/>
          </w:tcPr>
          <w:p w:rsidR="00552AB3" w:rsidRDefault="007F68D1">
            <w:pPr>
              <w:jc w:val="center"/>
            </w:pPr>
            <w:r>
              <w:rPr>
                <w:rFonts w:eastAsiaTheme="minorEastAsia"/>
                <w:color w:val="000000"/>
                <w:sz w:val="24"/>
              </w:rPr>
              <w:t>捷佳伟创</w:t>
            </w:r>
          </w:p>
        </w:tc>
        <w:tc>
          <w:tcPr>
            <w:tcW w:w="1276" w:type="dxa"/>
            <w:vAlign w:val="center"/>
          </w:tcPr>
          <w:p w:rsidR="00552AB3" w:rsidRDefault="007F68D1">
            <w:pPr>
              <w:jc w:val="right"/>
            </w:pPr>
            <w:r>
              <w:rPr>
                <w:rFonts w:eastAsiaTheme="minorEastAsia"/>
                <w:color w:val="000000"/>
                <w:sz w:val="24"/>
              </w:rPr>
              <w:t>44,600</w:t>
            </w:r>
          </w:p>
        </w:tc>
        <w:tc>
          <w:tcPr>
            <w:tcW w:w="1842" w:type="dxa"/>
            <w:vAlign w:val="center"/>
          </w:tcPr>
          <w:p w:rsidR="00552AB3" w:rsidRDefault="007F68D1">
            <w:pPr>
              <w:jc w:val="right"/>
            </w:pPr>
            <w:r>
              <w:rPr>
                <w:rFonts w:eastAsiaTheme="minorEastAsia"/>
                <w:color w:val="000000"/>
                <w:sz w:val="24"/>
              </w:rPr>
              <w:t>3,948,438.00</w:t>
            </w:r>
          </w:p>
        </w:tc>
        <w:tc>
          <w:tcPr>
            <w:tcW w:w="1616" w:type="dxa"/>
            <w:vAlign w:val="center"/>
          </w:tcPr>
          <w:p w:rsidR="00552AB3" w:rsidRDefault="007F68D1">
            <w:pPr>
              <w:jc w:val="right"/>
            </w:pPr>
            <w:r>
              <w:rPr>
                <w:rFonts w:eastAsiaTheme="minorEastAsia"/>
                <w:color w:val="000000"/>
                <w:sz w:val="24"/>
              </w:rPr>
              <w:t>1.53</w:t>
            </w:r>
          </w:p>
        </w:tc>
      </w:tr>
      <w:tr w:rsidR="00552AB3">
        <w:tc>
          <w:tcPr>
            <w:tcW w:w="817" w:type="dxa"/>
            <w:vAlign w:val="center"/>
          </w:tcPr>
          <w:p w:rsidR="00552AB3" w:rsidRDefault="007F68D1">
            <w:pPr>
              <w:jc w:val="center"/>
            </w:pPr>
            <w:r>
              <w:rPr>
                <w:rFonts w:eastAsiaTheme="minorEastAsia"/>
                <w:color w:val="000000"/>
                <w:sz w:val="24"/>
              </w:rPr>
              <w:t>9</w:t>
            </w:r>
          </w:p>
        </w:tc>
        <w:tc>
          <w:tcPr>
            <w:tcW w:w="1276" w:type="dxa"/>
            <w:vAlign w:val="center"/>
          </w:tcPr>
          <w:p w:rsidR="00552AB3" w:rsidRDefault="007F68D1">
            <w:pPr>
              <w:jc w:val="center"/>
            </w:pPr>
            <w:r>
              <w:rPr>
                <w:rFonts w:eastAsiaTheme="minorEastAsia"/>
                <w:color w:val="000000"/>
                <w:sz w:val="24"/>
              </w:rPr>
              <w:t>600438</w:t>
            </w:r>
          </w:p>
        </w:tc>
        <w:tc>
          <w:tcPr>
            <w:tcW w:w="1701" w:type="dxa"/>
            <w:vAlign w:val="center"/>
          </w:tcPr>
          <w:p w:rsidR="00552AB3" w:rsidRDefault="007F68D1">
            <w:pPr>
              <w:jc w:val="center"/>
            </w:pPr>
            <w:r>
              <w:rPr>
                <w:rFonts w:eastAsiaTheme="minorEastAsia"/>
                <w:color w:val="000000"/>
                <w:sz w:val="24"/>
              </w:rPr>
              <w:t>通威股份</w:t>
            </w:r>
          </w:p>
        </w:tc>
        <w:tc>
          <w:tcPr>
            <w:tcW w:w="1276" w:type="dxa"/>
            <w:vAlign w:val="center"/>
          </w:tcPr>
          <w:p w:rsidR="00552AB3" w:rsidRDefault="007F68D1">
            <w:pPr>
              <w:jc w:val="right"/>
            </w:pPr>
            <w:r>
              <w:rPr>
                <w:rFonts w:eastAsiaTheme="minorEastAsia"/>
                <w:color w:val="000000"/>
                <w:sz w:val="24"/>
              </w:rPr>
              <w:t>223,304</w:t>
            </w:r>
          </w:p>
        </w:tc>
        <w:tc>
          <w:tcPr>
            <w:tcW w:w="1842" w:type="dxa"/>
            <w:vAlign w:val="center"/>
          </w:tcPr>
          <w:p w:rsidR="00552AB3" w:rsidRDefault="007F68D1">
            <w:pPr>
              <w:jc w:val="right"/>
            </w:pPr>
            <w:r>
              <w:rPr>
                <w:rFonts w:eastAsiaTheme="minorEastAsia"/>
                <w:color w:val="000000"/>
                <w:sz w:val="24"/>
              </w:rPr>
              <w:t>3,881,023.52</w:t>
            </w:r>
          </w:p>
        </w:tc>
        <w:tc>
          <w:tcPr>
            <w:tcW w:w="1616" w:type="dxa"/>
            <w:vAlign w:val="center"/>
          </w:tcPr>
          <w:p w:rsidR="00552AB3" w:rsidRDefault="007F68D1">
            <w:pPr>
              <w:jc w:val="right"/>
            </w:pPr>
            <w:r>
              <w:rPr>
                <w:rFonts w:eastAsiaTheme="minorEastAsia"/>
                <w:color w:val="000000"/>
                <w:sz w:val="24"/>
              </w:rPr>
              <w:t>1.50</w:t>
            </w:r>
          </w:p>
        </w:tc>
      </w:tr>
      <w:tr w:rsidR="00552AB3">
        <w:tc>
          <w:tcPr>
            <w:tcW w:w="817" w:type="dxa"/>
            <w:vAlign w:val="center"/>
          </w:tcPr>
          <w:p w:rsidR="00552AB3" w:rsidRDefault="007F68D1">
            <w:pPr>
              <w:jc w:val="center"/>
            </w:pPr>
            <w:r>
              <w:rPr>
                <w:rFonts w:eastAsiaTheme="minorEastAsia"/>
                <w:color w:val="000000"/>
                <w:sz w:val="24"/>
              </w:rPr>
              <w:t>10</w:t>
            </w:r>
          </w:p>
        </w:tc>
        <w:tc>
          <w:tcPr>
            <w:tcW w:w="1276" w:type="dxa"/>
            <w:vAlign w:val="center"/>
          </w:tcPr>
          <w:p w:rsidR="00552AB3" w:rsidRDefault="007F68D1">
            <w:pPr>
              <w:jc w:val="center"/>
            </w:pPr>
            <w:r>
              <w:rPr>
                <w:rFonts w:eastAsiaTheme="minorEastAsia"/>
                <w:color w:val="000000"/>
                <w:sz w:val="24"/>
              </w:rPr>
              <w:t>000009</w:t>
            </w:r>
          </w:p>
        </w:tc>
        <w:tc>
          <w:tcPr>
            <w:tcW w:w="1701" w:type="dxa"/>
            <w:vAlign w:val="center"/>
          </w:tcPr>
          <w:p w:rsidR="00552AB3" w:rsidRDefault="007F68D1">
            <w:pPr>
              <w:jc w:val="center"/>
            </w:pPr>
            <w:r>
              <w:rPr>
                <w:rFonts w:eastAsiaTheme="minorEastAsia"/>
                <w:color w:val="000000"/>
                <w:sz w:val="24"/>
              </w:rPr>
              <w:t>中国宝安</w:t>
            </w:r>
          </w:p>
        </w:tc>
        <w:tc>
          <w:tcPr>
            <w:tcW w:w="1276" w:type="dxa"/>
            <w:vAlign w:val="center"/>
          </w:tcPr>
          <w:p w:rsidR="00552AB3" w:rsidRDefault="007F68D1">
            <w:pPr>
              <w:jc w:val="right"/>
            </w:pPr>
            <w:r>
              <w:rPr>
                <w:rFonts w:eastAsiaTheme="minorEastAsia"/>
                <w:color w:val="000000"/>
                <w:sz w:val="24"/>
              </w:rPr>
              <w:t>454,595</w:t>
            </w:r>
          </w:p>
        </w:tc>
        <w:tc>
          <w:tcPr>
            <w:tcW w:w="1842" w:type="dxa"/>
            <w:vAlign w:val="center"/>
          </w:tcPr>
          <w:p w:rsidR="00552AB3" w:rsidRDefault="007F68D1">
            <w:pPr>
              <w:jc w:val="right"/>
            </w:pPr>
            <w:r>
              <w:rPr>
                <w:rFonts w:eastAsiaTheme="minorEastAsia"/>
                <w:color w:val="000000"/>
                <w:sz w:val="24"/>
              </w:rPr>
              <w:t>3,868,603.45</w:t>
            </w:r>
          </w:p>
        </w:tc>
        <w:tc>
          <w:tcPr>
            <w:tcW w:w="1616" w:type="dxa"/>
            <w:vAlign w:val="center"/>
          </w:tcPr>
          <w:p w:rsidR="00552AB3" w:rsidRDefault="007F68D1">
            <w:pPr>
              <w:jc w:val="right"/>
            </w:pPr>
            <w:r>
              <w:rPr>
                <w:rFonts w:eastAsiaTheme="minorEastAsia"/>
                <w:color w:val="000000"/>
                <w:sz w:val="24"/>
              </w:rPr>
              <w:t>1.50</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52AB3">
        <w:tc>
          <w:tcPr>
            <w:tcW w:w="817" w:type="dxa"/>
            <w:vAlign w:val="center"/>
          </w:tcPr>
          <w:p w:rsidR="00552AB3" w:rsidRDefault="007F68D1">
            <w:pPr>
              <w:jc w:val="center"/>
            </w:pPr>
            <w:r>
              <w:rPr>
                <w:rFonts w:eastAsiaTheme="minorEastAsia"/>
                <w:color w:val="000000"/>
                <w:sz w:val="24"/>
              </w:rPr>
              <w:t>1</w:t>
            </w:r>
          </w:p>
        </w:tc>
        <w:tc>
          <w:tcPr>
            <w:tcW w:w="1276" w:type="dxa"/>
            <w:vAlign w:val="center"/>
          </w:tcPr>
          <w:p w:rsidR="00552AB3" w:rsidRDefault="007F68D1">
            <w:pPr>
              <w:jc w:val="center"/>
            </w:pPr>
            <w:r>
              <w:rPr>
                <w:rFonts w:eastAsiaTheme="minorEastAsia"/>
                <w:color w:val="000000"/>
                <w:sz w:val="24"/>
              </w:rPr>
              <w:t>300772</w:t>
            </w:r>
          </w:p>
        </w:tc>
        <w:tc>
          <w:tcPr>
            <w:tcW w:w="1701" w:type="dxa"/>
            <w:vAlign w:val="center"/>
          </w:tcPr>
          <w:p w:rsidR="00552AB3" w:rsidRDefault="007F68D1">
            <w:pPr>
              <w:jc w:val="center"/>
            </w:pPr>
            <w:r>
              <w:rPr>
                <w:rFonts w:eastAsiaTheme="minorEastAsia"/>
                <w:color w:val="000000"/>
                <w:sz w:val="24"/>
              </w:rPr>
              <w:t>运达股份</w:t>
            </w:r>
          </w:p>
        </w:tc>
        <w:tc>
          <w:tcPr>
            <w:tcW w:w="1276" w:type="dxa"/>
            <w:vAlign w:val="center"/>
          </w:tcPr>
          <w:p w:rsidR="00552AB3" w:rsidRDefault="007F68D1">
            <w:pPr>
              <w:jc w:val="right"/>
            </w:pPr>
            <w:r>
              <w:rPr>
                <w:rFonts w:eastAsiaTheme="minorEastAsia"/>
                <w:color w:val="000000"/>
                <w:sz w:val="24"/>
              </w:rPr>
              <w:t>2,336</w:t>
            </w:r>
          </w:p>
        </w:tc>
        <w:tc>
          <w:tcPr>
            <w:tcW w:w="1842" w:type="dxa"/>
            <w:vAlign w:val="center"/>
          </w:tcPr>
          <w:p w:rsidR="00552AB3" w:rsidRDefault="007F68D1">
            <w:pPr>
              <w:jc w:val="right"/>
            </w:pPr>
            <w:r>
              <w:rPr>
                <w:rFonts w:eastAsiaTheme="minorEastAsia"/>
                <w:color w:val="000000"/>
                <w:sz w:val="24"/>
              </w:rPr>
              <w:t>28,849.60</w:t>
            </w:r>
          </w:p>
        </w:tc>
        <w:tc>
          <w:tcPr>
            <w:tcW w:w="1616" w:type="dxa"/>
            <w:vAlign w:val="center"/>
          </w:tcPr>
          <w:p w:rsidR="00552AB3" w:rsidRDefault="007F68D1">
            <w:pPr>
              <w:jc w:val="right"/>
            </w:pPr>
            <w:r>
              <w:rPr>
                <w:rFonts w:eastAsiaTheme="minorEastAsia"/>
                <w:color w:val="000000"/>
                <w:sz w:val="24"/>
              </w:rPr>
              <w:t>0.01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a"/>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14,759.97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3,136.13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26,223.15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44,119.25</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lastRenderedPageBreak/>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210,318,047.69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17,283,874.00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17,283,874.00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844,342.25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18,183,905.92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3,588,886.00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-1,794,443.00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-1,794,443.00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196,567,370.02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15,489,431.00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15,489,431.00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552AB3" w:rsidRDefault="007F68D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E3" w:rsidRDefault="00743EE3">
      <w:r>
        <w:separator/>
      </w:r>
    </w:p>
  </w:endnote>
  <w:endnote w:type="continuationSeparator" w:id="0">
    <w:p w:rsidR="00743EE3" w:rsidRDefault="0074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66" w:rsidRDefault="005278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A3" w:rsidRPr="001D0DB0" w:rsidRDefault="003A4DA3" w:rsidP="00230A66">
    <w:pPr>
      <w:pStyle w:val="a7"/>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66" w:rsidRDefault="005278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A3" w:rsidRDefault="00BC7B74">
    <w:pPr>
      <w:pStyle w:val="a7"/>
      <w:framePr w:wrap="around" w:vAnchor="text" w:hAnchor="margin" w:xAlign="center" w:y="1"/>
      <w:rPr>
        <w:rStyle w:val="a8"/>
      </w:rPr>
    </w:pPr>
    <w:r>
      <w:rPr>
        <w:rStyle w:val="a8"/>
      </w:rPr>
      <w:fldChar w:fldCharType="begin"/>
    </w:r>
    <w:r w:rsidR="003A4DA3">
      <w:rPr>
        <w:rStyle w:val="a8"/>
      </w:rPr>
      <w:instrText xml:space="preserve">PAGE  </w:instrText>
    </w:r>
    <w:r>
      <w:rPr>
        <w:rStyle w:val="a8"/>
      </w:rPr>
      <w:fldChar w:fldCharType="end"/>
    </w:r>
  </w:p>
  <w:p w:rsidR="003A4DA3" w:rsidRDefault="003A4DA3">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A3" w:rsidRDefault="00BC7B74">
    <w:pPr>
      <w:pStyle w:val="a7"/>
      <w:framePr w:wrap="around" w:vAnchor="text" w:hAnchor="margin" w:xAlign="center" w:y="1"/>
      <w:rPr>
        <w:rStyle w:val="a8"/>
      </w:rPr>
    </w:pPr>
    <w:r>
      <w:rPr>
        <w:rStyle w:val="a8"/>
      </w:rPr>
      <w:fldChar w:fldCharType="begin"/>
    </w:r>
    <w:r w:rsidR="003A4DA3">
      <w:rPr>
        <w:rStyle w:val="a8"/>
      </w:rPr>
      <w:instrText xml:space="preserve">PAGE  </w:instrText>
    </w:r>
    <w:r>
      <w:rPr>
        <w:rStyle w:val="a8"/>
      </w:rPr>
      <w:fldChar w:fldCharType="separate"/>
    </w:r>
    <w:r w:rsidR="00D56541">
      <w:rPr>
        <w:rStyle w:val="a8"/>
        <w:noProof/>
      </w:rPr>
      <w:t>6</w:t>
    </w:r>
    <w:r>
      <w:rPr>
        <w:rStyle w:val="a8"/>
      </w:rPr>
      <w:fldChar w:fldCharType="end"/>
    </w:r>
  </w:p>
  <w:p w:rsidR="003A4DA3" w:rsidRDefault="003A4D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E3" w:rsidRDefault="00743EE3">
      <w:r>
        <w:separator/>
      </w:r>
    </w:p>
  </w:footnote>
  <w:footnote w:type="continuationSeparator" w:id="0">
    <w:p w:rsidR="00743EE3" w:rsidRDefault="0074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66" w:rsidRDefault="0052786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A3" w:rsidRPr="00527866" w:rsidRDefault="00527866" w:rsidP="00527866">
    <w:pPr>
      <w:pStyle w:val="aa"/>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66" w:rsidRDefault="0052786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2AB3"/>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3EE3"/>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68D1"/>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5654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396ACEB"/>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7">
    <w:name w:val="footer"/>
    <w:basedOn w:val="a"/>
    <w:rsid w:val="00C12898"/>
    <w:pPr>
      <w:tabs>
        <w:tab w:val="center" w:pos="4153"/>
        <w:tab w:val="right" w:pos="8306"/>
      </w:tabs>
      <w:snapToGrid w:val="0"/>
      <w:jc w:val="left"/>
    </w:pPr>
    <w:rPr>
      <w:sz w:val="18"/>
      <w:szCs w:val="18"/>
    </w:rPr>
  </w:style>
  <w:style w:type="character" w:styleId="a8">
    <w:name w:val="page number"/>
    <w:basedOn w:val="a1"/>
    <w:rsid w:val="00C12898"/>
  </w:style>
  <w:style w:type="character" w:styleId="a9">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a">
    <w:name w:val="header"/>
    <w:basedOn w:val="a"/>
    <w:link w:val="ab"/>
    <w:uiPriority w:val="99"/>
    <w:rsid w:val="00C12898"/>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C12898"/>
    <w:rPr>
      <w:color w:val="800080"/>
      <w:u w:val="single"/>
    </w:rPr>
  </w:style>
  <w:style w:type="paragraph" w:styleId="ad">
    <w:name w:val="List"/>
    <w:basedOn w:val="ae"/>
    <w:rsid w:val="00C12898"/>
    <w:pPr>
      <w:spacing w:after="220" w:line="220" w:lineRule="atLeast"/>
      <w:ind w:left="1440" w:hanging="360"/>
    </w:pPr>
    <w:rPr>
      <w:szCs w:val="20"/>
    </w:rPr>
  </w:style>
  <w:style w:type="paragraph" w:styleId="ae">
    <w:name w:val="Body Text"/>
    <w:basedOn w:val="a"/>
    <w:rsid w:val="00C12898"/>
    <w:pPr>
      <w:spacing w:after="120"/>
    </w:pPr>
  </w:style>
  <w:style w:type="paragraph" w:styleId="af">
    <w:name w:val="Date"/>
    <w:basedOn w:val="a"/>
    <w:next w:val="a"/>
    <w:link w:val="af0"/>
    <w:rsid w:val="00C12898"/>
    <w:rPr>
      <w:sz w:val="24"/>
      <w:szCs w:val="20"/>
    </w:rPr>
  </w:style>
  <w:style w:type="character" w:customStyle="1" w:styleId="c1">
    <w:name w:val="c1"/>
    <w:basedOn w:val="a1"/>
    <w:rsid w:val="00C12898"/>
    <w:rPr>
      <w:color w:val="000000"/>
      <w:sz w:val="18"/>
      <w:szCs w:val="18"/>
    </w:rPr>
  </w:style>
  <w:style w:type="paragraph" w:styleId="11">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C12898"/>
    <w:rPr>
      <w:sz w:val="18"/>
      <w:szCs w:val="18"/>
    </w:rPr>
  </w:style>
  <w:style w:type="character" w:styleId="af2">
    <w:name w:val="annotation reference"/>
    <w:basedOn w:val="a1"/>
    <w:semiHidden/>
    <w:rsid w:val="00C12898"/>
    <w:rPr>
      <w:sz w:val="21"/>
      <w:szCs w:val="21"/>
    </w:rPr>
  </w:style>
  <w:style w:type="paragraph" w:styleId="af3">
    <w:name w:val="annotation text"/>
    <w:basedOn w:val="a"/>
    <w:semiHidden/>
    <w:rsid w:val="00C12898"/>
    <w:pPr>
      <w:jc w:val="left"/>
    </w:pPr>
  </w:style>
  <w:style w:type="paragraph" w:styleId="af4">
    <w:name w:val="annotation subject"/>
    <w:basedOn w:val="af3"/>
    <w:next w:val="af3"/>
    <w:semiHidden/>
    <w:rsid w:val="00C12898"/>
    <w:rPr>
      <w:b/>
      <w:bCs/>
    </w:rPr>
  </w:style>
  <w:style w:type="paragraph" w:customStyle="1" w:styleId="Char">
    <w:name w:val="Char"/>
    <w:basedOn w:val="a"/>
    <w:rsid w:val="00C12898"/>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FB572A"/>
    <w:rPr>
      <w:kern w:val="2"/>
      <w:sz w:val="18"/>
      <w:szCs w:val="18"/>
    </w:rPr>
  </w:style>
  <w:style w:type="character" w:customStyle="1" w:styleId="10">
    <w:name w:val="标题 1 字符"/>
    <w:basedOn w:val="a1"/>
    <w:link w:val="1"/>
    <w:uiPriority w:val="99"/>
    <w:rsid w:val="00FD1E02"/>
    <w:rPr>
      <w:b/>
      <w:bCs/>
      <w:kern w:val="44"/>
      <w:sz w:val="44"/>
      <w:szCs w:val="44"/>
    </w:rPr>
  </w:style>
  <w:style w:type="paragraph" w:styleId="HTML">
    <w:name w:val="HTML Preformatted"/>
    <w:basedOn w:val="a"/>
    <w:link w:val="HTML0"/>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634900"/>
    <w:rPr>
      <w:rFonts w:ascii="宋体" w:hAnsi="宋体" w:cs="宋体"/>
      <w:sz w:val="24"/>
      <w:szCs w:val="24"/>
    </w:rPr>
  </w:style>
  <w:style w:type="character" w:customStyle="1" w:styleId="af0">
    <w:name w:val="日期 字符"/>
    <w:basedOn w:val="a1"/>
    <w:link w:val="af"/>
    <w:rsid w:val="00F27C38"/>
    <w:rPr>
      <w:kern w:val="2"/>
      <w:sz w:val="24"/>
    </w:rPr>
  </w:style>
  <w:style w:type="character" w:styleId="afb">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15</Pages>
  <Words>1203</Words>
  <Characters>6862</Characters>
  <Application>Microsoft Office Word</Application>
  <DocSecurity>0</DocSecurity>
  <Lines>57</Lines>
  <Paragraphs>16</Paragraphs>
  <ScaleCrop>false</ScaleCrop>
  <Company>TRT. Ltd. Co.</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时长璐</cp:lastModifiedBy>
  <cp:revision>207</cp:revision>
  <cp:lastPrinted>2007-07-19T00:46:00Z</cp:lastPrinted>
  <dcterms:created xsi:type="dcterms:W3CDTF">2012-11-28T02:28:00Z</dcterms:created>
  <dcterms:modified xsi:type="dcterms:W3CDTF">2020-07-17T05:27:00Z</dcterms:modified>
</cp:coreProperties>
</file>