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交银施罗德消费新驱动股票型证券投资基金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2015年7月1日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294,817,260.62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85%×中证内地消费主题指数+15%×中证综合债券指数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41,720,047.40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95,870,598.94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0.3817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388,369,416.13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39.37%</w:t>
            </w:r>
          </w:p>
        </w:tc>
        <w:tc>
          <w:tcPr>
            <w:vAlign w:val="center"/>
          </w:tcPr>
          <w:p>
            <w:pPr>
              <w:jc w:val="center"/>
            </w:pPr>
            <w:r>
              <w:rPr>
                <w:color w:val="000000"/>
                <w:sz w:val="24"/>
                <w:szCs w:val="24"/>
              </w:rPr>
              <w:t>1.14%</w:t>
            </w:r>
          </w:p>
        </w:tc>
        <w:tc>
          <w:tcPr>
            <w:vAlign w:val="center"/>
          </w:tcPr>
          <w:p>
            <w:pPr>
              <w:jc w:val="center"/>
            </w:pPr>
            <w:r>
              <w:rPr>
                <w:color w:val="000000"/>
                <w:sz w:val="24"/>
                <w:szCs w:val="24"/>
              </w:rPr>
              <w:t>17.38%</w:t>
            </w:r>
          </w:p>
        </w:tc>
        <w:tc>
          <w:tcPr>
            <w:vAlign w:val="center"/>
          </w:tcPr>
          <w:p>
            <w:pPr>
              <w:jc w:val="center"/>
            </w:pPr>
            <w:r>
              <w:rPr>
                <w:color w:val="000000"/>
                <w:sz w:val="24"/>
                <w:szCs w:val="24"/>
              </w:rPr>
              <w:t>0.91%</w:t>
            </w:r>
          </w:p>
        </w:tc>
        <w:tc>
          <w:tcPr>
            <w:vAlign w:val="center"/>
          </w:tcPr>
          <w:p>
            <w:pPr>
              <w:jc w:val="center"/>
            </w:pPr>
            <w:r>
              <w:rPr>
                <w:color w:val="000000"/>
                <w:sz w:val="24"/>
                <w:szCs w:val="24"/>
              </w:rPr>
              <w:t>21.99%</w:t>
            </w:r>
          </w:p>
        </w:tc>
        <w:tc>
          <w:tcPr>
            <w:vAlign w:val="center"/>
          </w:tcPr>
          <w:p>
            <w:pPr>
              <w:jc w:val="center"/>
            </w:pPr>
            <w:r>
              <w:rPr>
                <w:color w:val="000000"/>
                <w:sz w:val="24"/>
                <w:szCs w:val="24"/>
              </w:rPr>
              <w:t>0.23%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33.30%</w:t>
            </w:r>
          </w:p>
        </w:tc>
        <w:tc>
          <w:tcPr>
            <w:vAlign w:val="center"/>
          </w:tcPr>
          <w:p>
            <w:pPr>
              <w:jc w:val="center"/>
            </w:pPr>
            <w:r>
              <w:rPr>
                <w:color w:val="000000"/>
                <w:sz w:val="24"/>
                <w:szCs w:val="24"/>
              </w:rPr>
              <w:t>1.63%</w:t>
            </w:r>
          </w:p>
        </w:tc>
        <w:tc>
          <w:tcPr>
            <w:vAlign w:val="center"/>
          </w:tcPr>
          <w:p>
            <w:pPr>
              <w:jc w:val="center"/>
            </w:pPr>
            <w:r>
              <w:rPr>
                <w:color w:val="000000"/>
                <w:sz w:val="24"/>
                <w:szCs w:val="24"/>
              </w:rPr>
              <w:t>10.49%</w:t>
            </w:r>
          </w:p>
        </w:tc>
        <w:tc>
          <w:tcPr>
            <w:vAlign w:val="center"/>
          </w:tcPr>
          <w:p>
            <w:pPr>
              <w:jc w:val="center"/>
            </w:pPr>
            <w:r>
              <w:rPr>
                <w:color w:val="000000"/>
                <w:sz w:val="24"/>
                <w:szCs w:val="24"/>
              </w:rPr>
              <w:t>1.45%</w:t>
            </w:r>
          </w:p>
        </w:tc>
        <w:tc>
          <w:tcPr>
            <w:vAlign w:val="center"/>
          </w:tcPr>
          <w:p>
            <w:pPr>
              <w:jc w:val="center"/>
            </w:pPr>
            <w:r>
              <w:rPr>
                <w:color w:val="000000"/>
                <w:sz w:val="24"/>
                <w:szCs w:val="24"/>
              </w:rPr>
              <w:t>22.81%</w:t>
            </w:r>
          </w:p>
        </w:tc>
        <w:tc>
          <w:tcPr>
            <w:vAlign w:val="center"/>
          </w:tcPr>
          <w:p>
            <w:pPr>
              <w:jc w:val="center"/>
            </w:pPr>
            <w:r>
              <w:rPr>
                <w:color w:val="000000"/>
                <w:sz w:val="24"/>
                <w:szCs w:val="24"/>
              </w:rPr>
              <w:t>0.18%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38.98%</w:t>
            </w:r>
          </w:p>
        </w:tc>
        <w:tc>
          <w:tcPr>
            <w:vAlign w:val="center"/>
          </w:tcPr>
          <w:p>
            <w:pPr>
              <w:jc w:val="center"/>
            </w:pPr>
            <w:r>
              <w:rPr>
                <w:color w:val="000000"/>
                <w:sz w:val="24"/>
                <w:szCs w:val="24"/>
              </w:rPr>
              <w:t>1.37%</w:t>
            </w:r>
          </w:p>
        </w:tc>
        <w:tc>
          <w:tcPr>
            <w:vAlign w:val="center"/>
          </w:tcPr>
          <w:p>
            <w:pPr>
              <w:jc w:val="center"/>
            </w:pPr>
            <w:r>
              <w:rPr>
                <w:color w:val="000000"/>
                <w:sz w:val="24"/>
                <w:szCs w:val="24"/>
              </w:rPr>
              <w:t>19.74%</w:t>
            </w:r>
          </w:p>
        </w:tc>
        <w:tc>
          <w:tcPr>
            <w:vAlign w:val="center"/>
          </w:tcPr>
          <w:p>
            <w:pPr>
              <w:jc w:val="center"/>
            </w:pPr>
            <w:r>
              <w:rPr>
                <w:color w:val="000000"/>
                <w:sz w:val="24"/>
                <w:szCs w:val="24"/>
              </w:rPr>
              <w:t>1.18%</w:t>
            </w:r>
          </w:p>
        </w:tc>
        <w:tc>
          <w:tcPr>
            <w:vAlign w:val="center"/>
          </w:tcPr>
          <w:p>
            <w:pPr>
              <w:jc w:val="center"/>
            </w:pPr>
            <w:r>
              <w:rPr>
                <w:color w:val="000000"/>
                <w:sz w:val="24"/>
                <w:szCs w:val="24"/>
              </w:rPr>
              <w:t>19.24%</w:t>
            </w:r>
          </w:p>
        </w:tc>
        <w:tc>
          <w:tcPr>
            <w:vAlign w:val="center"/>
          </w:tcPr>
          <w:p>
            <w:pPr>
              <w:jc w:val="center"/>
            </w:pPr>
            <w:r>
              <w:rPr>
                <w:color w:val="000000"/>
                <w:sz w:val="24"/>
                <w:szCs w:val="24"/>
              </w:rPr>
              <w:t>0.19%</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77.27%</w:t>
            </w:r>
          </w:p>
        </w:tc>
        <w:tc>
          <w:tcPr>
            <w:vAlign w:val="center"/>
          </w:tcPr>
          <w:p>
            <w:pPr>
              <w:jc w:val="center"/>
            </w:pPr>
            <w:r>
              <w:rPr>
                <w:color w:val="000000"/>
                <w:sz w:val="24"/>
                <w:szCs w:val="24"/>
              </w:rPr>
              <w:t>1.37%</w:t>
            </w:r>
          </w:p>
        </w:tc>
        <w:tc>
          <w:tcPr>
            <w:vAlign w:val="center"/>
          </w:tcPr>
          <w:p>
            <w:pPr>
              <w:jc w:val="center"/>
            </w:pPr>
            <w:r>
              <w:rPr>
                <w:color w:val="000000"/>
                <w:sz w:val="24"/>
                <w:szCs w:val="24"/>
              </w:rPr>
              <w:t>47.57%</w:t>
            </w:r>
          </w:p>
        </w:tc>
        <w:tc>
          <w:tcPr>
            <w:vAlign w:val="center"/>
          </w:tcPr>
          <w:p>
            <w:pPr>
              <w:jc w:val="center"/>
            </w:pPr>
            <w:r>
              <w:rPr>
                <w:color w:val="000000"/>
                <w:sz w:val="24"/>
                <w:szCs w:val="24"/>
              </w:rPr>
              <w:t>1.29%</w:t>
            </w:r>
          </w:p>
        </w:tc>
        <w:tc>
          <w:tcPr>
            <w:vAlign w:val="center"/>
          </w:tcPr>
          <w:p>
            <w:pPr>
              <w:jc w:val="center"/>
            </w:pPr>
            <w:r>
              <w:rPr>
                <w:color w:val="000000"/>
                <w:sz w:val="24"/>
                <w:szCs w:val="24"/>
              </w:rPr>
              <w:t>29.70%</w:t>
            </w:r>
          </w:p>
        </w:tc>
        <w:tc>
          <w:tcPr>
            <w:vAlign w:val="center"/>
          </w:tcPr>
          <w:p>
            <w:pPr>
              <w:jc w:val="center"/>
            </w:pPr>
            <w:r>
              <w:rPr>
                <w:color w:val="000000"/>
                <w:sz w:val="24"/>
                <w:szCs w:val="24"/>
              </w:rPr>
              <w:t>0.08%</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101.14%</w:t>
            </w:r>
          </w:p>
        </w:tc>
        <w:tc>
          <w:tcPr>
            <w:vAlign w:val="center"/>
          </w:tcPr>
          <w:p>
            <w:pPr>
              <w:jc w:val="center"/>
            </w:pPr>
            <w:r>
              <w:rPr>
                <w:color w:val="000000"/>
                <w:sz w:val="24"/>
                <w:szCs w:val="24"/>
              </w:rPr>
              <w:t>1.35%</w:t>
            </w:r>
          </w:p>
        </w:tc>
        <w:tc>
          <w:tcPr>
            <w:vAlign w:val="center"/>
          </w:tcPr>
          <w:p>
            <w:pPr>
              <w:jc w:val="center"/>
            </w:pPr>
            <w:r>
              <w:rPr>
                <w:color w:val="000000"/>
                <w:sz w:val="24"/>
                <w:szCs w:val="24"/>
              </w:rPr>
              <w:t>52.12%</w:t>
            </w:r>
          </w:p>
        </w:tc>
        <w:tc>
          <w:tcPr>
            <w:vAlign w:val="center"/>
          </w:tcPr>
          <w:p>
            <w:pPr>
              <w:jc w:val="center"/>
            </w:pPr>
            <w:r>
              <w:rPr>
                <w:color w:val="000000"/>
                <w:sz w:val="24"/>
                <w:szCs w:val="24"/>
              </w:rPr>
              <w:t>1.38%</w:t>
            </w:r>
          </w:p>
        </w:tc>
        <w:tc>
          <w:tcPr>
            <w:vAlign w:val="center"/>
          </w:tcPr>
          <w:p>
            <w:pPr>
              <w:jc w:val="center"/>
            </w:pPr>
            <w:r>
              <w:rPr>
                <w:color w:val="000000"/>
                <w:sz w:val="24"/>
                <w:szCs w:val="24"/>
              </w:rPr>
              <w:t>49.02%</w:t>
            </w:r>
          </w:p>
        </w:tc>
        <w:tc>
          <w:tcPr>
            <w:vAlign w:val="center"/>
          </w:tcPr>
          <w:p>
            <w:pPr>
              <w:jc w:val="center"/>
            </w:pPr>
            <w:r>
              <w:rPr>
                <w:color w:val="000000"/>
                <w:sz w:val="24"/>
                <w:szCs w:val="24"/>
              </w:rPr>
              <w:t>-0.03%</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101.14%</w:t>
            </w:r>
          </w:p>
        </w:tc>
        <w:tc>
          <w:tcPr>
            <w:vAlign w:val="center"/>
          </w:tcPr>
          <w:p>
            <w:pPr>
              <w:jc w:val="center"/>
            </w:pPr>
            <w:r>
              <w:rPr>
                <w:color w:val="000000"/>
                <w:sz w:val="24"/>
                <w:szCs w:val="24"/>
              </w:rPr>
              <w:t>1.35%</w:t>
            </w:r>
          </w:p>
        </w:tc>
        <w:tc>
          <w:tcPr>
            <w:vAlign w:val="center"/>
          </w:tcPr>
          <w:p>
            <w:pPr>
              <w:jc w:val="center"/>
            </w:pPr>
            <w:r>
              <w:rPr>
                <w:color w:val="000000"/>
                <w:sz w:val="24"/>
                <w:szCs w:val="24"/>
              </w:rPr>
              <w:t>52.12%</w:t>
            </w:r>
          </w:p>
        </w:tc>
        <w:tc>
          <w:tcPr>
            <w:vAlign w:val="center"/>
          </w:tcPr>
          <w:p>
            <w:pPr>
              <w:jc w:val="center"/>
            </w:pPr>
            <w:r>
              <w:rPr>
                <w:color w:val="000000"/>
                <w:sz w:val="24"/>
                <w:szCs w:val="24"/>
              </w:rPr>
              <w:t>1.38%</w:t>
            </w:r>
          </w:p>
        </w:tc>
        <w:tc>
          <w:tcPr>
            <w:vAlign w:val="center"/>
          </w:tcPr>
          <w:p>
            <w:pPr>
              <w:jc w:val="center"/>
            </w:pPr>
            <w:r>
              <w:rPr>
                <w:color w:val="000000"/>
                <w:sz w:val="24"/>
                <w:szCs w:val="24"/>
              </w:rPr>
              <w:t>49.02%</w:t>
            </w:r>
          </w:p>
        </w:tc>
        <w:tc>
          <w:tcPr>
            <w:vAlign w:val="center"/>
          </w:tcPr>
          <w:p>
            <w:pPr>
              <w:jc w:val="center"/>
            </w:pPr>
            <w:r>
              <w:rPr>
                <w:color w:val="000000"/>
                <w:sz w:val="24"/>
                <w:szCs w:val="24"/>
              </w:rPr>
              <w:t>-0.03%</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85%×中证内地消费主题指数+15%×中信标普全债指数”变更为“85%×中证内地消费主题指数+15%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交银施罗德消费新驱动股票型证券投资基金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2015年7月1日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沪深300行业分层等权重指数证券投资基金转型而来。基金转型日为2015年7月1日。本基金的投资转型期为交银施罗德沪深300行业分层等权重指数证券投资基金转型实施日（即2015年7月1日）起的6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2018-08-24</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二季度，新冠疫情对国内影响开始弱化，经济出现比较明显的弱复苏。海外市场流动性泛滥，导致全球资本市场溢价率快速提升。A股市场在5-6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二季度主要以消费白马龙头作为底仓的配置思路，持仓上适当做了一些微调，集中到中报较好而且后续增速较快的公司上，整体集中度略微下降。二季度整个消费医药明显跑赢市场，后续随着中秋国庆来临，国内消费行业有望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1）结合疫情后消费复苏的节奏，适当做一些重仓股的结构调整。在追求全年绝对收益的前提下，逐步布局市值相对低估，长期空间巨大的消费服务类龙头公司；（2）海外疫情持续，与海外需求高度相关的制造业等龙头企业，可能在三季度存在一定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350,176,405.60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350,176,405.60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74,286,184.46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16.13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36,079,284.07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7.83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460,541,874.13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301,986,964.95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5,555,974.57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14,287,655.28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11,622,815.40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503,106.08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16,207,123.00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350,176,405.60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90.17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24,070</w:t>
            </w:r>
          </w:p>
        </w:tc>
        <w:tc>
          <w:tcPr>
            <w:vAlign w:val="center"/>
          </w:tcPr>
          <w:p>
            <w:pPr>
              <w:jc w:val="right"/>
            </w:pPr>
            <w:r>
              <w:rPr>
                <w:color w:val="000000"/>
                <w:sz w:val="24"/>
                <w:szCs w:val="24"/>
              </w:rPr>
              <w:t>35,211,521.60</w:t>
            </w:r>
          </w:p>
        </w:tc>
        <w:tc>
          <w:tcPr>
            <w:vAlign w:val="center"/>
          </w:tcPr>
          <w:p>
            <w:pPr>
              <w:jc w:val="right"/>
            </w:pPr>
            <w:r>
              <w:rPr>
                <w:color w:val="000000"/>
                <w:sz w:val="24"/>
                <w:szCs w:val="24"/>
              </w:rPr>
              <w:t>9.07</w:t>
            </w:r>
          </w:p>
        </w:tc>
      </w:tr>
      <w:tr>
        <w:tc>
          <w:tcPr>
            <w:vAlign w:val="center"/>
          </w:tcPr>
          <w:p>
            <w:pPr>
              <w:jc w:val="center"/>
            </w:pPr>
            <w:r>
              <w:rPr>
                <w:color w:val="000000"/>
                <w:sz w:val="24"/>
                <w:szCs w:val="24"/>
              </w:rPr>
              <w:t>2</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204,294</w:t>
            </w:r>
          </w:p>
        </w:tc>
        <w:tc>
          <w:tcPr>
            <w:vAlign w:val="center"/>
          </w:tcPr>
          <w:p>
            <w:pPr>
              <w:jc w:val="right"/>
            </w:pPr>
            <w:r>
              <w:rPr>
                <w:color w:val="000000"/>
                <w:sz w:val="24"/>
                <w:szCs w:val="24"/>
              </w:rPr>
              <w:t>34,958,789.28</w:t>
            </w:r>
          </w:p>
        </w:tc>
        <w:tc>
          <w:tcPr>
            <w:vAlign w:val="center"/>
          </w:tcPr>
          <w:p>
            <w:pPr>
              <w:jc w:val="right"/>
            </w:pPr>
            <w:r>
              <w:rPr>
                <w:color w:val="000000"/>
                <w:sz w:val="24"/>
                <w:szCs w:val="24"/>
              </w:rPr>
              <w:t>9.00</w:t>
            </w:r>
          </w:p>
        </w:tc>
      </w:tr>
      <w:tr>
        <w:tc>
          <w:tcPr>
            <w:vAlign w:val="center"/>
          </w:tcPr>
          <w:p>
            <w:pPr>
              <w:jc w:val="center"/>
            </w:pPr>
            <w:r>
              <w:rPr>
                <w:color w:val="000000"/>
                <w:sz w:val="24"/>
                <w:szCs w:val="24"/>
              </w:rPr>
              <w:t>3</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1,750,948</w:t>
            </w:r>
          </w:p>
        </w:tc>
        <w:tc>
          <w:tcPr>
            <w:vAlign w:val="center"/>
          </w:tcPr>
          <w:p>
            <w:pPr>
              <w:jc w:val="right"/>
            </w:pPr>
            <w:r>
              <w:rPr>
                <w:color w:val="000000"/>
                <w:sz w:val="24"/>
                <w:szCs w:val="24"/>
              </w:rPr>
              <w:t>34,476,166.12</w:t>
            </w:r>
          </w:p>
        </w:tc>
        <w:tc>
          <w:tcPr>
            <w:vAlign w:val="center"/>
          </w:tcPr>
          <w:p>
            <w:pPr>
              <w:jc w:val="right"/>
            </w:pPr>
            <w:r>
              <w:rPr>
                <w:color w:val="000000"/>
                <w:sz w:val="24"/>
                <w:szCs w:val="24"/>
              </w:rPr>
              <w:t>8.88</w:t>
            </w:r>
          </w:p>
        </w:tc>
      </w:tr>
      <w:tr>
        <w:tc>
          <w:tcPr>
            <w:vAlign w:val="center"/>
          </w:tcPr>
          <w:p>
            <w:pPr>
              <w:jc w:val="center"/>
            </w:pPr>
            <w:r>
              <w:rPr>
                <w:color w:val="000000"/>
                <w:sz w:val="24"/>
                <w:szCs w:val="24"/>
              </w:rPr>
              <w:t>4</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219,655</w:t>
            </w:r>
          </w:p>
        </w:tc>
        <w:tc>
          <w:tcPr>
            <w:vAlign w:val="center"/>
          </w:tcPr>
          <w:p>
            <w:pPr>
              <w:jc w:val="right"/>
            </w:pPr>
            <w:r>
              <w:rPr>
                <w:color w:val="000000"/>
                <w:sz w:val="24"/>
                <w:szCs w:val="24"/>
              </w:rPr>
              <w:t>23,094,526.70</w:t>
            </w:r>
          </w:p>
        </w:tc>
        <w:tc>
          <w:tcPr>
            <w:vAlign w:val="center"/>
          </w:tcPr>
          <w:p>
            <w:pPr>
              <w:jc w:val="right"/>
            </w:pPr>
            <w:r>
              <w:rPr>
                <w:color w:val="000000"/>
                <w:sz w:val="24"/>
                <w:szCs w:val="24"/>
              </w:rPr>
              <w:t>5.95</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210,468</w:t>
            </w:r>
          </w:p>
        </w:tc>
        <w:tc>
          <w:tcPr>
            <w:vAlign w:val="center"/>
          </w:tcPr>
          <w:p>
            <w:pPr>
              <w:jc w:val="right"/>
            </w:pPr>
            <w:r>
              <w:rPr>
                <w:color w:val="000000"/>
                <w:sz w:val="24"/>
                <w:szCs w:val="24"/>
              </w:rPr>
              <w:t>19,426,196.40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306,262</w:t>
            </w:r>
          </w:p>
        </w:tc>
        <w:tc>
          <w:tcPr>
            <w:vAlign w:val="center"/>
          </w:tcPr>
          <w:p>
            <w:pPr>
              <w:jc w:val="right"/>
            </w:pPr>
            <w:r>
              <w:rPr>
                <w:color w:val="000000"/>
                <w:sz w:val="24"/>
                <w:szCs w:val="24"/>
              </w:rPr>
              <w:t>17,325,241.34</w:t>
            </w:r>
          </w:p>
        </w:tc>
        <w:tc>
          <w:tcPr>
            <w:vAlign w:val="center"/>
          </w:tcPr>
          <w:p>
            <w:pPr>
              <w:jc w:val="right"/>
            </w:pPr>
            <w:r>
              <w:rPr>
                <w:color w:val="000000"/>
                <w:sz w:val="24"/>
                <w:szCs w:val="24"/>
              </w:rPr>
              <w:t>4.46</w:t>
            </w:r>
          </w:p>
        </w:tc>
      </w:tr>
      <w:tr>
        <w:tc>
          <w:tcPr>
            <w:vAlign w:val="center"/>
          </w:tcPr>
          <w:p>
            <w:pPr>
              <w:jc w:val="center"/>
            </w:pPr>
            <w:r>
              <w:rPr>
                <w:color w:val="000000"/>
                <w:sz w:val="24"/>
                <w:szCs w:val="24"/>
              </w:rPr>
              <w:t>7</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224,689</w:t>
            </w:r>
          </w:p>
        </w:tc>
        <w:tc>
          <w:tcPr>
            <w:vAlign w:val="center"/>
          </w:tcPr>
          <w:p>
            <w:pPr>
              <w:jc w:val="right"/>
            </w:pPr>
            <w:r>
              <w:rPr>
                <w:color w:val="000000"/>
                <w:sz w:val="24"/>
                <w:szCs w:val="24"/>
              </w:rPr>
              <w:t>17,190,955.39</w:t>
            </w:r>
          </w:p>
        </w:tc>
        <w:tc>
          <w:tcPr>
            <w:vAlign w:val="center"/>
          </w:tcPr>
          <w:p>
            <w:pPr>
              <w:jc w:val="right"/>
            </w:pPr>
            <w:r>
              <w:rPr>
                <w:color w:val="000000"/>
                <w:sz w:val="24"/>
                <w:szCs w:val="24"/>
              </w:rPr>
              <w:t>4.43</w:t>
            </w:r>
          </w:p>
        </w:tc>
      </w:tr>
      <w:tr>
        <w:tc>
          <w:tcPr>
            <w:vAlign w:val="center"/>
          </w:tcPr>
          <w:p>
            <w:pPr>
              <w:jc w:val="center"/>
            </w:pPr>
            <w:r>
              <w:rPr>
                <w:color w:val="000000"/>
                <w:sz w:val="24"/>
                <w:szCs w:val="24"/>
              </w:rPr>
              <w:t>8</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220,934</w:t>
            </w:r>
          </w:p>
        </w:tc>
        <w:tc>
          <w:tcPr>
            <w:vAlign w:val="center"/>
          </w:tcPr>
          <w:p>
            <w:pPr>
              <w:jc w:val="right"/>
            </w:pPr>
            <w:r>
              <w:rPr>
                <w:color w:val="000000"/>
                <w:sz w:val="24"/>
                <w:szCs w:val="24"/>
              </w:rPr>
              <w:t>16,901,451.00</w:t>
            </w:r>
          </w:p>
        </w:tc>
        <w:tc>
          <w:tcPr>
            <w:vAlign w:val="center"/>
          </w:tcPr>
          <w:p>
            <w:pPr>
              <w:jc w:val="right"/>
            </w:pPr>
            <w:r>
              <w:rPr>
                <w:color w:val="000000"/>
                <w:sz w:val="24"/>
                <w:szCs w:val="24"/>
              </w:rPr>
              <w:t>4.35</w:t>
            </w:r>
          </w:p>
        </w:tc>
      </w:tr>
      <w:tr>
        <w:tc>
          <w:tcPr>
            <w:vAlign w:val="center"/>
          </w:tcPr>
          <w:p>
            <w:pPr>
              <w:jc w:val="center"/>
            </w:pPr>
            <w:r>
              <w:rPr>
                <w:color w:val="000000"/>
                <w:sz w:val="24"/>
                <w:szCs w:val="24"/>
              </w:rPr>
              <w:t>9</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152,180</w:t>
            </w:r>
          </w:p>
        </w:tc>
        <w:tc>
          <w:tcPr>
            <w:vAlign w:val="center"/>
          </w:tcPr>
          <w:p>
            <w:pPr>
              <w:jc w:val="right"/>
            </w:pPr>
            <w:r>
              <w:rPr>
                <w:color w:val="000000"/>
                <w:sz w:val="24"/>
                <w:szCs w:val="24"/>
              </w:rPr>
              <w:t>13,620,110.00</w:t>
            </w:r>
          </w:p>
        </w:tc>
        <w:tc>
          <w:tcPr>
            <w:vAlign w:val="center"/>
          </w:tcPr>
          <w:p>
            <w:pPr>
              <w:jc w:val="right"/>
            </w:pPr>
            <w:r>
              <w:rPr>
                <w:color w:val="000000"/>
                <w:sz w:val="24"/>
                <w:szCs w:val="24"/>
              </w:rPr>
              <w:t>3.51</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206,761</w:t>
            </w:r>
          </w:p>
        </w:tc>
        <w:tc>
          <w:tcPr>
            <w:vAlign w:val="center"/>
          </w:tcPr>
          <w:p>
            <w:pPr>
              <w:jc w:val="right"/>
            </w:pPr>
            <w:r>
              <w:rPr>
                <w:color w:val="000000"/>
                <w:sz w:val="24"/>
                <w:szCs w:val="24"/>
              </w:rPr>
              <w:t>11,711,138.00</w:t>
            </w:r>
          </w:p>
        </w:tc>
        <w:tc>
          <w:tcPr>
            <w:vAlign w:val="center"/>
          </w:tcPr>
          <w:p>
            <w:pPr>
              <w:jc w:val="right"/>
            </w:pPr>
            <w:r>
              <w:rPr>
                <w:color w:val="000000"/>
                <w:sz w:val="24"/>
                <w:szCs w:val="24"/>
              </w:rPr>
              <w:t>3.02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269,938.53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29,174,448.79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12,258.27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6,622,638.48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36,079,284.07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5,519,000.00</w:t>
            </w:r>
          </w:p>
        </w:tc>
        <w:tc>
          <w:tcPr>
            <w:vAlign w:val="center"/>
          </w:tcPr>
          <w:p>
            <w:pPr>
              <w:jc w:val="right"/>
            </w:pPr>
            <w:r>
              <w:rPr>
                <w:color w:val="000000"/>
                <w:sz w:val="24"/>
                <w:szCs w:val="24"/>
              </w:rPr>
              <w:t>1.42</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255,789,537.63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202,831,315.69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163,803,592.70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294,817,260.62</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w:t>
            </w:r>
            <w:r w:rsidRPr="00ED2620">
              <w:rPr>
                <w:color w:val="000000"/>
                <w:sz w:val="24"/>
              </w:rPr>
              <w:lastRenderedPageBreak/>
              <w:t>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lastRenderedPageBreak/>
              <w:t/>
            </w:r>
            <w:r w:rsidRPr="00ED2620">
              <w:rPr>
                <w:rFonts w:eastAsiaTheme="minorEastAsia"/>
                <w:color w:val="000000"/>
                <w:sz w:val="24"/>
              </w:rPr>
              <w:lastRenderedPageBreak/>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6.15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2、如果本报告期间发生转换出业务，则总赎回份额中包含该业务。</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54,880,228.86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40,000,000.00</w:t>
            </w:r>
          </w:p>
        </w:tc>
        <w:tc>
          <w:tcPr>
            <w:vAlign w:val="center"/>
          </w:tcPr>
          <w:p>
            <w:pPr>
              <w:jc w:val="center"/>
            </w:pPr>
            <w:r>
              <w:rPr>
                <w:rFonts w:ascii="宋体" w:hAnsi="宋体"/>
                <w:color w:val="000000"/>
                <w:kern w:val="0"/>
              </w:rPr>
              <w:t>14,880,228.86</w:t>
            </w:r>
          </w:p>
        </w:tc>
        <w:tc>
          <w:tcPr>
            <w:vAlign w:val="center"/>
          </w:tcPr>
          <w:p>
            <w:pPr>
              <w:jc w:val="center"/>
            </w:pPr>
            <w:r>
              <w:rPr>
                <w:rFonts w:ascii="宋体" w:hAnsi="宋体"/>
                <w:color w:val="000000"/>
                <w:kern w:val="0"/>
              </w:rPr>
              <w:t>5.05%</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55,288,924.27</w:t>
            </w:r>
          </w:p>
        </w:tc>
        <w:tc>
          <w:tcPr>
            <w:vAlign w:val="center"/>
          </w:tcPr>
          <w:p>
            <w:pPr>
              <w:jc w:val="center"/>
            </w:pPr>
            <w:r>
              <w:rPr>
                <w:rFonts w:ascii="宋体" w:hAnsi="宋体"/>
                <w:color w:val="000000"/>
                <w:kern w:val="0"/>
              </w:rPr>
              <w:t>12,105,730.43</w:t>
            </w:r>
          </w:p>
        </w:tc>
        <w:tc>
          <w:tcPr>
            <w:vAlign w:val="center"/>
          </w:tcPr>
          <w:p>
            <w:pPr>
              <w:jc w:val="center"/>
            </w:pPr>
            <w:r>
              <w:rPr>
                <w:rFonts w:ascii="宋体" w:hAnsi="宋体"/>
                <w:color w:val="000000"/>
                <w:kern w:val="0"/>
              </w:rPr>
              <w:t>55,200,000.00</w:t>
            </w:r>
          </w:p>
        </w:tc>
        <w:tc>
          <w:tcPr>
            <w:vAlign w:val="center"/>
          </w:tcPr>
          <w:p>
            <w:pPr>
              <w:jc w:val="center"/>
            </w:pPr>
            <w:r>
              <w:rPr>
                <w:rFonts w:ascii="宋体" w:hAnsi="宋体"/>
                <w:color w:val="000000"/>
                <w:kern w:val="0"/>
              </w:rPr>
              <w:t>12,194,654.70</w:t>
            </w:r>
          </w:p>
        </w:tc>
        <w:tc>
          <w:tcPr>
            <w:vAlign w:val="center"/>
          </w:tcPr>
          <w:p>
            <w:pPr>
              <w:jc w:val="center"/>
            </w:pPr>
            <w:r>
              <w:rPr>
                <w:rFonts w:ascii="宋体" w:hAnsi="宋体"/>
                <w:color w:val="000000"/>
                <w:kern w:val="0"/>
              </w:rPr>
              <w:t>4.14%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1、中国证监会批准交银施罗德沪深300行业分层等权重指数证券投资基金募集的文件；</w:t>
      </w:r>
    </w:p>
    <w:p>
      <w:pPr>
        <w:spacing w:before="29" w:line="288" w:lineRule="auto"/>
        <w:ind w:firstLine="480" w:firstLineChars="200"/>
        <w:rPr>
          <w:color w:val="000000"/>
          <w:sz w:val="24"/>
          <w:szCs w:val="24"/>
        </w:rPr>
      </w:pPr>
      <w:r>
        <w:rPr>
          <w:color w:val="000000"/>
          <w:sz w:val="24"/>
          <w:szCs w:val="24"/>
        </w:rPr>
        <w:t>2、《交银施罗德消费新驱动股票型证券投资基金基金合同》；</w:t>
      </w:r>
    </w:p>
    <w:p>
      <w:pPr>
        <w:spacing w:before="29" w:line="288" w:lineRule="auto"/>
        <w:ind w:firstLine="480" w:firstLineChars="200"/>
        <w:rPr>
          <w:color w:val="000000"/>
          <w:sz w:val="24"/>
          <w:szCs w:val="24"/>
        </w:rPr>
      </w:pPr>
      <w:r>
        <w:rPr>
          <w:color w:val="000000"/>
          <w:sz w:val="24"/>
          <w:szCs w:val="24"/>
        </w:rPr>
        <w:t>3、《交银施罗德消费新驱动股票型证券投资基金招募说明书》；</w:t>
      </w:r>
    </w:p>
    <w:p>
      <w:pPr>
        <w:spacing w:before="29" w:line="288" w:lineRule="auto"/>
        <w:ind w:firstLine="480" w:firstLineChars="200"/>
        <w:rPr>
          <w:color w:val="000000"/>
          <w:sz w:val="24"/>
          <w:szCs w:val="24"/>
        </w:rPr>
      </w:pPr>
      <w:r>
        <w:rPr>
          <w:color w:val="000000"/>
          <w:sz w:val="24"/>
          <w:szCs w:val="24"/>
        </w:rPr>
        <w:t>4、《交银施罗德消费新驱动股票型证券投资基金托管协议》；</w:t>
      </w:r>
    </w:p>
    <w:p>
      <w:pPr>
        <w:spacing w:before="29" w:line="288" w:lineRule="auto"/>
        <w:ind w:firstLine="480" w:firstLineChars="200"/>
        <w:rPr>
          <w:color w:val="000000"/>
          <w:sz w:val="24"/>
          <w:szCs w:val="24"/>
        </w:rPr>
      </w:pPr>
      <w:r>
        <w:rPr>
          <w:color w:val="000000"/>
          <w:sz w:val="24"/>
          <w:szCs w:val="24"/>
        </w:rPr>
        <w:t>5、《交银施罗德沪深300行业分层等权重指数证券投资基金基金合同》；</w:t>
      </w:r>
    </w:p>
    <w:p>
      <w:pPr>
        <w:spacing w:before="29" w:line="288" w:lineRule="auto"/>
        <w:ind w:firstLine="480" w:firstLineChars="200"/>
        <w:rPr>
          <w:color w:val="000000"/>
          <w:sz w:val="24"/>
          <w:szCs w:val="24"/>
        </w:rPr>
      </w:pPr>
      <w:r>
        <w:rPr>
          <w:color w:val="000000"/>
          <w:sz w:val="24"/>
          <w:szCs w:val="24"/>
        </w:rPr>
        <w:t>6、《交银施罗德沪深300行业分层等权重指数证券投资基金招募说明书》；</w:t>
      </w:r>
    </w:p>
    <w:p>
      <w:pPr>
        <w:spacing w:before="29" w:line="288" w:lineRule="auto"/>
        <w:ind w:firstLine="480" w:firstLineChars="200"/>
        <w:rPr>
          <w:color w:val="000000"/>
          <w:sz w:val="24"/>
          <w:szCs w:val="24"/>
        </w:rPr>
      </w:pPr>
      <w:r>
        <w:rPr>
          <w:color w:val="000000"/>
          <w:sz w:val="24"/>
          <w:szCs w:val="24"/>
        </w:rPr>
        <w:t>7、《交银施罗德沪深300行业分层等权重指数证券投资基金托管协议》；</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w:t>
      </w:r>
    </w:p>
    <w:p>
      <w:pPr>
        <w:spacing w:before="29" w:line="288" w:lineRule="auto"/>
        <w:ind w:firstLine="480" w:firstLineChars="200"/>
        <w:rPr>
          <w:color w:val="000000"/>
          <w:sz w:val="24"/>
          <w:szCs w:val="24"/>
        </w:rPr>
      </w:pPr>
      <w:r>
        <w:rPr>
          <w:color w:val="000000"/>
          <w:sz w:val="24"/>
          <w:szCs w:val="24"/>
        </w:rPr>
        <w:t>10、关于申请募集交银施罗德沪深300行业分层等权重指数证券投资基金之法律意见书；</w:t>
      </w:r>
    </w:p>
    <w:p>
      <w:pPr>
        <w:spacing w:before="29" w:line="288" w:lineRule="auto"/>
        <w:ind w:firstLine="480" w:firstLineChars="200"/>
        <w:rPr>
          <w:color w:val="000000"/>
          <w:sz w:val="24"/>
          <w:szCs w:val="24"/>
        </w:rPr>
      </w:pPr>
      <w:r>
        <w:rPr>
          <w:color w:val="000000"/>
          <w:sz w:val="24"/>
          <w:szCs w:val="24"/>
        </w:rPr>
        <w:t>11、关于《申请交银施罗德沪深300行业分层等权重指数证券投资基金变更注册为交银施罗德消费新驱动股票型证券投资基金》的法律意见；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12、报告期内交银施罗德消费新驱动股票型证券投资基金、交银施罗德沪深300行业分层等权重指数证券投资基金在指定报刊上各项公告的原稿。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交银施罗德消费新驱动股票型证券投资基金2020年第2季度报告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