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2020</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2020</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二〇二〇年七月二十一日</w:t>
      </w:r>
    </w:p>
    <w:p w:rsidR="00220542" w:rsidRPr="00324C76" w:rsidRDefault="00220542" w:rsidP="0048293C">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7A2797" w:rsidRDefault="0012184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A2797" w:rsidRDefault="0012184B">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A2797" w:rsidRDefault="0012184B">
      <w:pPr>
        <w:spacing w:before="29" w:line="288" w:lineRule="auto"/>
        <w:ind w:firstLineChars="200" w:firstLine="480"/>
        <w:rPr>
          <w:color w:val="000000"/>
          <w:sz w:val="24"/>
        </w:rPr>
      </w:pPr>
      <w:r>
        <w:rPr>
          <w:color w:val="000000"/>
          <w:sz w:val="24"/>
        </w:rPr>
        <w:t>基金管理人承诺以诚实信用、勤勉尽责的原则管理和运用基金资产，但不保</w:t>
      </w:r>
      <w:r>
        <w:rPr>
          <w:color w:val="000000"/>
          <w:sz w:val="24"/>
        </w:rPr>
        <w:t>证基金一定盈利。</w:t>
      </w:r>
      <w:r>
        <w:rPr>
          <w:color w:val="000000"/>
          <w:sz w:val="24"/>
        </w:rPr>
        <w:t xml:space="preserve"> </w:t>
      </w:r>
    </w:p>
    <w:p w:rsidR="007A2797" w:rsidRDefault="0012184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A2797" w:rsidRDefault="0012184B">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2020</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227,205,291.21</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2A4807" w:rsidRPr="00324C76" w:rsidTr="002A480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2020</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-2020</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2A4807" w:rsidRPr="00324C76" w:rsidTr="002A480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1,514,958.42</w:t>
            </w:r>
          </w:p>
        </w:tc>
      </w:tr>
      <w:tr w:rsidR="002A4807" w:rsidRPr="00324C76" w:rsidTr="002A480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15,833,277.75</w:t>
            </w:r>
          </w:p>
        </w:tc>
      </w:tr>
      <w:tr w:rsidR="002A4807" w:rsidRPr="00324C76" w:rsidTr="002A480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0.0674</w:t>
            </w:r>
          </w:p>
        </w:tc>
      </w:tr>
      <w:tr w:rsidR="002A4807" w:rsidRPr="00324C76" w:rsidTr="002A4807">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289,259,250.63</w:t>
            </w:r>
          </w:p>
        </w:tc>
      </w:tr>
      <w:tr w:rsidR="002A4807" w:rsidRPr="00324C76" w:rsidTr="002A4807">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1.273</w:t>
            </w:r>
          </w:p>
        </w:tc>
      </w:tr>
    </w:tbl>
    <w:p w:rsidR="007A2797" w:rsidRDefault="0012184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7A2797">
        <w:trPr>
          <w:jc w:val="center"/>
        </w:trPr>
        <w:tc>
          <w:tcPr>
            <w:tcW w:w="1469" w:type="dxa"/>
            <w:vAlign w:val="center"/>
          </w:tcPr>
          <w:p w:rsidR="007A2797" w:rsidRDefault="0012184B">
            <w:pPr>
              <w:jc w:val="left"/>
            </w:pPr>
            <w:r>
              <w:rPr>
                <w:color w:val="000000"/>
                <w:sz w:val="24"/>
              </w:rPr>
              <w:t>过去三个月</w:t>
            </w:r>
          </w:p>
        </w:tc>
        <w:tc>
          <w:tcPr>
            <w:tcW w:w="1150" w:type="dxa"/>
            <w:vAlign w:val="center"/>
          </w:tcPr>
          <w:p w:rsidR="007A2797" w:rsidRDefault="0012184B">
            <w:pPr>
              <w:jc w:val="center"/>
            </w:pPr>
            <w:r>
              <w:rPr>
                <w:color w:val="000000"/>
                <w:sz w:val="24"/>
              </w:rPr>
              <w:t>5.56%</w:t>
            </w:r>
          </w:p>
        </w:tc>
        <w:tc>
          <w:tcPr>
            <w:tcW w:w="1223" w:type="dxa"/>
            <w:vAlign w:val="center"/>
          </w:tcPr>
          <w:p w:rsidR="007A2797" w:rsidRDefault="0012184B">
            <w:pPr>
              <w:jc w:val="center"/>
            </w:pPr>
            <w:r>
              <w:rPr>
                <w:color w:val="000000"/>
                <w:sz w:val="24"/>
              </w:rPr>
              <w:t>0.77%</w:t>
            </w:r>
          </w:p>
        </w:tc>
        <w:tc>
          <w:tcPr>
            <w:tcW w:w="1244" w:type="dxa"/>
            <w:vAlign w:val="center"/>
          </w:tcPr>
          <w:p w:rsidR="007A2797" w:rsidRDefault="0012184B">
            <w:pPr>
              <w:jc w:val="center"/>
            </w:pPr>
            <w:r>
              <w:rPr>
                <w:color w:val="000000"/>
                <w:sz w:val="24"/>
              </w:rPr>
              <w:t>2.41%</w:t>
            </w:r>
          </w:p>
        </w:tc>
        <w:tc>
          <w:tcPr>
            <w:tcW w:w="1251" w:type="dxa"/>
            <w:vAlign w:val="center"/>
          </w:tcPr>
          <w:p w:rsidR="007A2797" w:rsidRDefault="0012184B">
            <w:pPr>
              <w:jc w:val="center"/>
            </w:pPr>
            <w:r>
              <w:rPr>
                <w:color w:val="000000"/>
                <w:sz w:val="24"/>
              </w:rPr>
              <w:t>0.77%</w:t>
            </w:r>
          </w:p>
        </w:tc>
        <w:tc>
          <w:tcPr>
            <w:tcW w:w="1263" w:type="dxa"/>
            <w:vAlign w:val="center"/>
          </w:tcPr>
          <w:p w:rsidR="007A2797" w:rsidRDefault="0012184B">
            <w:pPr>
              <w:jc w:val="center"/>
            </w:pPr>
            <w:r>
              <w:rPr>
                <w:color w:val="000000"/>
                <w:sz w:val="24"/>
              </w:rPr>
              <w:t>3.15%</w:t>
            </w:r>
          </w:p>
        </w:tc>
        <w:tc>
          <w:tcPr>
            <w:tcW w:w="1268" w:type="dxa"/>
            <w:vAlign w:val="center"/>
          </w:tcPr>
          <w:p w:rsidR="007A2797" w:rsidRDefault="0012184B">
            <w:pPr>
              <w:jc w:val="center"/>
            </w:pPr>
            <w:r>
              <w:rPr>
                <w:color w:val="000000"/>
                <w:sz w:val="24"/>
              </w:rPr>
              <w:t>0.00%</w:t>
            </w:r>
          </w:p>
        </w:tc>
      </w:tr>
      <w:tr w:rsidR="007A2797">
        <w:trPr>
          <w:jc w:val="center"/>
        </w:trPr>
        <w:tc>
          <w:tcPr>
            <w:tcW w:w="1469" w:type="dxa"/>
            <w:vAlign w:val="center"/>
          </w:tcPr>
          <w:p w:rsidR="007A2797" w:rsidRDefault="0012184B">
            <w:pPr>
              <w:jc w:val="left"/>
            </w:pPr>
            <w:r>
              <w:rPr>
                <w:color w:val="000000"/>
                <w:sz w:val="24"/>
              </w:rPr>
              <w:t>过去六个月</w:t>
            </w:r>
          </w:p>
        </w:tc>
        <w:tc>
          <w:tcPr>
            <w:tcW w:w="1150" w:type="dxa"/>
            <w:vAlign w:val="center"/>
          </w:tcPr>
          <w:p w:rsidR="007A2797" w:rsidRDefault="0012184B">
            <w:pPr>
              <w:jc w:val="center"/>
            </w:pPr>
            <w:r>
              <w:rPr>
                <w:color w:val="000000"/>
                <w:sz w:val="24"/>
              </w:rPr>
              <w:t>-6.12%</w:t>
            </w:r>
          </w:p>
        </w:tc>
        <w:tc>
          <w:tcPr>
            <w:tcW w:w="1223" w:type="dxa"/>
            <w:vAlign w:val="center"/>
          </w:tcPr>
          <w:p w:rsidR="007A2797" w:rsidRDefault="0012184B">
            <w:pPr>
              <w:jc w:val="center"/>
            </w:pPr>
            <w:r>
              <w:rPr>
                <w:color w:val="000000"/>
                <w:sz w:val="24"/>
              </w:rPr>
              <w:t>1.29%</w:t>
            </w:r>
          </w:p>
        </w:tc>
        <w:tc>
          <w:tcPr>
            <w:tcW w:w="1244" w:type="dxa"/>
            <w:vAlign w:val="center"/>
          </w:tcPr>
          <w:p w:rsidR="007A2797" w:rsidRDefault="0012184B">
            <w:pPr>
              <w:jc w:val="center"/>
            </w:pPr>
            <w:r>
              <w:rPr>
                <w:color w:val="000000"/>
                <w:sz w:val="24"/>
              </w:rPr>
              <w:t>-10.32%</w:t>
            </w:r>
          </w:p>
        </w:tc>
        <w:tc>
          <w:tcPr>
            <w:tcW w:w="1251" w:type="dxa"/>
            <w:vAlign w:val="center"/>
          </w:tcPr>
          <w:p w:rsidR="007A2797" w:rsidRDefault="0012184B">
            <w:pPr>
              <w:jc w:val="center"/>
            </w:pPr>
            <w:r>
              <w:rPr>
                <w:color w:val="000000"/>
                <w:sz w:val="24"/>
              </w:rPr>
              <w:t>1.30%</w:t>
            </w:r>
          </w:p>
        </w:tc>
        <w:tc>
          <w:tcPr>
            <w:tcW w:w="1263" w:type="dxa"/>
            <w:vAlign w:val="center"/>
          </w:tcPr>
          <w:p w:rsidR="007A2797" w:rsidRDefault="0012184B">
            <w:pPr>
              <w:jc w:val="center"/>
            </w:pPr>
            <w:r>
              <w:rPr>
                <w:color w:val="000000"/>
                <w:sz w:val="24"/>
              </w:rPr>
              <w:t>4.20%</w:t>
            </w:r>
          </w:p>
        </w:tc>
        <w:tc>
          <w:tcPr>
            <w:tcW w:w="1268" w:type="dxa"/>
            <w:vAlign w:val="center"/>
          </w:tcPr>
          <w:p w:rsidR="007A2797" w:rsidRDefault="0012184B">
            <w:pPr>
              <w:jc w:val="center"/>
            </w:pPr>
            <w:r>
              <w:rPr>
                <w:color w:val="000000"/>
                <w:sz w:val="24"/>
              </w:rPr>
              <w:t>-0.01%</w:t>
            </w:r>
          </w:p>
        </w:tc>
      </w:tr>
      <w:tr w:rsidR="007A2797">
        <w:trPr>
          <w:jc w:val="center"/>
        </w:trPr>
        <w:tc>
          <w:tcPr>
            <w:tcW w:w="1469" w:type="dxa"/>
            <w:vAlign w:val="center"/>
          </w:tcPr>
          <w:p w:rsidR="007A2797" w:rsidRDefault="0012184B">
            <w:pPr>
              <w:jc w:val="left"/>
            </w:pPr>
            <w:r>
              <w:rPr>
                <w:color w:val="000000"/>
                <w:sz w:val="24"/>
              </w:rPr>
              <w:t>过去一年</w:t>
            </w:r>
          </w:p>
        </w:tc>
        <w:tc>
          <w:tcPr>
            <w:tcW w:w="1150" w:type="dxa"/>
            <w:vAlign w:val="center"/>
          </w:tcPr>
          <w:p w:rsidR="007A2797" w:rsidRDefault="0012184B">
            <w:pPr>
              <w:jc w:val="center"/>
            </w:pPr>
            <w:r>
              <w:rPr>
                <w:color w:val="000000"/>
                <w:sz w:val="24"/>
              </w:rPr>
              <w:t>-3.19%</w:t>
            </w:r>
          </w:p>
        </w:tc>
        <w:tc>
          <w:tcPr>
            <w:tcW w:w="1223" w:type="dxa"/>
            <w:vAlign w:val="center"/>
          </w:tcPr>
          <w:p w:rsidR="007A2797" w:rsidRDefault="0012184B">
            <w:pPr>
              <w:jc w:val="center"/>
            </w:pPr>
            <w:r>
              <w:rPr>
                <w:color w:val="000000"/>
                <w:sz w:val="24"/>
              </w:rPr>
              <w:t>1.04%</w:t>
            </w:r>
          </w:p>
        </w:tc>
        <w:tc>
          <w:tcPr>
            <w:tcW w:w="1244" w:type="dxa"/>
            <w:vAlign w:val="center"/>
          </w:tcPr>
          <w:p w:rsidR="007A2797" w:rsidRDefault="0012184B">
            <w:pPr>
              <w:jc w:val="center"/>
            </w:pPr>
            <w:r>
              <w:rPr>
                <w:color w:val="000000"/>
                <w:sz w:val="24"/>
              </w:rPr>
              <w:t>-9.76%</w:t>
            </w:r>
          </w:p>
        </w:tc>
        <w:tc>
          <w:tcPr>
            <w:tcW w:w="1251" w:type="dxa"/>
            <w:vAlign w:val="center"/>
          </w:tcPr>
          <w:p w:rsidR="007A2797" w:rsidRDefault="0012184B">
            <w:pPr>
              <w:jc w:val="center"/>
            </w:pPr>
            <w:r>
              <w:rPr>
                <w:color w:val="000000"/>
                <w:sz w:val="24"/>
              </w:rPr>
              <w:t>1.05%</w:t>
            </w:r>
          </w:p>
        </w:tc>
        <w:tc>
          <w:tcPr>
            <w:tcW w:w="1263" w:type="dxa"/>
            <w:vAlign w:val="center"/>
          </w:tcPr>
          <w:p w:rsidR="007A2797" w:rsidRDefault="0012184B">
            <w:pPr>
              <w:jc w:val="center"/>
            </w:pPr>
            <w:r>
              <w:rPr>
                <w:color w:val="000000"/>
                <w:sz w:val="24"/>
              </w:rPr>
              <w:t>6.57%</w:t>
            </w:r>
          </w:p>
        </w:tc>
        <w:tc>
          <w:tcPr>
            <w:tcW w:w="1268" w:type="dxa"/>
            <w:vAlign w:val="center"/>
          </w:tcPr>
          <w:p w:rsidR="007A2797" w:rsidRDefault="0012184B">
            <w:pPr>
              <w:jc w:val="center"/>
            </w:pPr>
            <w:r>
              <w:rPr>
                <w:color w:val="000000"/>
                <w:sz w:val="24"/>
              </w:rPr>
              <w:t>-0.01%</w:t>
            </w:r>
          </w:p>
        </w:tc>
      </w:tr>
      <w:tr w:rsidR="007A2797">
        <w:trPr>
          <w:jc w:val="center"/>
        </w:trPr>
        <w:tc>
          <w:tcPr>
            <w:tcW w:w="1469" w:type="dxa"/>
            <w:vAlign w:val="center"/>
          </w:tcPr>
          <w:p w:rsidR="007A2797" w:rsidRDefault="0012184B">
            <w:pPr>
              <w:jc w:val="left"/>
            </w:pPr>
            <w:r>
              <w:rPr>
                <w:color w:val="000000"/>
                <w:sz w:val="24"/>
              </w:rPr>
              <w:t>过去三年</w:t>
            </w:r>
          </w:p>
        </w:tc>
        <w:tc>
          <w:tcPr>
            <w:tcW w:w="1150" w:type="dxa"/>
            <w:vAlign w:val="center"/>
          </w:tcPr>
          <w:p w:rsidR="007A2797" w:rsidRDefault="0012184B">
            <w:pPr>
              <w:jc w:val="center"/>
            </w:pPr>
            <w:r>
              <w:rPr>
                <w:color w:val="000000"/>
                <w:sz w:val="24"/>
              </w:rPr>
              <w:t>5.29%</w:t>
            </w:r>
          </w:p>
        </w:tc>
        <w:tc>
          <w:tcPr>
            <w:tcW w:w="1223" w:type="dxa"/>
            <w:vAlign w:val="center"/>
          </w:tcPr>
          <w:p w:rsidR="007A2797" w:rsidRDefault="0012184B">
            <w:pPr>
              <w:jc w:val="center"/>
            </w:pPr>
            <w:r>
              <w:rPr>
                <w:color w:val="000000"/>
                <w:sz w:val="24"/>
              </w:rPr>
              <w:t>1.11%</w:t>
            </w:r>
          </w:p>
        </w:tc>
        <w:tc>
          <w:tcPr>
            <w:tcW w:w="1244" w:type="dxa"/>
            <w:vAlign w:val="center"/>
          </w:tcPr>
          <w:p w:rsidR="007A2797" w:rsidRDefault="0012184B">
            <w:pPr>
              <w:jc w:val="center"/>
            </w:pPr>
            <w:r>
              <w:rPr>
                <w:color w:val="000000"/>
                <w:sz w:val="24"/>
              </w:rPr>
              <w:t>-5.51%</w:t>
            </w:r>
          </w:p>
        </w:tc>
        <w:tc>
          <w:tcPr>
            <w:tcW w:w="1251" w:type="dxa"/>
            <w:vAlign w:val="center"/>
          </w:tcPr>
          <w:p w:rsidR="007A2797" w:rsidRDefault="0012184B">
            <w:pPr>
              <w:jc w:val="center"/>
            </w:pPr>
            <w:r>
              <w:rPr>
                <w:color w:val="000000"/>
                <w:sz w:val="24"/>
              </w:rPr>
              <w:t>1.12%</w:t>
            </w:r>
          </w:p>
        </w:tc>
        <w:tc>
          <w:tcPr>
            <w:tcW w:w="1263" w:type="dxa"/>
            <w:vAlign w:val="center"/>
          </w:tcPr>
          <w:p w:rsidR="007A2797" w:rsidRDefault="0012184B">
            <w:pPr>
              <w:jc w:val="center"/>
            </w:pPr>
            <w:r>
              <w:rPr>
                <w:color w:val="000000"/>
                <w:sz w:val="24"/>
              </w:rPr>
              <w:t>10.80%</w:t>
            </w:r>
          </w:p>
        </w:tc>
        <w:tc>
          <w:tcPr>
            <w:tcW w:w="1268" w:type="dxa"/>
            <w:vAlign w:val="center"/>
          </w:tcPr>
          <w:p w:rsidR="007A2797" w:rsidRDefault="0012184B">
            <w:pPr>
              <w:jc w:val="center"/>
            </w:pPr>
            <w:r>
              <w:rPr>
                <w:color w:val="000000"/>
                <w:sz w:val="24"/>
              </w:rPr>
              <w:t>-0.01%</w:t>
            </w:r>
          </w:p>
        </w:tc>
      </w:tr>
      <w:tr w:rsidR="007A2797">
        <w:trPr>
          <w:jc w:val="center"/>
        </w:trPr>
        <w:tc>
          <w:tcPr>
            <w:tcW w:w="1469" w:type="dxa"/>
            <w:vAlign w:val="center"/>
          </w:tcPr>
          <w:p w:rsidR="007A2797" w:rsidRDefault="0012184B">
            <w:pPr>
              <w:jc w:val="left"/>
            </w:pPr>
            <w:r>
              <w:rPr>
                <w:color w:val="000000"/>
                <w:sz w:val="24"/>
              </w:rPr>
              <w:t>过去五年</w:t>
            </w:r>
          </w:p>
        </w:tc>
        <w:tc>
          <w:tcPr>
            <w:tcW w:w="1150" w:type="dxa"/>
            <w:vAlign w:val="center"/>
          </w:tcPr>
          <w:p w:rsidR="007A2797" w:rsidRDefault="0012184B">
            <w:pPr>
              <w:jc w:val="center"/>
            </w:pPr>
            <w:r>
              <w:rPr>
                <w:color w:val="000000"/>
                <w:sz w:val="24"/>
              </w:rPr>
              <w:t>-8.22%</w:t>
            </w:r>
          </w:p>
        </w:tc>
        <w:tc>
          <w:tcPr>
            <w:tcW w:w="1223" w:type="dxa"/>
            <w:vAlign w:val="center"/>
          </w:tcPr>
          <w:p w:rsidR="007A2797" w:rsidRDefault="0012184B">
            <w:pPr>
              <w:jc w:val="center"/>
            </w:pPr>
            <w:r>
              <w:rPr>
                <w:color w:val="000000"/>
                <w:sz w:val="24"/>
              </w:rPr>
              <w:t>1.31%</w:t>
            </w:r>
          </w:p>
        </w:tc>
        <w:tc>
          <w:tcPr>
            <w:tcW w:w="1244" w:type="dxa"/>
            <w:vAlign w:val="center"/>
          </w:tcPr>
          <w:p w:rsidR="007A2797" w:rsidRDefault="0012184B">
            <w:pPr>
              <w:jc w:val="center"/>
            </w:pPr>
            <w:r>
              <w:rPr>
                <w:color w:val="000000"/>
                <w:sz w:val="24"/>
              </w:rPr>
              <w:t>-21.25%</w:t>
            </w:r>
          </w:p>
        </w:tc>
        <w:tc>
          <w:tcPr>
            <w:tcW w:w="1251" w:type="dxa"/>
            <w:vAlign w:val="center"/>
          </w:tcPr>
          <w:p w:rsidR="007A2797" w:rsidRDefault="0012184B">
            <w:pPr>
              <w:jc w:val="center"/>
            </w:pPr>
            <w:r>
              <w:rPr>
                <w:color w:val="000000"/>
                <w:sz w:val="24"/>
              </w:rPr>
              <w:t>1.33%</w:t>
            </w:r>
          </w:p>
        </w:tc>
        <w:tc>
          <w:tcPr>
            <w:tcW w:w="1263" w:type="dxa"/>
            <w:vAlign w:val="center"/>
          </w:tcPr>
          <w:p w:rsidR="007A2797" w:rsidRDefault="0012184B">
            <w:pPr>
              <w:jc w:val="center"/>
            </w:pPr>
            <w:r>
              <w:rPr>
                <w:color w:val="000000"/>
                <w:sz w:val="24"/>
              </w:rPr>
              <w:t>13.03%</w:t>
            </w:r>
          </w:p>
        </w:tc>
        <w:tc>
          <w:tcPr>
            <w:tcW w:w="1268" w:type="dxa"/>
            <w:vAlign w:val="center"/>
          </w:tcPr>
          <w:p w:rsidR="007A2797" w:rsidRDefault="0012184B">
            <w:pPr>
              <w:jc w:val="center"/>
            </w:pPr>
            <w:r>
              <w:rPr>
                <w:color w:val="000000"/>
                <w:sz w:val="24"/>
              </w:rPr>
              <w:t>-0.02%</w:t>
            </w:r>
          </w:p>
        </w:tc>
      </w:tr>
      <w:tr w:rsidR="007A2797">
        <w:trPr>
          <w:jc w:val="center"/>
        </w:trPr>
        <w:tc>
          <w:tcPr>
            <w:tcW w:w="1469" w:type="dxa"/>
            <w:vAlign w:val="center"/>
          </w:tcPr>
          <w:p w:rsidR="007A2797" w:rsidRDefault="0012184B">
            <w:pPr>
              <w:jc w:val="left"/>
            </w:pPr>
            <w:r>
              <w:rPr>
                <w:color w:val="000000"/>
                <w:sz w:val="24"/>
              </w:rPr>
              <w:t>自基金合同生效起至今</w:t>
            </w:r>
          </w:p>
        </w:tc>
        <w:tc>
          <w:tcPr>
            <w:tcW w:w="1150" w:type="dxa"/>
            <w:vAlign w:val="center"/>
          </w:tcPr>
          <w:p w:rsidR="007A2797" w:rsidRDefault="0012184B">
            <w:pPr>
              <w:jc w:val="center"/>
            </w:pPr>
            <w:r>
              <w:rPr>
                <w:color w:val="000000"/>
                <w:sz w:val="24"/>
              </w:rPr>
              <w:t>27.30%</w:t>
            </w:r>
          </w:p>
        </w:tc>
        <w:tc>
          <w:tcPr>
            <w:tcW w:w="1223" w:type="dxa"/>
            <w:vAlign w:val="center"/>
          </w:tcPr>
          <w:p w:rsidR="007A2797" w:rsidRDefault="0012184B">
            <w:pPr>
              <w:jc w:val="center"/>
            </w:pPr>
            <w:r>
              <w:rPr>
                <w:color w:val="000000"/>
                <w:sz w:val="24"/>
              </w:rPr>
              <w:t>1.38%</w:t>
            </w:r>
          </w:p>
        </w:tc>
        <w:tc>
          <w:tcPr>
            <w:tcW w:w="1244" w:type="dxa"/>
            <w:vAlign w:val="center"/>
          </w:tcPr>
          <w:p w:rsidR="007A2797" w:rsidRDefault="0012184B">
            <w:pPr>
              <w:jc w:val="center"/>
            </w:pPr>
            <w:r>
              <w:rPr>
                <w:color w:val="000000"/>
                <w:sz w:val="24"/>
              </w:rPr>
              <w:t>14.61%</w:t>
            </w:r>
          </w:p>
        </w:tc>
        <w:tc>
          <w:tcPr>
            <w:tcW w:w="1251" w:type="dxa"/>
            <w:vAlign w:val="center"/>
          </w:tcPr>
          <w:p w:rsidR="007A2797" w:rsidRDefault="0012184B">
            <w:pPr>
              <w:jc w:val="center"/>
            </w:pPr>
            <w:r>
              <w:rPr>
                <w:color w:val="000000"/>
                <w:sz w:val="24"/>
              </w:rPr>
              <w:t>1.40%</w:t>
            </w:r>
          </w:p>
        </w:tc>
        <w:tc>
          <w:tcPr>
            <w:tcW w:w="1263" w:type="dxa"/>
            <w:vAlign w:val="center"/>
          </w:tcPr>
          <w:p w:rsidR="007A2797" w:rsidRDefault="0012184B">
            <w:pPr>
              <w:jc w:val="center"/>
            </w:pPr>
            <w:r>
              <w:rPr>
                <w:color w:val="000000"/>
                <w:sz w:val="24"/>
              </w:rPr>
              <w:t>12.69%</w:t>
            </w:r>
          </w:p>
        </w:tc>
        <w:tc>
          <w:tcPr>
            <w:tcW w:w="1268" w:type="dxa"/>
            <w:vAlign w:val="center"/>
          </w:tcPr>
          <w:p w:rsidR="007A2797" w:rsidRDefault="0012184B">
            <w:pPr>
              <w:jc w:val="center"/>
            </w:pPr>
            <w:r>
              <w:rPr>
                <w:color w:val="000000"/>
                <w:sz w:val="24"/>
              </w:rPr>
              <w:t>-0.02%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lastRenderedPageBreak/>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2020</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7A2797">
        <w:trPr>
          <w:jc w:val="center"/>
        </w:trPr>
        <w:tc>
          <w:tcPr>
            <w:tcW w:w="846" w:type="dxa"/>
            <w:vAlign w:val="center"/>
          </w:tcPr>
          <w:p w:rsidR="007A2797" w:rsidRDefault="0012184B">
            <w:pPr>
              <w:jc w:val="center"/>
            </w:pPr>
            <w:r>
              <w:rPr>
                <w:color w:val="000000"/>
                <w:sz w:val="24"/>
              </w:rPr>
              <w:t>蔡铮</w:t>
            </w:r>
          </w:p>
        </w:tc>
        <w:tc>
          <w:tcPr>
            <w:tcW w:w="845" w:type="dxa"/>
            <w:vAlign w:val="center"/>
          </w:tcPr>
          <w:p w:rsidR="007A2797" w:rsidRDefault="0012184B">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lastRenderedPageBreak/>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）、交银创业板</w:t>
            </w:r>
            <w:r>
              <w:rPr>
                <w:color w:val="000000"/>
                <w:sz w:val="24"/>
              </w:rPr>
              <w:t>50</w:t>
            </w:r>
            <w:r>
              <w:rPr>
                <w:color w:val="000000"/>
                <w:sz w:val="24"/>
              </w:rPr>
              <w:t>指数的基金经理，公司量化投资副总监兼多元</w:t>
            </w:r>
            <w:r>
              <w:rPr>
                <w:color w:val="000000"/>
                <w:sz w:val="24"/>
              </w:rPr>
              <w:lastRenderedPageBreak/>
              <w:t>资产管理副总监</w:t>
            </w:r>
          </w:p>
        </w:tc>
        <w:tc>
          <w:tcPr>
            <w:tcW w:w="1549" w:type="dxa"/>
            <w:vAlign w:val="center"/>
          </w:tcPr>
          <w:p w:rsidR="007A2797" w:rsidRDefault="0012184B">
            <w:pPr>
              <w:jc w:val="center"/>
            </w:pPr>
            <w:r>
              <w:rPr>
                <w:color w:val="000000"/>
                <w:sz w:val="24"/>
              </w:rPr>
              <w:lastRenderedPageBreak/>
              <w:t>2012-12-27</w:t>
            </w:r>
          </w:p>
        </w:tc>
        <w:tc>
          <w:tcPr>
            <w:tcW w:w="1548" w:type="dxa"/>
            <w:vAlign w:val="center"/>
          </w:tcPr>
          <w:p w:rsidR="007A2797" w:rsidRDefault="0012184B">
            <w:pPr>
              <w:jc w:val="center"/>
            </w:pPr>
            <w:r>
              <w:rPr>
                <w:color w:val="000000"/>
                <w:sz w:val="24"/>
              </w:rPr>
              <w:t>-</w:t>
            </w:r>
          </w:p>
        </w:tc>
        <w:tc>
          <w:tcPr>
            <w:tcW w:w="1407" w:type="dxa"/>
            <w:vAlign w:val="center"/>
          </w:tcPr>
          <w:p w:rsidR="007A2797" w:rsidRDefault="0012184B">
            <w:pPr>
              <w:jc w:val="center"/>
            </w:pPr>
            <w:r>
              <w:rPr>
                <w:color w:val="000000"/>
                <w:sz w:val="24"/>
              </w:rPr>
              <w:t>11</w:t>
            </w:r>
            <w:r>
              <w:rPr>
                <w:color w:val="000000"/>
                <w:sz w:val="24"/>
              </w:rPr>
              <w:t>年</w:t>
            </w:r>
          </w:p>
        </w:tc>
        <w:tc>
          <w:tcPr>
            <w:tcW w:w="2673" w:type="dxa"/>
            <w:vAlign w:val="center"/>
          </w:tcPr>
          <w:p w:rsidR="007A2797" w:rsidRDefault="0012184B" w:rsidP="002A4807">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lastRenderedPageBreak/>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r>
              <w:rPr>
                <w:color w:val="000000"/>
                <w:sz w:val="24"/>
              </w:rPr>
              <w:t>2018</w:t>
            </w:r>
            <w:r>
              <w:rPr>
                <w:color w:val="000000"/>
                <w:sz w:val="24"/>
              </w:rPr>
              <w:t>年</w:t>
            </w:r>
            <w:r>
              <w:rPr>
                <w:color w:val="000000"/>
                <w:sz w:val="24"/>
              </w:rPr>
              <w:t>5</w:t>
            </w:r>
            <w:r>
              <w:rPr>
                <w:color w:val="000000"/>
                <w:sz w:val="24"/>
              </w:rPr>
              <w:t>月</w:t>
            </w:r>
            <w:r>
              <w:rPr>
                <w:color w:val="000000"/>
                <w:sz w:val="24"/>
              </w:rPr>
              <w:t>18</w:t>
            </w:r>
            <w:r>
              <w:rPr>
                <w:color w:val="000000"/>
                <w:sz w:val="24"/>
              </w:rPr>
              <w:t>日至</w:t>
            </w:r>
            <w:r>
              <w:rPr>
                <w:color w:val="000000"/>
                <w:sz w:val="24"/>
              </w:rPr>
              <w:t>2020</w:t>
            </w:r>
            <w:r>
              <w:rPr>
                <w:color w:val="000000"/>
                <w:sz w:val="24"/>
              </w:rPr>
              <w:t>年</w:t>
            </w:r>
            <w:r w:rsidR="002A4807">
              <w:rPr>
                <w:color w:val="000000"/>
                <w:sz w:val="24"/>
              </w:rPr>
              <w:t>7</w:t>
            </w:r>
            <w:r>
              <w:rPr>
                <w:color w:val="000000"/>
                <w:sz w:val="24"/>
              </w:rPr>
              <w:t>月</w:t>
            </w:r>
            <w:r>
              <w:rPr>
                <w:color w:val="000000"/>
                <w:sz w:val="24"/>
              </w:rPr>
              <w:t>1</w:t>
            </w:r>
            <w:r w:rsidR="002A4807">
              <w:rPr>
                <w:color w:val="000000"/>
                <w:sz w:val="24"/>
              </w:rPr>
              <w:t>7</w:t>
            </w:r>
            <w:bookmarkStart w:id="1" w:name="_GoBack"/>
            <w:bookmarkEnd w:id="1"/>
            <w:r>
              <w:rPr>
                <w:color w:val="000000"/>
                <w:sz w:val="24"/>
              </w:rPr>
              <w:t>日担任交银施罗德致远量化智投策略定期开放混合型证券投资基金的基金经理。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公平交易制度的执行情况</w:t>
      </w:r>
    </w:p>
    <w:p w:rsidR="007A2797" w:rsidRDefault="0012184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A2797" w:rsidRDefault="0012184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A2797" w:rsidRDefault="0012184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7A2797" w:rsidRDefault="0012184B">
      <w:pPr>
        <w:spacing w:before="29" w:line="288" w:lineRule="auto"/>
        <w:ind w:firstLineChars="200" w:firstLine="480"/>
        <w:rPr>
          <w:color w:val="000000"/>
          <w:sz w:val="24"/>
        </w:rPr>
      </w:pPr>
      <w:r>
        <w:rPr>
          <w:color w:val="000000"/>
          <w:sz w:val="24"/>
        </w:rPr>
        <w:lastRenderedPageBreak/>
        <w:t>2020</w:t>
      </w:r>
      <w:r>
        <w:rPr>
          <w:color w:val="000000"/>
          <w:sz w:val="24"/>
        </w:rPr>
        <w:t>年二季度，国内新冠疫情得到有效控制，各行各业已在五月份逐步复工复产，经济指标持续好转。二季度我国经济处于恢复阶段，货币环境仍然较为宽松，整体经济恢复速度较为温和。受益于宏观刺激政策发力，工业生</w:t>
      </w:r>
      <w:r>
        <w:rPr>
          <w:color w:val="000000"/>
          <w:sz w:val="24"/>
        </w:rPr>
        <w:t>产增速与结构继续改善，但需求不足对工业生产形成一定制约，同时制造业投资增长疲弱，基建地产投资相对强势，消费动力仍显不足。在此经济背景下，二季度</w:t>
      </w:r>
      <w:r>
        <w:rPr>
          <w:color w:val="000000"/>
          <w:sz w:val="24"/>
        </w:rPr>
        <w:t>A</w:t>
      </w:r>
      <w:r>
        <w:rPr>
          <w:color w:val="000000"/>
          <w:sz w:val="24"/>
        </w:rPr>
        <w:t>股市场风险偏好稳步回升，市场点位震荡上行。作为跟踪基准指数的指数基金，二季度基金总体呈现震荡上行的走势。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w:t>
      </w:r>
      <w:r w:rsidRPr="00324C76">
        <w:rPr>
          <w:color w:val="000000"/>
          <w:sz w:val="24"/>
        </w:rPr>
        <w:t>2020</w:t>
      </w:r>
      <w:r w:rsidRPr="00324C76">
        <w:rPr>
          <w:color w:val="000000"/>
          <w:sz w:val="24"/>
        </w:rPr>
        <w:t>年三季度，随着国内疫情防控向好形势持续巩固，企业复工复产深入推进，国内经济继续保持修复性增长。未来我国财政和货币政策仍将大概率保持积极，货币政策边际放松的力度减弱，财政政策或将成为经济刺激的主要着力点。国内资本市场各项金融改革政策有序推进，创业板注册制细则落地，科创板</w:t>
      </w:r>
      <w:r w:rsidRPr="00324C76">
        <w:rPr>
          <w:color w:val="000000"/>
          <w:sz w:val="24"/>
        </w:rPr>
        <w:t>50</w:t>
      </w:r>
      <w:r w:rsidRPr="00324C76">
        <w:rPr>
          <w:color w:val="000000"/>
          <w:sz w:val="24"/>
        </w:rPr>
        <w:t>指数即将发布，同时上证综指编制规则迎来较大调整。这一系列措施有望提振市场信心与情绪，吸引增量资金入场。总体而言，从中长期来看我们对</w:t>
      </w:r>
      <w:r w:rsidRPr="00324C76">
        <w:rPr>
          <w:color w:val="000000"/>
          <w:sz w:val="24"/>
        </w:rPr>
        <w:t>A</w:t>
      </w:r>
      <w:r w:rsidRPr="00324C76">
        <w:rPr>
          <w:color w:val="000000"/>
          <w:sz w:val="24"/>
        </w:rPr>
        <w:t>股市场仍维持谨慎乐观的看法。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本基金（各类）份额净值及业绩表现请见</w:t>
      </w:r>
      <w:r w:rsidRPr="00324C76">
        <w:rPr>
          <w:color w:val="000000"/>
          <w:sz w:val="24"/>
        </w:rPr>
        <w:t>“3.1</w:t>
      </w:r>
      <w:r w:rsidRPr="00324C76">
        <w:rPr>
          <w:color w:val="000000"/>
          <w:sz w:val="24"/>
        </w:rPr>
        <w:t>主要财务指标</w:t>
      </w:r>
      <w:r w:rsidRPr="00324C76">
        <w:rPr>
          <w:color w:val="000000"/>
          <w:sz w:val="24"/>
        </w:rPr>
        <w:t xml:space="preserve">” </w:t>
      </w:r>
      <w:r w:rsidRPr="00324C76">
        <w:rPr>
          <w:color w:val="000000"/>
          <w:sz w:val="24"/>
        </w:rPr>
        <w:t>及</w:t>
      </w:r>
      <w:r w:rsidRPr="00324C76">
        <w:rPr>
          <w:color w:val="000000"/>
          <w:sz w:val="24"/>
        </w:rPr>
        <w:t xml:space="preserve">“3.2.1 </w:t>
      </w:r>
      <w:r w:rsidRPr="00324C76">
        <w:rPr>
          <w:color w:val="000000"/>
          <w:sz w:val="24"/>
        </w:rPr>
        <w:t>本报告期基金份额净值增长率及其与同期业绩比较基准收益率的比较</w:t>
      </w:r>
      <w:r w:rsidRPr="00324C76">
        <w:rPr>
          <w:color w:val="000000"/>
          <w:sz w:val="24"/>
        </w:rPr>
        <w:t>”</w:t>
      </w:r>
      <w:r w:rsidRPr="00324C76">
        <w:rPr>
          <w:color w:val="000000"/>
          <w:sz w:val="24"/>
        </w:rPr>
        <w:t>部分披露。</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48293C">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p w:rsidR="005F16FA" w:rsidRPr="005F16FA" w:rsidRDefault="005F16FA" w:rsidP="005F16FA">
      <w:pPr>
        <w:autoSpaceDE w:val="0"/>
        <w:autoSpaceDN w:val="0"/>
        <w:adjustRightInd w:val="0"/>
        <w:spacing w:line="360" w:lineRule="auto"/>
        <w:jc w:val="right"/>
        <w:rPr>
          <w:rFonts w:eastAsiaTheme="minorEastAsia"/>
          <w:color w:val="000000" w:themeColor="text1"/>
          <w:kern w:val="0"/>
          <w:sz w:val="24"/>
        </w:rPr>
      </w:pPr>
      <w:r w:rsidRPr="005F16FA">
        <w:rPr>
          <w:rFonts w:eastAsiaTheme="minorEastAsia" w:hint="eastAsia"/>
          <w:color w:val="000000" w:themeColor="text1"/>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p>
        </w:tc>
        <w:tc>
          <w:tcPr>
            <w:tcW w:w="2801" w:type="dxa"/>
            <w:vAlign w:val="center"/>
          </w:tcPr>
          <w:p w:rsidR="00BA170A" w:rsidRPr="00AE0465" w:rsidRDefault="00644EC3"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44,826.74</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44,826.74</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272,465,307.46</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93.68</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1,495,239.50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0.51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1,495,239.50</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0.51</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lastRenderedPageBreak/>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16,663,913.09</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5.73</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174,164.49</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290,843,451.28</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7A2797">
        <w:trPr>
          <w:jc w:val="center"/>
        </w:trPr>
        <w:tc>
          <w:tcPr>
            <w:tcW w:w="1265" w:type="dxa"/>
            <w:vAlign w:val="center"/>
          </w:tcPr>
          <w:p w:rsidR="007A2797" w:rsidRDefault="0012184B">
            <w:pPr>
              <w:jc w:val="center"/>
            </w:pPr>
            <w:r>
              <w:rPr>
                <w:sz w:val="24"/>
              </w:rPr>
              <w:t>1</w:t>
            </w:r>
          </w:p>
        </w:tc>
        <w:tc>
          <w:tcPr>
            <w:tcW w:w="1266" w:type="dxa"/>
            <w:vAlign w:val="center"/>
          </w:tcPr>
          <w:p w:rsidR="007A2797" w:rsidRDefault="0012184B">
            <w:pPr>
              <w:jc w:val="center"/>
            </w:pPr>
            <w:r>
              <w:rPr>
                <w:sz w:val="24"/>
              </w:rPr>
              <w:t>上证</w:t>
            </w:r>
            <w:r>
              <w:rPr>
                <w:sz w:val="24"/>
              </w:rPr>
              <w:t>180</w:t>
            </w:r>
            <w:r>
              <w:rPr>
                <w:sz w:val="24"/>
              </w:rPr>
              <w:t>公司治理交易型开放式指数证券投资基金</w:t>
            </w:r>
          </w:p>
        </w:tc>
        <w:tc>
          <w:tcPr>
            <w:tcW w:w="1267" w:type="dxa"/>
            <w:vAlign w:val="center"/>
          </w:tcPr>
          <w:p w:rsidR="007A2797" w:rsidRDefault="0012184B">
            <w:pPr>
              <w:jc w:val="center"/>
            </w:pPr>
            <w:r>
              <w:rPr>
                <w:sz w:val="24"/>
              </w:rPr>
              <w:t>股票型</w:t>
            </w:r>
          </w:p>
        </w:tc>
        <w:tc>
          <w:tcPr>
            <w:tcW w:w="1267" w:type="dxa"/>
            <w:vAlign w:val="center"/>
          </w:tcPr>
          <w:p w:rsidR="007A2797" w:rsidRDefault="0012184B">
            <w:pPr>
              <w:jc w:val="center"/>
            </w:pPr>
            <w:r>
              <w:rPr>
                <w:sz w:val="24"/>
              </w:rPr>
              <w:t>交易型开放式</w:t>
            </w:r>
          </w:p>
        </w:tc>
        <w:tc>
          <w:tcPr>
            <w:tcW w:w="1267" w:type="dxa"/>
            <w:vAlign w:val="center"/>
          </w:tcPr>
          <w:p w:rsidR="007A2797" w:rsidRDefault="0012184B">
            <w:pPr>
              <w:jc w:val="center"/>
            </w:pPr>
            <w:r>
              <w:rPr>
                <w:sz w:val="24"/>
              </w:rPr>
              <w:t>交银施罗德基金管理有限公司</w:t>
            </w:r>
          </w:p>
        </w:tc>
        <w:tc>
          <w:tcPr>
            <w:tcW w:w="1268" w:type="dxa"/>
            <w:vAlign w:val="center"/>
          </w:tcPr>
          <w:p w:rsidR="007A2797" w:rsidRDefault="0012184B">
            <w:pPr>
              <w:jc w:val="right"/>
            </w:pPr>
            <w:r>
              <w:rPr>
                <w:sz w:val="24"/>
              </w:rPr>
              <w:t>272,465,307.46</w:t>
            </w:r>
          </w:p>
        </w:tc>
        <w:tc>
          <w:tcPr>
            <w:tcW w:w="1268" w:type="dxa"/>
            <w:vAlign w:val="center"/>
          </w:tcPr>
          <w:p w:rsidR="007A2797" w:rsidRDefault="0012184B">
            <w:pPr>
              <w:jc w:val="right"/>
            </w:pPr>
            <w:r>
              <w:rPr>
                <w:sz w:val="24"/>
              </w:rPr>
              <w:t>94.19</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Default="000D27BF" w:rsidP="000D27BF">
      <w:pPr>
        <w:rPr>
          <w:rFonts w:eastAsiaTheme="minorEastAsia"/>
          <w:b/>
          <w:color w:val="000000" w:themeColor="text1"/>
          <w:kern w:val="0"/>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p w:rsidR="00D17C3D" w:rsidRPr="005312D8" w:rsidRDefault="00D17C3D" w:rsidP="00D17C3D">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1C78B5">
            <w:pPr>
              <w:adjustRightInd w:val="0"/>
              <w:snapToGrid w:val="0"/>
              <w:spacing w:before="29" w:line="288" w:lineRule="auto"/>
              <w:jc w:val="center"/>
              <w:rPr>
                <w:sz w:val="24"/>
              </w:rPr>
            </w:pPr>
            <w:r w:rsidRPr="00324C76">
              <w:rPr>
                <w:sz w:val="24"/>
              </w:rPr>
              <w:t>公允价值</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1,515.64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95.40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lastRenderedPageBreak/>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41,983.20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839.50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312.00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44,826.74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7A2797">
        <w:trPr>
          <w:jc w:val="center"/>
        </w:trPr>
        <w:tc>
          <w:tcPr>
            <w:tcW w:w="849" w:type="dxa"/>
            <w:vAlign w:val="center"/>
          </w:tcPr>
          <w:p w:rsidR="007A2797" w:rsidRDefault="0012184B">
            <w:pPr>
              <w:jc w:val="center"/>
            </w:pPr>
            <w:r>
              <w:rPr>
                <w:color w:val="000000"/>
                <w:sz w:val="24"/>
              </w:rPr>
              <w:t>1</w:t>
            </w:r>
          </w:p>
        </w:tc>
        <w:tc>
          <w:tcPr>
            <w:tcW w:w="1327" w:type="dxa"/>
            <w:vAlign w:val="center"/>
          </w:tcPr>
          <w:p w:rsidR="007A2797" w:rsidRDefault="0012184B">
            <w:pPr>
              <w:jc w:val="center"/>
            </w:pPr>
            <w:r>
              <w:rPr>
                <w:color w:val="000000"/>
                <w:sz w:val="24"/>
              </w:rPr>
              <w:t>600588</w:t>
            </w:r>
          </w:p>
        </w:tc>
        <w:tc>
          <w:tcPr>
            <w:tcW w:w="1621" w:type="dxa"/>
            <w:vAlign w:val="center"/>
          </w:tcPr>
          <w:p w:rsidR="007A2797" w:rsidRDefault="0012184B">
            <w:pPr>
              <w:jc w:val="center"/>
            </w:pPr>
            <w:r>
              <w:rPr>
                <w:color w:val="000000"/>
                <w:sz w:val="24"/>
              </w:rPr>
              <w:t>用友网络</w:t>
            </w:r>
          </w:p>
        </w:tc>
        <w:tc>
          <w:tcPr>
            <w:tcW w:w="1769" w:type="dxa"/>
            <w:vAlign w:val="center"/>
          </w:tcPr>
          <w:p w:rsidR="007A2797" w:rsidRDefault="0012184B">
            <w:pPr>
              <w:jc w:val="right"/>
            </w:pPr>
            <w:r>
              <w:rPr>
                <w:color w:val="000000"/>
                <w:sz w:val="24"/>
              </w:rPr>
              <w:t>952</w:t>
            </w:r>
          </w:p>
        </w:tc>
        <w:tc>
          <w:tcPr>
            <w:tcW w:w="2211" w:type="dxa"/>
            <w:vAlign w:val="center"/>
          </w:tcPr>
          <w:p w:rsidR="007A2797" w:rsidRDefault="0012184B">
            <w:pPr>
              <w:jc w:val="right"/>
            </w:pPr>
            <w:r>
              <w:rPr>
                <w:color w:val="000000"/>
                <w:sz w:val="24"/>
              </w:rPr>
              <w:t>41,983.20</w:t>
            </w:r>
          </w:p>
        </w:tc>
        <w:tc>
          <w:tcPr>
            <w:tcW w:w="1091" w:type="dxa"/>
            <w:vAlign w:val="center"/>
          </w:tcPr>
          <w:p w:rsidR="007A2797" w:rsidRDefault="0012184B">
            <w:pPr>
              <w:jc w:val="right"/>
            </w:pPr>
            <w:r>
              <w:rPr>
                <w:color w:val="000000"/>
                <w:sz w:val="24"/>
              </w:rPr>
              <w:t>0.01</w:t>
            </w:r>
          </w:p>
        </w:tc>
      </w:tr>
      <w:tr w:rsidR="007A2797">
        <w:trPr>
          <w:jc w:val="center"/>
        </w:trPr>
        <w:tc>
          <w:tcPr>
            <w:tcW w:w="849" w:type="dxa"/>
            <w:vAlign w:val="center"/>
          </w:tcPr>
          <w:p w:rsidR="007A2797" w:rsidRDefault="0012184B">
            <w:pPr>
              <w:jc w:val="center"/>
            </w:pPr>
            <w:r>
              <w:rPr>
                <w:color w:val="000000"/>
                <w:sz w:val="24"/>
              </w:rPr>
              <w:t>2</w:t>
            </w:r>
          </w:p>
        </w:tc>
        <w:tc>
          <w:tcPr>
            <w:tcW w:w="1327" w:type="dxa"/>
            <w:vAlign w:val="center"/>
          </w:tcPr>
          <w:p w:rsidR="007A2797" w:rsidRDefault="0012184B">
            <w:pPr>
              <w:jc w:val="center"/>
            </w:pPr>
            <w:r>
              <w:rPr>
                <w:color w:val="000000"/>
                <w:sz w:val="24"/>
              </w:rPr>
              <w:t>600535</w:t>
            </w:r>
          </w:p>
        </w:tc>
        <w:tc>
          <w:tcPr>
            <w:tcW w:w="1621" w:type="dxa"/>
            <w:vAlign w:val="center"/>
          </w:tcPr>
          <w:p w:rsidR="007A2797" w:rsidRDefault="0012184B">
            <w:pPr>
              <w:jc w:val="center"/>
            </w:pPr>
            <w:r>
              <w:rPr>
                <w:color w:val="000000"/>
                <w:sz w:val="24"/>
              </w:rPr>
              <w:t>天士力</w:t>
            </w:r>
          </w:p>
        </w:tc>
        <w:tc>
          <w:tcPr>
            <w:tcW w:w="1769" w:type="dxa"/>
            <w:vAlign w:val="center"/>
          </w:tcPr>
          <w:p w:rsidR="007A2797" w:rsidRDefault="0012184B">
            <w:pPr>
              <w:jc w:val="right"/>
            </w:pPr>
            <w:r>
              <w:rPr>
                <w:color w:val="000000"/>
                <w:sz w:val="24"/>
              </w:rPr>
              <w:t>40</w:t>
            </w:r>
          </w:p>
        </w:tc>
        <w:tc>
          <w:tcPr>
            <w:tcW w:w="2211" w:type="dxa"/>
            <w:vAlign w:val="center"/>
          </w:tcPr>
          <w:p w:rsidR="007A2797" w:rsidRDefault="0012184B">
            <w:pPr>
              <w:jc w:val="right"/>
            </w:pPr>
            <w:r>
              <w:rPr>
                <w:color w:val="000000"/>
                <w:sz w:val="24"/>
              </w:rPr>
              <w:t>648.80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3</w:t>
            </w:r>
          </w:p>
        </w:tc>
        <w:tc>
          <w:tcPr>
            <w:tcW w:w="1327" w:type="dxa"/>
            <w:vAlign w:val="center"/>
          </w:tcPr>
          <w:p w:rsidR="007A2797" w:rsidRDefault="0012184B">
            <w:pPr>
              <w:jc w:val="center"/>
            </w:pPr>
            <w:r>
              <w:rPr>
                <w:color w:val="000000"/>
                <w:sz w:val="24"/>
              </w:rPr>
              <w:t>600549</w:t>
            </w:r>
          </w:p>
        </w:tc>
        <w:tc>
          <w:tcPr>
            <w:tcW w:w="1621" w:type="dxa"/>
            <w:vAlign w:val="center"/>
          </w:tcPr>
          <w:p w:rsidR="007A2797" w:rsidRDefault="0012184B">
            <w:pPr>
              <w:jc w:val="center"/>
            </w:pPr>
            <w:r>
              <w:rPr>
                <w:color w:val="000000"/>
                <w:sz w:val="24"/>
              </w:rPr>
              <w:t>厦门钨业</w:t>
            </w:r>
          </w:p>
        </w:tc>
        <w:tc>
          <w:tcPr>
            <w:tcW w:w="1769" w:type="dxa"/>
            <w:vAlign w:val="center"/>
          </w:tcPr>
          <w:p w:rsidR="007A2797" w:rsidRDefault="0012184B">
            <w:pPr>
              <w:jc w:val="right"/>
            </w:pPr>
            <w:r>
              <w:rPr>
                <w:color w:val="000000"/>
                <w:sz w:val="24"/>
              </w:rPr>
              <w:t>40</w:t>
            </w:r>
          </w:p>
        </w:tc>
        <w:tc>
          <w:tcPr>
            <w:tcW w:w="2211" w:type="dxa"/>
            <w:vAlign w:val="center"/>
          </w:tcPr>
          <w:p w:rsidR="007A2797" w:rsidRDefault="0012184B">
            <w:pPr>
              <w:jc w:val="right"/>
            </w:pPr>
            <w:r>
              <w:rPr>
                <w:color w:val="000000"/>
                <w:sz w:val="24"/>
              </w:rPr>
              <w:t>473.60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4</w:t>
            </w:r>
          </w:p>
        </w:tc>
        <w:tc>
          <w:tcPr>
            <w:tcW w:w="1327" w:type="dxa"/>
            <w:vAlign w:val="center"/>
          </w:tcPr>
          <w:p w:rsidR="007A2797" w:rsidRDefault="0012184B">
            <w:pPr>
              <w:jc w:val="center"/>
            </w:pPr>
            <w:r>
              <w:rPr>
                <w:color w:val="000000"/>
                <w:sz w:val="24"/>
              </w:rPr>
              <w:t>600000</w:t>
            </w:r>
          </w:p>
        </w:tc>
        <w:tc>
          <w:tcPr>
            <w:tcW w:w="1621" w:type="dxa"/>
            <w:vAlign w:val="center"/>
          </w:tcPr>
          <w:p w:rsidR="007A2797" w:rsidRDefault="0012184B">
            <w:pPr>
              <w:jc w:val="center"/>
            </w:pPr>
            <w:r>
              <w:rPr>
                <w:color w:val="000000"/>
                <w:sz w:val="24"/>
              </w:rPr>
              <w:t>浦发银行</w:t>
            </w:r>
          </w:p>
        </w:tc>
        <w:tc>
          <w:tcPr>
            <w:tcW w:w="1769" w:type="dxa"/>
            <w:vAlign w:val="center"/>
          </w:tcPr>
          <w:p w:rsidR="007A2797" w:rsidRDefault="0012184B">
            <w:pPr>
              <w:jc w:val="right"/>
            </w:pPr>
            <w:r>
              <w:rPr>
                <w:color w:val="000000"/>
                <w:sz w:val="24"/>
              </w:rPr>
              <w:t>40</w:t>
            </w:r>
          </w:p>
        </w:tc>
        <w:tc>
          <w:tcPr>
            <w:tcW w:w="2211" w:type="dxa"/>
            <w:vAlign w:val="center"/>
          </w:tcPr>
          <w:p w:rsidR="007A2797" w:rsidRDefault="0012184B">
            <w:pPr>
              <w:jc w:val="right"/>
            </w:pPr>
            <w:r>
              <w:rPr>
                <w:color w:val="000000"/>
                <w:sz w:val="24"/>
              </w:rPr>
              <w:t>423.20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5</w:t>
            </w:r>
          </w:p>
        </w:tc>
        <w:tc>
          <w:tcPr>
            <w:tcW w:w="1327" w:type="dxa"/>
            <w:vAlign w:val="center"/>
          </w:tcPr>
          <w:p w:rsidR="007A2797" w:rsidRDefault="0012184B">
            <w:pPr>
              <w:jc w:val="center"/>
            </w:pPr>
            <w:r>
              <w:rPr>
                <w:color w:val="000000"/>
                <w:sz w:val="24"/>
              </w:rPr>
              <w:t>601555</w:t>
            </w:r>
          </w:p>
        </w:tc>
        <w:tc>
          <w:tcPr>
            <w:tcW w:w="1621" w:type="dxa"/>
            <w:vAlign w:val="center"/>
          </w:tcPr>
          <w:p w:rsidR="007A2797" w:rsidRDefault="0012184B">
            <w:pPr>
              <w:jc w:val="center"/>
            </w:pPr>
            <w:r>
              <w:rPr>
                <w:color w:val="000000"/>
                <w:sz w:val="24"/>
              </w:rPr>
              <w:t>东吴证券</w:t>
            </w:r>
          </w:p>
        </w:tc>
        <w:tc>
          <w:tcPr>
            <w:tcW w:w="1769" w:type="dxa"/>
            <w:vAlign w:val="center"/>
          </w:tcPr>
          <w:p w:rsidR="007A2797" w:rsidRDefault="0012184B">
            <w:pPr>
              <w:jc w:val="right"/>
            </w:pPr>
            <w:r>
              <w:rPr>
                <w:color w:val="000000"/>
                <w:sz w:val="24"/>
              </w:rPr>
              <w:t>50</w:t>
            </w:r>
          </w:p>
        </w:tc>
        <w:tc>
          <w:tcPr>
            <w:tcW w:w="2211" w:type="dxa"/>
            <w:vAlign w:val="center"/>
          </w:tcPr>
          <w:p w:rsidR="007A2797" w:rsidRDefault="0012184B">
            <w:pPr>
              <w:jc w:val="right"/>
            </w:pPr>
            <w:r>
              <w:rPr>
                <w:color w:val="000000"/>
                <w:sz w:val="24"/>
              </w:rPr>
              <w:t>408.00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6</w:t>
            </w:r>
          </w:p>
        </w:tc>
        <w:tc>
          <w:tcPr>
            <w:tcW w:w="1327" w:type="dxa"/>
            <w:vAlign w:val="center"/>
          </w:tcPr>
          <w:p w:rsidR="007A2797" w:rsidRDefault="0012184B">
            <w:pPr>
              <w:jc w:val="center"/>
            </w:pPr>
            <w:r>
              <w:rPr>
                <w:color w:val="000000"/>
                <w:sz w:val="24"/>
              </w:rPr>
              <w:t>601200</w:t>
            </w:r>
          </w:p>
        </w:tc>
        <w:tc>
          <w:tcPr>
            <w:tcW w:w="1621" w:type="dxa"/>
            <w:vAlign w:val="center"/>
          </w:tcPr>
          <w:p w:rsidR="007A2797" w:rsidRDefault="0012184B">
            <w:pPr>
              <w:jc w:val="center"/>
            </w:pPr>
            <w:r>
              <w:rPr>
                <w:color w:val="000000"/>
                <w:sz w:val="24"/>
              </w:rPr>
              <w:t>上海环境</w:t>
            </w:r>
          </w:p>
        </w:tc>
        <w:tc>
          <w:tcPr>
            <w:tcW w:w="1769" w:type="dxa"/>
            <w:vAlign w:val="center"/>
          </w:tcPr>
          <w:p w:rsidR="007A2797" w:rsidRDefault="0012184B">
            <w:pPr>
              <w:jc w:val="right"/>
            </w:pPr>
            <w:r>
              <w:rPr>
                <w:color w:val="000000"/>
                <w:sz w:val="24"/>
              </w:rPr>
              <w:t>26</w:t>
            </w:r>
          </w:p>
        </w:tc>
        <w:tc>
          <w:tcPr>
            <w:tcW w:w="2211" w:type="dxa"/>
            <w:vAlign w:val="center"/>
          </w:tcPr>
          <w:p w:rsidR="007A2797" w:rsidRDefault="0012184B">
            <w:pPr>
              <w:jc w:val="right"/>
            </w:pPr>
            <w:r>
              <w:rPr>
                <w:color w:val="000000"/>
                <w:sz w:val="24"/>
              </w:rPr>
              <w:t>312.00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7</w:t>
            </w:r>
          </w:p>
        </w:tc>
        <w:tc>
          <w:tcPr>
            <w:tcW w:w="1327" w:type="dxa"/>
            <w:vAlign w:val="center"/>
          </w:tcPr>
          <w:p w:rsidR="007A2797" w:rsidRDefault="0012184B">
            <w:pPr>
              <w:jc w:val="center"/>
            </w:pPr>
            <w:r>
              <w:rPr>
                <w:color w:val="000000"/>
                <w:sz w:val="24"/>
              </w:rPr>
              <w:t>600089</w:t>
            </w:r>
          </w:p>
        </w:tc>
        <w:tc>
          <w:tcPr>
            <w:tcW w:w="1621" w:type="dxa"/>
            <w:vAlign w:val="center"/>
          </w:tcPr>
          <w:p w:rsidR="007A2797" w:rsidRDefault="0012184B">
            <w:pPr>
              <w:jc w:val="center"/>
            </w:pPr>
            <w:r>
              <w:rPr>
                <w:color w:val="000000"/>
                <w:sz w:val="24"/>
              </w:rPr>
              <w:t>特变电工</w:t>
            </w:r>
          </w:p>
        </w:tc>
        <w:tc>
          <w:tcPr>
            <w:tcW w:w="1769" w:type="dxa"/>
            <w:vAlign w:val="center"/>
          </w:tcPr>
          <w:p w:rsidR="007A2797" w:rsidRDefault="0012184B">
            <w:pPr>
              <w:jc w:val="right"/>
            </w:pPr>
            <w:r>
              <w:rPr>
                <w:color w:val="000000"/>
                <w:sz w:val="24"/>
              </w:rPr>
              <w:t>44</w:t>
            </w:r>
          </w:p>
        </w:tc>
        <w:tc>
          <w:tcPr>
            <w:tcW w:w="2211" w:type="dxa"/>
            <w:vAlign w:val="center"/>
          </w:tcPr>
          <w:p w:rsidR="007A2797" w:rsidRDefault="0012184B">
            <w:pPr>
              <w:jc w:val="right"/>
            </w:pPr>
            <w:r>
              <w:rPr>
                <w:color w:val="000000"/>
                <w:sz w:val="24"/>
              </w:rPr>
              <w:t>297.88</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8</w:t>
            </w:r>
          </w:p>
        </w:tc>
        <w:tc>
          <w:tcPr>
            <w:tcW w:w="1327" w:type="dxa"/>
            <w:vAlign w:val="center"/>
          </w:tcPr>
          <w:p w:rsidR="007A2797" w:rsidRDefault="0012184B">
            <w:pPr>
              <w:jc w:val="center"/>
            </w:pPr>
            <w:r>
              <w:rPr>
                <w:color w:val="000000"/>
                <w:sz w:val="24"/>
              </w:rPr>
              <w:t>601668</w:t>
            </w:r>
          </w:p>
        </w:tc>
        <w:tc>
          <w:tcPr>
            <w:tcW w:w="1621" w:type="dxa"/>
            <w:vAlign w:val="center"/>
          </w:tcPr>
          <w:p w:rsidR="007A2797" w:rsidRDefault="0012184B">
            <w:pPr>
              <w:jc w:val="center"/>
            </w:pPr>
            <w:r>
              <w:rPr>
                <w:color w:val="000000"/>
                <w:sz w:val="24"/>
              </w:rPr>
              <w:t>中国建筑</w:t>
            </w:r>
          </w:p>
        </w:tc>
        <w:tc>
          <w:tcPr>
            <w:tcW w:w="1769" w:type="dxa"/>
            <w:vAlign w:val="center"/>
          </w:tcPr>
          <w:p w:rsidR="007A2797" w:rsidRDefault="0012184B">
            <w:pPr>
              <w:jc w:val="right"/>
            </w:pPr>
            <w:r>
              <w:rPr>
                <w:color w:val="000000"/>
                <w:sz w:val="24"/>
              </w:rPr>
              <w:t>20</w:t>
            </w:r>
          </w:p>
        </w:tc>
        <w:tc>
          <w:tcPr>
            <w:tcW w:w="2211" w:type="dxa"/>
            <w:vAlign w:val="center"/>
          </w:tcPr>
          <w:p w:rsidR="007A2797" w:rsidRDefault="0012184B">
            <w:pPr>
              <w:jc w:val="right"/>
            </w:pPr>
            <w:r>
              <w:rPr>
                <w:color w:val="000000"/>
                <w:sz w:val="24"/>
              </w:rPr>
              <w:t>95.40</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t>9</w:t>
            </w:r>
          </w:p>
        </w:tc>
        <w:tc>
          <w:tcPr>
            <w:tcW w:w="1327" w:type="dxa"/>
            <w:vAlign w:val="center"/>
          </w:tcPr>
          <w:p w:rsidR="007A2797" w:rsidRDefault="0012184B">
            <w:pPr>
              <w:jc w:val="center"/>
            </w:pPr>
            <w:r>
              <w:rPr>
                <w:color w:val="000000"/>
                <w:sz w:val="24"/>
              </w:rPr>
              <w:t>600177</w:t>
            </w:r>
          </w:p>
        </w:tc>
        <w:tc>
          <w:tcPr>
            <w:tcW w:w="1621" w:type="dxa"/>
            <w:vAlign w:val="center"/>
          </w:tcPr>
          <w:p w:rsidR="007A2797" w:rsidRDefault="0012184B">
            <w:pPr>
              <w:jc w:val="center"/>
            </w:pPr>
            <w:r>
              <w:rPr>
                <w:color w:val="000000"/>
                <w:sz w:val="24"/>
              </w:rPr>
              <w:t>雅戈尔</w:t>
            </w:r>
          </w:p>
        </w:tc>
        <w:tc>
          <w:tcPr>
            <w:tcW w:w="1769" w:type="dxa"/>
            <w:vAlign w:val="center"/>
          </w:tcPr>
          <w:p w:rsidR="007A2797" w:rsidRDefault="0012184B">
            <w:pPr>
              <w:jc w:val="right"/>
            </w:pPr>
            <w:r>
              <w:rPr>
                <w:color w:val="000000"/>
                <w:sz w:val="24"/>
              </w:rPr>
              <w:t>16</w:t>
            </w:r>
          </w:p>
        </w:tc>
        <w:tc>
          <w:tcPr>
            <w:tcW w:w="2211" w:type="dxa"/>
            <w:vAlign w:val="center"/>
          </w:tcPr>
          <w:p w:rsidR="007A2797" w:rsidRDefault="0012184B">
            <w:pPr>
              <w:jc w:val="right"/>
            </w:pPr>
            <w:r>
              <w:rPr>
                <w:color w:val="000000"/>
                <w:sz w:val="24"/>
              </w:rPr>
              <w:t>95.36</w:t>
            </w:r>
          </w:p>
        </w:tc>
        <w:tc>
          <w:tcPr>
            <w:tcW w:w="1091" w:type="dxa"/>
            <w:vAlign w:val="center"/>
          </w:tcPr>
          <w:p w:rsidR="007A2797" w:rsidRDefault="0012184B">
            <w:pPr>
              <w:jc w:val="right"/>
            </w:pPr>
            <w:r>
              <w:rPr>
                <w:color w:val="000000"/>
                <w:sz w:val="24"/>
              </w:rPr>
              <w:t>0.00</w:t>
            </w:r>
          </w:p>
        </w:tc>
      </w:tr>
      <w:tr w:rsidR="007A2797">
        <w:trPr>
          <w:jc w:val="center"/>
        </w:trPr>
        <w:tc>
          <w:tcPr>
            <w:tcW w:w="849" w:type="dxa"/>
            <w:vAlign w:val="center"/>
          </w:tcPr>
          <w:p w:rsidR="007A2797" w:rsidRDefault="0012184B">
            <w:pPr>
              <w:jc w:val="center"/>
            </w:pPr>
            <w:r>
              <w:rPr>
                <w:color w:val="000000"/>
                <w:sz w:val="24"/>
              </w:rPr>
              <w:lastRenderedPageBreak/>
              <w:t>10</w:t>
            </w:r>
          </w:p>
        </w:tc>
        <w:tc>
          <w:tcPr>
            <w:tcW w:w="1327" w:type="dxa"/>
            <w:vAlign w:val="center"/>
          </w:tcPr>
          <w:p w:rsidR="007A2797" w:rsidRDefault="0012184B">
            <w:pPr>
              <w:jc w:val="center"/>
            </w:pPr>
            <w:r>
              <w:rPr>
                <w:color w:val="000000"/>
                <w:sz w:val="24"/>
              </w:rPr>
              <w:t>600153</w:t>
            </w:r>
          </w:p>
        </w:tc>
        <w:tc>
          <w:tcPr>
            <w:tcW w:w="1621" w:type="dxa"/>
            <w:vAlign w:val="center"/>
          </w:tcPr>
          <w:p w:rsidR="007A2797" w:rsidRDefault="0012184B">
            <w:pPr>
              <w:jc w:val="center"/>
            </w:pPr>
            <w:r>
              <w:rPr>
                <w:color w:val="000000"/>
                <w:sz w:val="24"/>
              </w:rPr>
              <w:t>建发股份</w:t>
            </w:r>
          </w:p>
        </w:tc>
        <w:tc>
          <w:tcPr>
            <w:tcW w:w="1769" w:type="dxa"/>
            <w:vAlign w:val="center"/>
          </w:tcPr>
          <w:p w:rsidR="007A2797" w:rsidRDefault="0012184B">
            <w:pPr>
              <w:jc w:val="right"/>
            </w:pPr>
            <w:r>
              <w:rPr>
                <w:color w:val="000000"/>
                <w:sz w:val="24"/>
              </w:rPr>
              <w:t>10</w:t>
            </w:r>
          </w:p>
        </w:tc>
        <w:tc>
          <w:tcPr>
            <w:tcW w:w="2211" w:type="dxa"/>
            <w:vAlign w:val="center"/>
          </w:tcPr>
          <w:p w:rsidR="007A2797" w:rsidRDefault="0012184B">
            <w:pPr>
              <w:jc w:val="right"/>
            </w:pPr>
            <w:r>
              <w:rPr>
                <w:color w:val="000000"/>
                <w:sz w:val="24"/>
              </w:rPr>
              <w:t>81.00</w:t>
            </w:r>
          </w:p>
        </w:tc>
        <w:tc>
          <w:tcPr>
            <w:tcW w:w="1091" w:type="dxa"/>
            <w:vAlign w:val="center"/>
          </w:tcPr>
          <w:p w:rsidR="007A2797" w:rsidRDefault="0012184B">
            <w:pPr>
              <w:jc w:val="right"/>
            </w:pPr>
            <w:r>
              <w:rPr>
                <w:color w:val="000000"/>
                <w:sz w:val="24"/>
              </w:rPr>
              <w:t>0.00</w:t>
            </w:r>
          </w:p>
        </w:tc>
      </w:tr>
    </w:tbl>
    <w:p w:rsidR="00BA574A" w:rsidRPr="00324C76" w:rsidRDefault="00BA574A"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E5633B" w:rsidRPr="00A34903" w:rsidRDefault="00E5633B" w:rsidP="00E5633B">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Style w:val="af7"/>
        <w:tblW w:w="8868" w:type="dxa"/>
        <w:jc w:val="center"/>
        <w:tblLayout w:type="fixed"/>
        <w:tblLook w:val="04A0" w:firstRow="1" w:lastRow="0" w:firstColumn="1" w:lastColumn="0" w:noHBand="0" w:noVBand="1"/>
      </w:tblPr>
      <w:tblGrid>
        <w:gridCol w:w="850"/>
        <w:gridCol w:w="3390"/>
        <w:gridCol w:w="2801"/>
        <w:gridCol w:w="1827"/>
      </w:tblGrid>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339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债券品种</w:t>
            </w:r>
          </w:p>
        </w:tc>
        <w:tc>
          <w:tcPr>
            <w:tcW w:w="2801" w:type="dxa"/>
            <w:vAlign w:val="center"/>
          </w:tcPr>
          <w:p w:rsidR="00BA574A" w:rsidRPr="00324C76" w:rsidRDefault="00BA574A" w:rsidP="00AA5BDE">
            <w:pPr>
              <w:spacing w:before="29" w:line="288" w:lineRule="auto"/>
              <w:ind w:left="17"/>
              <w:jc w:val="center"/>
              <w:rPr>
                <w:color w:val="000000"/>
                <w:sz w:val="24"/>
              </w:rPr>
            </w:pPr>
            <w:r w:rsidRPr="00324C76">
              <w:rPr>
                <w:color w:val="000000"/>
                <w:sz w:val="24"/>
              </w:rPr>
              <w:t>公允价值</w:t>
            </w:r>
          </w:p>
        </w:tc>
        <w:tc>
          <w:tcPr>
            <w:tcW w:w="18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E81ABD"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1</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国家债券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2</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央行票据</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3</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金融债券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1,495,239.50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0.52</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其中：政策性金融债</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1,495,239.50</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0.52</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4</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企业债券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BA574A" w:rsidRPr="00324C76" w:rsidTr="004F1DD8">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5</w:t>
            </w:r>
          </w:p>
        </w:tc>
        <w:tc>
          <w:tcPr>
            <w:tcW w:w="3390" w:type="dxa"/>
            <w:vAlign w:val="center"/>
          </w:tcPr>
          <w:p w:rsidR="00BA574A" w:rsidRPr="00324C76" w:rsidRDefault="00BA574A" w:rsidP="00B04217">
            <w:pPr>
              <w:spacing w:before="29" w:line="288" w:lineRule="auto"/>
              <w:ind w:left="17"/>
              <w:jc w:val="left"/>
              <w:rPr>
                <w:color w:val="000000"/>
                <w:sz w:val="24"/>
              </w:rPr>
            </w:pPr>
            <w:r w:rsidRPr="00324C76">
              <w:rPr>
                <w:color w:val="000000"/>
                <w:sz w:val="24"/>
              </w:rPr>
              <w:t>企业短期融资</w:t>
            </w:r>
            <w:r w:rsidR="00E147F9" w:rsidRPr="00324C76">
              <w:rPr>
                <w:color w:val="000000"/>
                <w:sz w:val="24"/>
              </w:rPr>
              <w:t>券</w:t>
            </w:r>
          </w:p>
        </w:tc>
        <w:tc>
          <w:tcPr>
            <w:tcW w:w="2801"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c>
          <w:tcPr>
            <w:tcW w:w="1827" w:type="dxa"/>
            <w:vAlign w:val="center"/>
          </w:tcPr>
          <w:p w:rsidR="00BA574A" w:rsidRPr="00324C76" w:rsidRDefault="00BA574A"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6</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中期票据</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B04217">
            <w:pPr>
              <w:spacing w:before="29" w:line="288" w:lineRule="auto"/>
              <w:ind w:left="17"/>
              <w:jc w:val="center"/>
              <w:rPr>
                <w:color w:val="000000"/>
                <w:sz w:val="24"/>
              </w:rPr>
            </w:pPr>
            <w:r w:rsidRPr="00324C76">
              <w:rPr>
                <w:color w:val="000000"/>
                <w:sz w:val="24"/>
              </w:rPr>
              <w:t>7</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可转债</w:t>
            </w:r>
            <w:r w:rsidR="006F59D5">
              <w:rPr>
                <w:rFonts w:hint="eastAsia"/>
                <w:sz w:val="24"/>
              </w:rPr>
              <w:t>（可交换债）</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4F1DD8" w:rsidRPr="00324C76" w:rsidTr="00622A9C">
        <w:trPr>
          <w:jc w:val="center"/>
        </w:trPr>
        <w:tc>
          <w:tcPr>
            <w:tcW w:w="850" w:type="dxa"/>
            <w:vAlign w:val="center"/>
          </w:tcPr>
          <w:p w:rsidR="004F1DD8" w:rsidRPr="00AF09A2" w:rsidRDefault="004F1DD8" w:rsidP="00622A9C">
            <w:pPr>
              <w:spacing w:before="29" w:line="288" w:lineRule="auto"/>
              <w:ind w:left="17"/>
              <w:jc w:val="center"/>
              <w:rPr>
                <w:color w:val="000000"/>
                <w:sz w:val="24"/>
              </w:rPr>
            </w:pPr>
            <w:r w:rsidRPr="00AF09A2">
              <w:rPr>
                <w:rFonts w:hint="eastAsia"/>
                <w:color w:val="000000"/>
                <w:sz w:val="24"/>
              </w:rPr>
              <w:t>8</w:t>
            </w:r>
          </w:p>
        </w:tc>
        <w:tc>
          <w:tcPr>
            <w:tcW w:w="3390" w:type="dxa"/>
            <w:vAlign w:val="center"/>
          </w:tcPr>
          <w:p w:rsidR="004F1DD8" w:rsidRPr="00AF09A2" w:rsidRDefault="004F1DD8" w:rsidP="00622A9C">
            <w:pPr>
              <w:spacing w:before="29" w:line="288" w:lineRule="auto"/>
              <w:ind w:left="17"/>
              <w:jc w:val="left"/>
              <w:rPr>
                <w:color w:val="000000"/>
                <w:sz w:val="24"/>
              </w:rPr>
            </w:pPr>
            <w:r w:rsidRPr="00AF09A2">
              <w:rPr>
                <w:rFonts w:hint="eastAsia"/>
                <w:color w:val="000000"/>
                <w:sz w:val="24"/>
              </w:rPr>
              <w:t>同业存单</w:t>
            </w:r>
          </w:p>
        </w:tc>
        <w:tc>
          <w:tcPr>
            <w:tcW w:w="2801"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c>
          <w:tcPr>
            <w:tcW w:w="1827" w:type="dxa"/>
            <w:vAlign w:val="center"/>
          </w:tcPr>
          <w:p w:rsidR="004F1DD8" w:rsidRPr="00AF09A2" w:rsidRDefault="004F1DD8" w:rsidP="00622A9C">
            <w:pPr>
              <w:spacing w:before="29" w:line="288" w:lineRule="auto"/>
              <w:ind w:left="17"/>
              <w:jc w:val="right"/>
              <w:rPr>
                <w:color w:val="000000"/>
                <w:sz w:val="24"/>
              </w:rPr>
            </w:pPr>
            <w:r w:rsidRPr="00AF09A2">
              <w:rPr>
                <w:rFonts w:hint="eastAsia"/>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9</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其他</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w:t>
            </w:r>
          </w:p>
        </w:tc>
      </w:tr>
      <w:tr w:rsidR="005E004D" w:rsidRPr="00324C76" w:rsidTr="004F1DD8">
        <w:trPr>
          <w:jc w:val="center"/>
        </w:trPr>
        <w:tc>
          <w:tcPr>
            <w:tcW w:w="850" w:type="dxa"/>
            <w:vAlign w:val="center"/>
          </w:tcPr>
          <w:p w:rsidR="005E004D" w:rsidRPr="00324C76" w:rsidRDefault="005E004D" w:rsidP="004F1DD8">
            <w:pPr>
              <w:spacing w:before="29" w:line="288" w:lineRule="auto"/>
              <w:ind w:left="17"/>
              <w:jc w:val="center"/>
              <w:rPr>
                <w:color w:val="000000"/>
                <w:sz w:val="24"/>
              </w:rPr>
            </w:pPr>
            <w:r w:rsidRPr="00324C76">
              <w:rPr>
                <w:color w:val="000000"/>
                <w:sz w:val="24"/>
              </w:rPr>
              <w:t>10</w:t>
            </w:r>
          </w:p>
        </w:tc>
        <w:tc>
          <w:tcPr>
            <w:tcW w:w="3390" w:type="dxa"/>
            <w:vAlign w:val="center"/>
          </w:tcPr>
          <w:p w:rsidR="005E004D" w:rsidRPr="00324C76" w:rsidRDefault="005E004D" w:rsidP="00B04217">
            <w:pPr>
              <w:spacing w:before="29" w:line="288" w:lineRule="auto"/>
              <w:ind w:left="17"/>
              <w:jc w:val="left"/>
              <w:rPr>
                <w:color w:val="000000"/>
                <w:sz w:val="24"/>
              </w:rPr>
            </w:pPr>
            <w:r w:rsidRPr="00324C76">
              <w:rPr>
                <w:color w:val="000000"/>
                <w:sz w:val="24"/>
              </w:rPr>
              <w:t>合计</w:t>
            </w:r>
          </w:p>
        </w:tc>
        <w:tc>
          <w:tcPr>
            <w:tcW w:w="2801"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1,495,239.50</w:t>
            </w:r>
          </w:p>
        </w:tc>
        <w:tc>
          <w:tcPr>
            <w:tcW w:w="1827" w:type="dxa"/>
            <w:vAlign w:val="center"/>
          </w:tcPr>
          <w:p w:rsidR="005E004D" w:rsidRPr="00324C76" w:rsidRDefault="005E004D" w:rsidP="00B04217">
            <w:pPr>
              <w:spacing w:before="29" w:line="288" w:lineRule="auto"/>
              <w:ind w:left="17"/>
              <w:jc w:val="right"/>
              <w:rPr>
                <w:color w:val="000000"/>
                <w:sz w:val="24"/>
              </w:rPr>
            </w:pPr>
            <w:r w:rsidRPr="00324C76">
              <w:rPr>
                <w:color w:val="000000"/>
                <w:sz w:val="24"/>
              </w:rPr>
              <w:t>0.52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3A1482" w:rsidRPr="00A34903" w:rsidRDefault="003A1482" w:rsidP="003A1482">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915"/>
        <w:gridCol w:w="1327"/>
        <w:gridCol w:w="1916"/>
        <w:gridCol w:w="1385"/>
      </w:tblGrid>
      <w:tr w:rsidR="00BA574A" w:rsidRPr="00324C76" w:rsidTr="003A1482">
        <w:trPr>
          <w:jc w:val="center"/>
        </w:trPr>
        <w:tc>
          <w:tcPr>
            <w:tcW w:w="850"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475"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债券代码</w:t>
            </w:r>
          </w:p>
        </w:tc>
        <w:tc>
          <w:tcPr>
            <w:tcW w:w="1915"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债券名称</w:t>
            </w:r>
          </w:p>
        </w:tc>
        <w:tc>
          <w:tcPr>
            <w:tcW w:w="132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A5725E" w:rsidRPr="00324C76">
              <w:rPr>
                <w:color w:val="000000"/>
                <w:sz w:val="24"/>
              </w:rPr>
              <w:t>（张）</w:t>
            </w:r>
          </w:p>
        </w:tc>
        <w:tc>
          <w:tcPr>
            <w:tcW w:w="191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385"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D4512" w:rsidRPr="00324C76">
              <w:rPr>
                <w:color w:val="000000"/>
                <w:sz w:val="24"/>
              </w:rPr>
              <w:t>（％）</w:t>
            </w:r>
          </w:p>
        </w:tc>
      </w:tr>
      <w:tr w:rsidR="007A2797">
        <w:trPr>
          <w:jc w:val="center"/>
        </w:trPr>
        <w:tc>
          <w:tcPr>
            <w:tcW w:w="850" w:type="dxa"/>
            <w:vAlign w:val="center"/>
          </w:tcPr>
          <w:p w:rsidR="007A2797" w:rsidRDefault="0012184B">
            <w:pPr>
              <w:jc w:val="center"/>
            </w:pPr>
            <w:r>
              <w:rPr>
                <w:color w:val="000000"/>
                <w:sz w:val="24"/>
              </w:rPr>
              <w:t>1</w:t>
            </w:r>
          </w:p>
        </w:tc>
        <w:tc>
          <w:tcPr>
            <w:tcW w:w="1475" w:type="dxa"/>
            <w:vAlign w:val="center"/>
          </w:tcPr>
          <w:p w:rsidR="007A2797" w:rsidRDefault="0012184B">
            <w:pPr>
              <w:jc w:val="center"/>
            </w:pPr>
            <w:r>
              <w:rPr>
                <w:color w:val="000000"/>
                <w:sz w:val="24"/>
              </w:rPr>
              <w:t>018007</w:t>
            </w:r>
          </w:p>
        </w:tc>
        <w:tc>
          <w:tcPr>
            <w:tcW w:w="1915" w:type="dxa"/>
            <w:vAlign w:val="center"/>
          </w:tcPr>
          <w:p w:rsidR="007A2797" w:rsidRDefault="0012184B">
            <w:pPr>
              <w:jc w:val="center"/>
            </w:pPr>
            <w:r>
              <w:rPr>
                <w:color w:val="000000"/>
                <w:sz w:val="24"/>
              </w:rPr>
              <w:t>国开</w:t>
            </w:r>
            <w:r>
              <w:rPr>
                <w:color w:val="000000"/>
                <w:sz w:val="24"/>
              </w:rPr>
              <w:t>1801</w:t>
            </w:r>
          </w:p>
        </w:tc>
        <w:tc>
          <w:tcPr>
            <w:tcW w:w="1327" w:type="dxa"/>
            <w:vAlign w:val="center"/>
          </w:tcPr>
          <w:p w:rsidR="007A2797" w:rsidRDefault="0012184B">
            <w:pPr>
              <w:jc w:val="right"/>
            </w:pPr>
            <w:r>
              <w:rPr>
                <w:color w:val="000000"/>
                <w:sz w:val="24"/>
              </w:rPr>
              <w:t>14,930</w:t>
            </w:r>
          </w:p>
        </w:tc>
        <w:tc>
          <w:tcPr>
            <w:tcW w:w="1916" w:type="dxa"/>
            <w:vAlign w:val="center"/>
          </w:tcPr>
          <w:p w:rsidR="007A2797" w:rsidRDefault="0012184B">
            <w:pPr>
              <w:jc w:val="right"/>
            </w:pPr>
            <w:r>
              <w:rPr>
                <w:color w:val="000000"/>
                <w:sz w:val="24"/>
              </w:rPr>
              <w:t>1,495,239.50</w:t>
            </w:r>
          </w:p>
        </w:tc>
        <w:tc>
          <w:tcPr>
            <w:tcW w:w="1385" w:type="dxa"/>
            <w:vAlign w:val="center"/>
          </w:tcPr>
          <w:p w:rsidR="007A2797" w:rsidRDefault="0012184B">
            <w:pPr>
              <w:jc w:val="right"/>
            </w:pPr>
            <w:r>
              <w:rPr>
                <w:color w:val="000000"/>
                <w:sz w:val="24"/>
              </w:rPr>
              <w:t>0.52</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970A7F">
        <w:rPr>
          <w:b/>
          <w:kern w:val="0"/>
          <w:sz w:val="24"/>
        </w:rPr>
        <w:t>5.12.2</w:t>
      </w:r>
      <w:r w:rsidRPr="00120EC8">
        <w:rPr>
          <w:kern w:val="0"/>
          <w:sz w:val="24"/>
        </w:rPr>
        <w:t>本基金投资的前十名股票中，没有超出基金合同规定的备选股票库之外的股票。</w:t>
      </w:r>
    </w:p>
    <w:p w:rsidR="00220542" w:rsidRPr="00390F9A" w:rsidRDefault="007D10B0" w:rsidP="00B04217">
      <w:pPr>
        <w:autoSpaceDE w:val="0"/>
        <w:autoSpaceDN w:val="0"/>
        <w:adjustRightInd w:val="0"/>
        <w:spacing w:before="29" w:line="288" w:lineRule="auto"/>
        <w:rPr>
          <w:b/>
          <w:kern w:val="0"/>
          <w:sz w:val="24"/>
        </w:rPr>
      </w:pPr>
      <w:r w:rsidRPr="00390F9A">
        <w:rPr>
          <w:b/>
          <w:kern w:val="0"/>
          <w:sz w:val="24"/>
        </w:rPr>
        <w:t>5</w:t>
      </w:r>
      <w:r w:rsidR="00220542" w:rsidRPr="00390F9A">
        <w:rPr>
          <w:b/>
          <w:kern w:val="0"/>
          <w:sz w:val="24"/>
        </w:rPr>
        <w:t>.</w:t>
      </w:r>
      <w:r w:rsidRPr="00390F9A">
        <w:rPr>
          <w:b/>
          <w:kern w:val="0"/>
          <w:sz w:val="24"/>
        </w:rPr>
        <w:t>12.3</w:t>
      </w:r>
      <w:r w:rsidR="00220542" w:rsidRPr="00390F9A">
        <w:rPr>
          <w:b/>
          <w:kern w:val="0"/>
          <w:sz w:val="24"/>
        </w:rPr>
        <w:t>其他资产构成</w:t>
      </w:r>
    </w:p>
    <w:p w:rsidR="000A02AE" w:rsidRPr="00120EC8" w:rsidRDefault="000A02AE" w:rsidP="000A02AE">
      <w:pPr>
        <w:autoSpaceDE w:val="0"/>
        <w:autoSpaceDN w:val="0"/>
        <w:adjustRightInd w:val="0"/>
        <w:spacing w:before="29" w:line="288" w:lineRule="auto"/>
        <w:jc w:val="right"/>
        <w:rPr>
          <w:kern w:val="0"/>
          <w:sz w:val="24"/>
        </w:rPr>
      </w:pPr>
      <w:r w:rsidRPr="000A02AE">
        <w:rPr>
          <w:rFonts w:hint="eastAsia"/>
          <w:kern w:val="0"/>
          <w:sz w:val="24"/>
        </w:rPr>
        <w:t>金额单位：人民币元</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18,693.19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50,666.42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104,804.88</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174,164.49</w:t>
            </w:r>
          </w:p>
        </w:tc>
      </w:tr>
    </w:tbl>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kern w:val="0"/>
          <w:sz w:val="24"/>
        </w:rPr>
      </w:pPr>
      <w:r w:rsidRPr="00390F9A">
        <w:rPr>
          <w:b/>
          <w:kern w:val="0"/>
          <w:sz w:val="24"/>
        </w:rPr>
        <w:t>5</w:t>
      </w:r>
      <w:r w:rsidR="00220542" w:rsidRPr="00390F9A">
        <w:rPr>
          <w:b/>
          <w:kern w:val="0"/>
          <w:sz w:val="24"/>
        </w:rPr>
        <w:t>.</w:t>
      </w:r>
      <w:r w:rsidRPr="00390F9A">
        <w:rPr>
          <w:b/>
          <w:kern w:val="0"/>
          <w:sz w:val="24"/>
        </w:rPr>
        <w:t>12.4</w:t>
      </w:r>
      <w:r w:rsidR="00220542" w:rsidRPr="00390F9A">
        <w:rPr>
          <w:b/>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90F9A" w:rsidRDefault="007D10B0" w:rsidP="00B04217">
      <w:pPr>
        <w:autoSpaceDE w:val="0"/>
        <w:autoSpaceDN w:val="0"/>
        <w:adjustRightInd w:val="0"/>
        <w:spacing w:before="29" w:line="288" w:lineRule="auto"/>
        <w:jc w:val="left"/>
        <w:rPr>
          <w:b/>
          <w:bCs/>
          <w:sz w:val="24"/>
        </w:rPr>
      </w:pPr>
      <w:r w:rsidRPr="00390F9A">
        <w:rPr>
          <w:b/>
          <w:kern w:val="0"/>
          <w:sz w:val="24"/>
        </w:rPr>
        <w:t>5.12.5</w:t>
      </w:r>
      <w:r w:rsidR="00220542" w:rsidRPr="00390F9A">
        <w:rPr>
          <w:b/>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A40C1C" w:rsidRPr="00390F9A" w:rsidRDefault="007D10B0" w:rsidP="00B04217">
      <w:pPr>
        <w:spacing w:before="29" w:line="288" w:lineRule="auto"/>
        <w:rPr>
          <w:b/>
          <w:color w:val="000000"/>
          <w:kern w:val="0"/>
          <w:sz w:val="24"/>
        </w:rPr>
      </w:pPr>
      <w:r w:rsidRPr="00390F9A">
        <w:rPr>
          <w:b/>
          <w:kern w:val="0"/>
          <w:sz w:val="24"/>
        </w:rPr>
        <w:t>5.12.6</w:t>
      </w:r>
      <w:r w:rsidR="00A40C1C" w:rsidRPr="00390F9A">
        <w:rPr>
          <w:b/>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805F23" w:rsidP="0048293C">
      <w:pPr>
        <w:pStyle w:val="1"/>
        <w:spacing w:beforeLines="100" w:before="312" w:afterLines="100" w:after="312" w:line="288" w:lineRule="auto"/>
        <w:jc w:val="center"/>
        <w:rPr>
          <w:kern w:val="0"/>
          <w:sz w:val="24"/>
          <w:szCs w:val="24"/>
        </w:rPr>
      </w:pPr>
      <w:r w:rsidRPr="00C51B4E">
        <w:rPr>
          <w:rFonts w:eastAsiaTheme="minorEastAsia"/>
          <w:color w:val="000000" w:themeColor="text1"/>
          <w:kern w:val="0"/>
          <w:sz w:val="21"/>
          <w:szCs w:val="21"/>
        </w:rPr>
        <w:lastRenderedPageBreak/>
        <w:t>§6</w:t>
      </w:r>
      <w:r>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240,160,221.35</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2,462,176.26</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15,417,106.40</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227,205,291.21</w:t>
            </w:r>
          </w:p>
        </w:tc>
      </w:tr>
    </w:tbl>
    <w:p w:rsidR="007A2797" w:rsidRDefault="0012184B">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48293C">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229B7" w:rsidRPr="00F229B7">
        <w:rPr>
          <w:rFonts w:eastAsiaTheme="minorEastAsia"/>
          <w:color w:val="000000"/>
          <w:kern w:val="0"/>
          <w:sz w:val="24"/>
          <w:szCs w:val="24"/>
        </w:rPr>
        <w:t xml:space="preserve">7  </w:t>
      </w:r>
      <w:r w:rsidR="00F229B7"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F229B7" w:rsidP="009744C4">
      <w:pPr>
        <w:spacing w:line="288" w:lineRule="auto"/>
        <w:jc w:val="left"/>
        <w:rPr>
          <w:rFonts w:eastAsiaTheme="minorEastAsia"/>
          <w:b/>
          <w:color w:val="000000"/>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48293C">
      <w:pPr>
        <w:pStyle w:val="1"/>
        <w:spacing w:beforeLines="100" w:before="312" w:afterLines="100" w:after="312" w:line="288" w:lineRule="auto"/>
        <w:jc w:val="center"/>
        <w:rPr>
          <w:kern w:val="0"/>
          <w:sz w:val="24"/>
          <w:szCs w:val="24"/>
        </w:rPr>
      </w:pPr>
      <w:r w:rsidRPr="00324C76">
        <w:rPr>
          <w:kern w:val="0"/>
          <w:sz w:val="24"/>
          <w:szCs w:val="24"/>
        </w:rPr>
        <w:t>§</w:t>
      </w:r>
      <w:r w:rsidR="00B31ADE" w:rsidRPr="00324C76">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220542" w:rsidRPr="00324C76">
        <w:rPr>
          <w:b/>
          <w:sz w:val="24"/>
        </w:rPr>
        <w:t>备查文件目录</w:t>
      </w:r>
    </w:p>
    <w:p w:rsidR="007A2797" w:rsidRDefault="0012184B">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7A2797" w:rsidRDefault="0012184B">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7A2797" w:rsidRDefault="0012184B">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7A2797" w:rsidRDefault="0012184B">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7A2797" w:rsidRDefault="0012184B">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7A2797" w:rsidRDefault="0012184B">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A2797" w:rsidRDefault="0012184B">
      <w:pPr>
        <w:spacing w:before="29" w:line="288" w:lineRule="auto"/>
        <w:ind w:firstLineChars="200" w:firstLine="480"/>
        <w:rPr>
          <w:color w:val="000000"/>
          <w:sz w:val="24"/>
        </w:rPr>
      </w:pPr>
      <w:r>
        <w:rPr>
          <w:color w:val="000000"/>
          <w:sz w:val="24"/>
        </w:rPr>
        <w:lastRenderedPageBreak/>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220542" w:rsidRPr="00324C76">
        <w:rPr>
          <w:b/>
          <w:sz w:val="24"/>
        </w:rPr>
        <w:t>查阅方式</w:t>
      </w:r>
    </w:p>
    <w:p w:rsidR="007A2797" w:rsidRDefault="0012184B">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w:t>
      </w:r>
      <w:r>
        <w:rPr>
          <w:color w:val="000000"/>
          <w:sz w:val="24"/>
        </w:rPr>
        <w:t>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184B" w:rsidRDefault="0012184B">
      <w:r>
        <w:separator/>
      </w:r>
    </w:p>
  </w:endnote>
  <w:endnote w:type="continuationSeparator" w:id="0">
    <w:p w:rsidR="0012184B" w:rsidRDefault="0012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7823C0">
      <w:rPr>
        <w:kern w:val="0"/>
        <w:szCs w:val="21"/>
      </w:rPr>
      <w:fldChar w:fldCharType="begin"/>
    </w:r>
    <w:r>
      <w:rPr>
        <w:kern w:val="0"/>
        <w:szCs w:val="21"/>
      </w:rPr>
      <w:instrText xml:space="preserve"> PAGE </w:instrText>
    </w:r>
    <w:r w:rsidR="007823C0">
      <w:rPr>
        <w:kern w:val="0"/>
        <w:szCs w:val="21"/>
      </w:rPr>
      <w:fldChar w:fldCharType="separate"/>
    </w:r>
    <w:r w:rsidR="002A4807">
      <w:rPr>
        <w:noProof/>
        <w:kern w:val="0"/>
        <w:szCs w:val="21"/>
      </w:rPr>
      <w:t>5</w:t>
    </w:r>
    <w:r w:rsidR="007823C0">
      <w:rPr>
        <w:kern w:val="0"/>
        <w:szCs w:val="21"/>
      </w:rPr>
      <w:fldChar w:fldCharType="end"/>
    </w:r>
    <w:r>
      <w:rPr>
        <w:rFonts w:hint="eastAsia"/>
        <w:kern w:val="0"/>
        <w:szCs w:val="21"/>
      </w:rPr>
      <w:t>页共</w:t>
    </w:r>
    <w:r w:rsidR="007823C0">
      <w:rPr>
        <w:kern w:val="0"/>
        <w:szCs w:val="21"/>
      </w:rPr>
      <w:fldChar w:fldCharType="begin"/>
    </w:r>
    <w:r>
      <w:rPr>
        <w:kern w:val="0"/>
        <w:szCs w:val="21"/>
      </w:rPr>
      <w:instrText xml:space="preserve"> NUMPAGES </w:instrText>
    </w:r>
    <w:r w:rsidR="007823C0">
      <w:rPr>
        <w:kern w:val="0"/>
        <w:szCs w:val="21"/>
      </w:rPr>
      <w:fldChar w:fldCharType="separate"/>
    </w:r>
    <w:r w:rsidR="002A4807">
      <w:rPr>
        <w:noProof/>
        <w:kern w:val="0"/>
        <w:szCs w:val="21"/>
      </w:rPr>
      <w:t>14</w:t>
    </w:r>
    <w:r w:rsidR="007823C0">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7823C0">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184B" w:rsidRDefault="0012184B">
      <w:r>
        <w:separator/>
      </w:r>
    </w:p>
  </w:footnote>
  <w:footnote w:type="continuationSeparator" w:id="0">
    <w:p w:rsidR="0012184B" w:rsidRDefault="0012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2AE"/>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C95"/>
    <w:rsid w:val="000F60FF"/>
    <w:rsid w:val="000F635F"/>
    <w:rsid w:val="000F6C61"/>
    <w:rsid w:val="00100C12"/>
    <w:rsid w:val="001049B6"/>
    <w:rsid w:val="00104BDD"/>
    <w:rsid w:val="001051C6"/>
    <w:rsid w:val="0011177A"/>
    <w:rsid w:val="00116E31"/>
    <w:rsid w:val="00120EC8"/>
    <w:rsid w:val="0012184B"/>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C78B5"/>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4CE0"/>
    <w:rsid w:val="00255292"/>
    <w:rsid w:val="00260200"/>
    <w:rsid w:val="00261468"/>
    <w:rsid w:val="002620C9"/>
    <w:rsid w:val="00263E8D"/>
    <w:rsid w:val="002648D8"/>
    <w:rsid w:val="0026651A"/>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4807"/>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0F9A"/>
    <w:rsid w:val="00397156"/>
    <w:rsid w:val="0039770F"/>
    <w:rsid w:val="00397960"/>
    <w:rsid w:val="003A1482"/>
    <w:rsid w:val="003A3BC4"/>
    <w:rsid w:val="003A458A"/>
    <w:rsid w:val="003A7129"/>
    <w:rsid w:val="003B128A"/>
    <w:rsid w:val="003B1FB8"/>
    <w:rsid w:val="003B2F13"/>
    <w:rsid w:val="003B3278"/>
    <w:rsid w:val="003B405E"/>
    <w:rsid w:val="003B460A"/>
    <w:rsid w:val="003B57D3"/>
    <w:rsid w:val="003C044A"/>
    <w:rsid w:val="003C1F58"/>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086"/>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4F86"/>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293C"/>
    <w:rsid w:val="00483508"/>
    <w:rsid w:val="0048587E"/>
    <w:rsid w:val="00486365"/>
    <w:rsid w:val="00486D56"/>
    <w:rsid w:val="00487C2B"/>
    <w:rsid w:val="00487E29"/>
    <w:rsid w:val="004909BF"/>
    <w:rsid w:val="00490A9D"/>
    <w:rsid w:val="00491158"/>
    <w:rsid w:val="0049148F"/>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2276"/>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A5B"/>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16FA"/>
    <w:rsid w:val="005F43B9"/>
    <w:rsid w:val="005F68CB"/>
    <w:rsid w:val="006003EC"/>
    <w:rsid w:val="006033E3"/>
    <w:rsid w:val="00603B0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3713D"/>
    <w:rsid w:val="00641808"/>
    <w:rsid w:val="00642072"/>
    <w:rsid w:val="0064350E"/>
    <w:rsid w:val="006440ED"/>
    <w:rsid w:val="00644AF7"/>
    <w:rsid w:val="00644EC3"/>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0406"/>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0AE"/>
    <w:rsid w:val="00772272"/>
    <w:rsid w:val="0077542F"/>
    <w:rsid w:val="007756ED"/>
    <w:rsid w:val="0078047B"/>
    <w:rsid w:val="007823C0"/>
    <w:rsid w:val="00784443"/>
    <w:rsid w:val="00784955"/>
    <w:rsid w:val="00786656"/>
    <w:rsid w:val="007870FC"/>
    <w:rsid w:val="00787CD0"/>
    <w:rsid w:val="00790B94"/>
    <w:rsid w:val="00791053"/>
    <w:rsid w:val="00791A3A"/>
    <w:rsid w:val="00792F67"/>
    <w:rsid w:val="00794196"/>
    <w:rsid w:val="00797637"/>
    <w:rsid w:val="00797CBF"/>
    <w:rsid w:val="007A0B2A"/>
    <w:rsid w:val="007A2797"/>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B9"/>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589D"/>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61E9"/>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A7F"/>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6E75"/>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6C7"/>
    <w:rsid w:val="00AA3DB7"/>
    <w:rsid w:val="00AA5BDE"/>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44C24"/>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1EF"/>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00CD"/>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17C3D"/>
    <w:rsid w:val="00D200BD"/>
    <w:rsid w:val="00D22399"/>
    <w:rsid w:val="00D260E1"/>
    <w:rsid w:val="00D26C7B"/>
    <w:rsid w:val="00D278A8"/>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371"/>
    <w:rsid w:val="00D734A9"/>
    <w:rsid w:val="00D7585A"/>
    <w:rsid w:val="00D759A7"/>
    <w:rsid w:val="00D76DD5"/>
    <w:rsid w:val="00D77357"/>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5633B"/>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01ECE09A-60E6-4CC1-8D35-7F571E7CE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4583B-613C-4BD7-BEFA-8641FD11F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351</TotalTime>
  <Pages>14</Pages>
  <Words>1161</Words>
  <Characters>6624</Characters>
  <Application>Microsoft Office Word</Application>
  <DocSecurity>0</DocSecurity>
  <Lines>55</Lines>
  <Paragraphs>15</Paragraphs>
  <ScaleCrop>false</ScaleCrop>
  <Company>TRT. Ltd. Co.</Company>
  <LinksUpToDate>false</LinksUpToDate>
  <CharactersWithSpaces>7770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432</cp:revision>
  <cp:lastPrinted>2007-07-19T00:46:00Z</cp:lastPrinted>
  <dcterms:created xsi:type="dcterms:W3CDTF">2012-11-13T02:08:00Z</dcterms:created>
  <dcterms:modified xsi:type="dcterms:W3CDTF">2020-07-17T05:35:00Z</dcterms:modified>
</cp:coreProperties>
</file>