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交银施罗德阿尔法核心混合型证券投资基金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2012年8月3日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3,337,420,889.61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287,771,282.82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1,311,220,640.58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0.3462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9,912,211,545.18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2.970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13.49%</w:t>
            </w:r>
          </w:p>
        </w:tc>
        <w:tc>
          <w:tcPr>
            <w:vAlign w:val="center"/>
          </w:tcPr>
          <w:p>
            <w:pPr>
              <w:jc w:val="center"/>
            </w:pPr>
            <w:r>
              <w:rPr>
                <w:color w:val="000000"/>
                <w:sz w:val="24"/>
                <w:szCs w:val="24"/>
              </w:rPr>
              <w:t>0.67%</w:t>
            </w:r>
          </w:p>
        </w:tc>
        <w:tc>
          <w:tcPr>
            <w:vAlign w:val="center"/>
          </w:tcPr>
          <w:p>
            <w:pPr>
              <w:jc w:val="center"/>
            </w:pPr>
            <w:r>
              <w:rPr>
                <w:color w:val="000000"/>
                <w:sz w:val="24"/>
                <w:szCs w:val="24"/>
              </w:rPr>
              <w:t>9.55%</w:t>
            </w:r>
          </w:p>
        </w:tc>
        <w:tc>
          <w:tcPr>
            <w:vAlign w:val="center"/>
          </w:tcPr>
          <w:p>
            <w:pPr>
              <w:jc w:val="center"/>
            </w:pPr>
            <w:r>
              <w:rPr>
                <w:color w:val="000000"/>
                <w:sz w:val="24"/>
                <w:szCs w:val="24"/>
              </w:rPr>
              <w:t>0.67%</w:t>
            </w:r>
          </w:p>
        </w:tc>
        <w:tc>
          <w:tcPr>
            <w:vAlign w:val="center"/>
          </w:tcPr>
          <w:p>
            <w:pPr>
              <w:jc w:val="center"/>
            </w:pPr>
            <w:r>
              <w:rPr>
                <w:color w:val="000000"/>
                <w:sz w:val="24"/>
                <w:szCs w:val="24"/>
              </w:rPr>
              <w:t>3.94%</w:t>
            </w:r>
          </w:p>
        </w:tc>
        <w:tc>
          <w:tcPr>
            <w:vAlign w:val="center"/>
          </w:tcPr>
          <w:p>
            <w:pPr>
              <w:jc w:val="center"/>
            </w:pPr>
            <w:r>
              <w:rPr>
                <w:color w:val="000000"/>
                <w:sz w:val="24"/>
                <w:szCs w:val="24"/>
              </w:rPr>
              <w:t>0.00%</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13.75%</w:t>
            </w:r>
          </w:p>
        </w:tc>
        <w:tc>
          <w:tcPr>
            <w:vAlign w:val="center"/>
          </w:tcPr>
          <w:p>
            <w:pPr>
              <w:jc w:val="center"/>
            </w:pPr>
            <w:r>
              <w:rPr>
                <w:color w:val="000000"/>
                <w:sz w:val="24"/>
                <w:szCs w:val="24"/>
              </w:rPr>
              <w:t>1.22%</w:t>
            </w:r>
          </w:p>
        </w:tc>
        <w:tc>
          <w:tcPr>
            <w:vAlign w:val="center"/>
          </w:tcPr>
          <w:p>
            <w:pPr>
              <w:jc w:val="center"/>
            </w:pPr>
            <w:r>
              <w:rPr>
                <w:color w:val="000000"/>
                <w:sz w:val="24"/>
                <w:szCs w:val="24"/>
              </w:rPr>
              <w:t>2.09%</w:t>
            </w:r>
          </w:p>
        </w:tc>
        <w:tc>
          <w:tcPr>
            <w:vAlign w:val="center"/>
          </w:tcPr>
          <w:p>
            <w:pPr>
              <w:jc w:val="center"/>
            </w:pPr>
            <w:r>
              <w:rPr>
                <w:color w:val="000000"/>
                <w:sz w:val="24"/>
                <w:szCs w:val="24"/>
              </w:rPr>
              <w:t>1.13%</w:t>
            </w:r>
          </w:p>
        </w:tc>
        <w:tc>
          <w:tcPr>
            <w:vAlign w:val="center"/>
          </w:tcPr>
          <w:p>
            <w:pPr>
              <w:jc w:val="center"/>
            </w:pPr>
            <w:r>
              <w:rPr>
                <w:color w:val="000000"/>
                <w:sz w:val="24"/>
                <w:szCs w:val="24"/>
              </w:rPr>
              <w:t>11.66%</w:t>
            </w:r>
          </w:p>
        </w:tc>
        <w:tc>
          <w:tcPr>
            <w:vAlign w:val="center"/>
          </w:tcPr>
          <w:p>
            <w:pPr>
              <w:jc w:val="center"/>
            </w:pPr>
            <w:r>
              <w:rPr>
                <w:color w:val="000000"/>
                <w:sz w:val="24"/>
                <w:szCs w:val="24"/>
              </w:rPr>
              <w:t>0.09%</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38.01%</w:t>
            </w:r>
          </w:p>
        </w:tc>
        <w:tc>
          <w:tcPr>
            <w:vAlign w:val="center"/>
          </w:tcPr>
          <w:p>
            <w:pPr>
              <w:jc w:val="center"/>
            </w:pPr>
            <w:r>
              <w:rPr>
                <w:color w:val="000000"/>
                <w:sz w:val="24"/>
                <w:szCs w:val="24"/>
              </w:rPr>
              <w:t>1.16%</w:t>
            </w:r>
          </w:p>
        </w:tc>
        <w:tc>
          <w:tcPr>
            <w:vAlign w:val="center"/>
          </w:tcPr>
          <w:p>
            <w:pPr>
              <w:jc w:val="center"/>
            </w:pPr>
            <w:r>
              <w:rPr>
                <w:color w:val="000000"/>
                <w:sz w:val="24"/>
                <w:szCs w:val="24"/>
              </w:rPr>
              <w:t>8.26%</w:t>
            </w:r>
          </w:p>
        </w:tc>
        <w:tc>
          <w:tcPr>
            <w:vAlign w:val="center"/>
          </w:tcPr>
          <w:p>
            <w:pPr>
              <w:jc w:val="center"/>
            </w:pPr>
            <w:r>
              <w:rPr>
                <w:color w:val="000000"/>
                <w:sz w:val="24"/>
                <w:szCs w:val="24"/>
              </w:rPr>
              <w:t>0.91%</w:t>
            </w:r>
          </w:p>
        </w:tc>
        <w:tc>
          <w:tcPr>
            <w:vAlign w:val="center"/>
          </w:tcPr>
          <w:p>
            <w:pPr>
              <w:jc w:val="center"/>
            </w:pPr>
            <w:r>
              <w:rPr>
                <w:color w:val="000000"/>
                <w:sz w:val="24"/>
                <w:szCs w:val="24"/>
              </w:rPr>
              <w:t>29.75%</w:t>
            </w:r>
          </w:p>
        </w:tc>
        <w:tc>
          <w:tcPr>
            <w:vAlign w:val="center"/>
          </w:tcPr>
          <w:p>
            <w:pPr>
              <w:jc w:val="center"/>
            </w:pPr>
            <w:r>
              <w:rPr>
                <w:color w:val="000000"/>
                <w:sz w:val="24"/>
                <w:szCs w:val="24"/>
              </w:rPr>
              <w:t>0.25%</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98.52%</w:t>
            </w:r>
          </w:p>
        </w:tc>
        <w:tc>
          <w:tcPr>
            <w:vAlign w:val="center"/>
          </w:tcPr>
          <w:p>
            <w:pPr>
              <w:jc w:val="center"/>
            </w:pPr>
            <w:r>
              <w:rPr>
                <w:color w:val="000000"/>
                <w:sz w:val="24"/>
                <w:szCs w:val="24"/>
              </w:rPr>
              <w:t>1.28%</w:t>
            </w:r>
          </w:p>
        </w:tc>
        <w:tc>
          <w:tcPr>
            <w:vAlign w:val="center"/>
          </w:tcPr>
          <w:p>
            <w:pPr>
              <w:jc w:val="center"/>
            </w:pPr>
            <w:r>
              <w:rPr>
                <w:color w:val="000000"/>
                <w:sz w:val="24"/>
                <w:szCs w:val="24"/>
              </w:rPr>
              <w:t>15.45%</w:t>
            </w:r>
          </w:p>
        </w:tc>
        <w:tc>
          <w:tcPr>
            <w:vAlign w:val="center"/>
          </w:tcPr>
          <w:p>
            <w:pPr>
              <w:jc w:val="center"/>
            </w:pPr>
            <w:r>
              <w:rPr>
                <w:color w:val="000000"/>
                <w:sz w:val="24"/>
                <w:szCs w:val="24"/>
              </w:rPr>
              <w:t>0.94%</w:t>
            </w:r>
          </w:p>
        </w:tc>
        <w:tc>
          <w:tcPr>
            <w:vAlign w:val="center"/>
          </w:tcPr>
          <w:p>
            <w:pPr>
              <w:jc w:val="center"/>
            </w:pPr>
            <w:r>
              <w:rPr>
                <w:color w:val="000000"/>
                <w:sz w:val="24"/>
                <w:szCs w:val="24"/>
              </w:rPr>
              <w:t>83.07%</w:t>
            </w:r>
          </w:p>
        </w:tc>
        <w:tc>
          <w:tcPr>
            <w:vAlign w:val="center"/>
          </w:tcPr>
          <w:p>
            <w:pPr>
              <w:jc w:val="center"/>
            </w:pPr>
            <w:r>
              <w:rPr>
                <w:color w:val="000000"/>
                <w:sz w:val="24"/>
                <w:szCs w:val="24"/>
              </w:rPr>
              <w:t>0.34%</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92.75%</w:t>
            </w:r>
          </w:p>
        </w:tc>
        <w:tc>
          <w:tcPr>
            <w:vAlign w:val="center"/>
          </w:tcPr>
          <w:p>
            <w:pPr>
              <w:jc w:val="center"/>
            </w:pPr>
            <w:r>
              <w:rPr>
                <w:color w:val="000000"/>
                <w:sz w:val="24"/>
                <w:szCs w:val="24"/>
              </w:rPr>
              <w:t>1.57%</w:t>
            </w:r>
          </w:p>
        </w:tc>
        <w:tc>
          <w:tcPr>
            <w:vAlign w:val="center"/>
          </w:tcPr>
          <w:p>
            <w:pPr>
              <w:jc w:val="center"/>
            </w:pPr>
            <w:r>
              <w:rPr>
                <w:color w:val="000000"/>
                <w:sz w:val="24"/>
                <w:szCs w:val="24"/>
              </w:rPr>
              <w:t>2.44%</w:t>
            </w:r>
          </w:p>
        </w:tc>
        <w:tc>
          <w:tcPr>
            <w:vAlign w:val="center"/>
          </w:tcPr>
          <w:p>
            <w:pPr>
              <w:jc w:val="center"/>
            </w:pPr>
            <w:r>
              <w:rPr>
                <w:color w:val="000000"/>
                <w:sz w:val="24"/>
                <w:szCs w:val="24"/>
              </w:rPr>
              <w:t>1.08%</w:t>
            </w:r>
          </w:p>
        </w:tc>
        <w:tc>
          <w:tcPr>
            <w:vAlign w:val="center"/>
          </w:tcPr>
          <w:p>
            <w:pPr>
              <w:jc w:val="center"/>
            </w:pPr>
            <w:r>
              <w:rPr>
                <w:color w:val="000000"/>
                <w:sz w:val="24"/>
                <w:szCs w:val="24"/>
              </w:rPr>
              <w:t>90.31%</w:t>
            </w:r>
          </w:p>
        </w:tc>
        <w:tc>
          <w:tcPr>
            <w:vAlign w:val="center"/>
          </w:tcPr>
          <w:p>
            <w:pPr>
              <w:jc w:val="center"/>
            </w:pPr>
            <w:r>
              <w:rPr>
                <w:color w:val="000000"/>
                <w:sz w:val="24"/>
                <w:szCs w:val="24"/>
              </w:rPr>
              <w:t>0.49%</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351.62%</w:t>
            </w:r>
          </w:p>
        </w:tc>
        <w:tc>
          <w:tcPr>
            <w:vAlign w:val="center"/>
          </w:tcPr>
          <w:p>
            <w:pPr>
              <w:jc w:val="center"/>
            </w:pPr>
            <w:r>
              <w:rPr>
                <w:color w:val="000000"/>
                <w:sz w:val="24"/>
                <w:szCs w:val="24"/>
              </w:rPr>
              <w:t>1.48%</w:t>
            </w:r>
          </w:p>
        </w:tc>
        <w:tc>
          <w:tcPr>
            <w:vAlign w:val="center"/>
          </w:tcPr>
          <w:p>
            <w:pPr>
              <w:jc w:val="center"/>
            </w:pPr>
            <w:r>
              <w:rPr>
                <w:color w:val="000000"/>
                <w:sz w:val="24"/>
                <w:szCs w:val="24"/>
              </w:rPr>
              <w:t>75.03%</w:t>
            </w:r>
          </w:p>
        </w:tc>
        <w:tc>
          <w:tcPr>
            <w:vAlign w:val="center"/>
          </w:tcPr>
          <w:p>
            <w:pPr>
              <w:jc w:val="center"/>
            </w:pPr>
            <w:r>
              <w:rPr>
                <w:color w:val="000000"/>
                <w:sz w:val="24"/>
                <w:szCs w:val="24"/>
              </w:rPr>
              <w:t>1.10%</w:t>
            </w:r>
          </w:p>
        </w:tc>
        <w:tc>
          <w:tcPr>
            <w:vAlign w:val="center"/>
          </w:tcPr>
          <w:p>
            <w:pPr>
              <w:jc w:val="center"/>
            </w:pPr>
            <w:r>
              <w:rPr>
                <w:color w:val="000000"/>
                <w:sz w:val="24"/>
                <w:szCs w:val="24"/>
              </w:rPr>
              <w:t>276.59%</w:t>
            </w:r>
          </w:p>
        </w:tc>
        <w:tc>
          <w:tcPr>
            <w:vAlign w:val="center"/>
          </w:tcPr>
          <w:p>
            <w:pPr>
              <w:jc w:val="center"/>
            </w:pPr>
            <w:r>
              <w:rPr>
                <w:color w:val="000000"/>
                <w:sz w:val="24"/>
                <w:szCs w:val="24"/>
              </w:rPr>
              <w:t>0.38%</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交银施罗德阿尔法核心混合型证券投资基金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2012年8月3日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2015-09-16</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二季度市场表现较为“极致”，医药、消费、科技等行业估值持续提升，金融、地产等低估值行业表现较为平淡。比如上半年医药指数上涨40%，而地产指数下跌8%，而本基金由于部分配置在地产等行业，使得二季度表现一般。</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我们认为经济不确定性并没有消失，所以在选择投资标的时，希望留有较多的安全边际。同时我们也认为投资应该聚焦于资产本身，分析资产未来的股东回报，从而给予合理估值，并且因此寻找投资机会。我们会继续在较好的安全边际下，努力为持有人获得长期可持续的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7,807,448,117.89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7,807,448,117.89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410,751,451.80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410,751,451.80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1,573,925,506.96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15.54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249,731,140.38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84,804,581.49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10,126,660,798.52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375,780.00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108,739,776.52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1.10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3,212,959,625.21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1,493,266.32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200,800.00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324,033,081.16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94,284,493.20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1,061,445,818.05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260,663,349.88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2,344,240,352.48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383,600.00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75,230,864.00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636,253.21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322,761,057.86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7,807,448,117.89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78.77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34,550,265</w:t>
            </w:r>
          </w:p>
        </w:tc>
        <w:tc>
          <w:tcPr>
            <w:vAlign w:val="center"/>
          </w:tcPr>
          <w:p>
            <w:pPr>
              <w:jc w:val="right"/>
            </w:pPr>
            <w:r>
              <w:rPr>
                <w:color w:val="000000"/>
                <w:sz w:val="24"/>
                <w:szCs w:val="24"/>
              </w:rPr>
              <w:t>903,143,927.10</w:t>
            </w:r>
          </w:p>
        </w:tc>
        <w:tc>
          <w:tcPr>
            <w:vAlign w:val="center"/>
          </w:tcPr>
          <w:p>
            <w:pPr>
              <w:jc w:val="right"/>
            </w:pPr>
            <w:r>
              <w:rPr>
                <w:color w:val="000000"/>
                <w:sz w:val="24"/>
                <w:szCs w:val="24"/>
              </w:rPr>
              <w:t>9.11</w:t>
            </w:r>
          </w:p>
        </w:tc>
      </w:tr>
      <w:tr>
        <w:tc>
          <w:tcPr>
            <w:vAlign w:val="center"/>
          </w:tcPr>
          <w:p>
            <w:pPr>
              <w:jc w:val="center"/>
            </w:pPr>
            <w:r>
              <w:rPr>
                <w:color w:val="000000"/>
                <w:sz w:val="24"/>
                <w:szCs w:val="24"/>
              </w:rPr>
              <w:t>2</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31,996,385</w:t>
            </w:r>
          </w:p>
        </w:tc>
        <w:tc>
          <w:tcPr>
            <w:vAlign w:val="center"/>
          </w:tcPr>
          <w:p>
            <w:pPr>
              <w:jc w:val="right"/>
            </w:pPr>
            <w:r>
              <w:rPr>
                <w:color w:val="000000"/>
                <w:sz w:val="24"/>
                <w:szCs w:val="24"/>
              </w:rPr>
              <w:t>700,720,831.50</w:t>
            </w:r>
          </w:p>
        </w:tc>
        <w:tc>
          <w:tcPr>
            <w:vAlign w:val="center"/>
          </w:tcPr>
          <w:p>
            <w:pPr>
              <w:jc w:val="right"/>
            </w:pPr>
            <w:r>
              <w:rPr>
                <w:color w:val="000000"/>
                <w:sz w:val="24"/>
                <w:szCs w:val="24"/>
              </w:rPr>
              <w:t>7.07</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37,144,877</w:t>
            </w:r>
          </w:p>
        </w:tc>
        <w:tc>
          <w:tcPr>
            <w:vAlign w:val="center"/>
          </w:tcPr>
          <w:p>
            <w:pPr>
              <w:jc w:val="right"/>
            </w:pPr>
            <w:r>
              <w:rPr>
                <w:color w:val="000000"/>
                <w:sz w:val="24"/>
                <w:szCs w:val="24"/>
              </w:rPr>
              <w:t>549,001,282.06</w:t>
            </w:r>
          </w:p>
        </w:tc>
        <w:tc>
          <w:tcPr>
            <w:vAlign w:val="center"/>
          </w:tcPr>
          <w:p>
            <w:pPr>
              <w:jc w:val="right"/>
            </w:pPr>
            <w:r>
              <w:rPr>
                <w:color w:val="000000"/>
                <w:sz w:val="24"/>
                <w:szCs w:val="24"/>
              </w:rPr>
              <w:t>5.54</w:t>
            </w:r>
          </w:p>
        </w:tc>
      </w:tr>
      <w:tr>
        <w:tc>
          <w:tcPr>
            <w:vAlign w:val="center"/>
          </w:tcPr>
          <w:p>
            <w:pPr>
              <w:jc w:val="center"/>
            </w:pPr>
            <w:r>
              <w:rPr>
                <w:color w:val="000000"/>
                <w:sz w:val="24"/>
                <w:szCs w:val="24"/>
              </w:rPr>
              <w:t>4</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36,437,326</w:t>
            </w:r>
          </w:p>
        </w:tc>
        <w:tc>
          <w:tcPr>
            <w:vAlign w:val="center"/>
          </w:tcPr>
          <w:p>
            <w:pPr>
              <w:jc w:val="right"/>
            </w:pPr>
            <w:r>
              <w:rPr>
                <w:color w:val="000000"/>
                <w:sz w:val="24"/>
                <w:szCs w:val="24"/>
              </w:rPr>
              <w:t>499,191,366.20</w:t>
            </w:r>
          </w:p>
        </w:tc>
        <w:tc>
          <w:tcPr>
            <w:vAlign w:val="center"/>
          </w:tcPr>
          <w:p>
            <w:pPr>
              <w:jc w:val="right"/>
            </w:pPr>
            <w:r>
              <w:rPr>
                <w:color w:val="000000"/>
                <w:sz w:val="24"/>
                <w:szCs w:val="24"/>
              </w:rPr>
              <w:t>5.04</w:t>
            </w:r>
          </w:p>
        </w:tc>
      </w:tr>
      <w:tr>
        <w:tc>
          <w:tcPr>
            <w:vAlign w:val="center"/>
          </w:tcPr>
          <w:p>
            <w:pPr>
              <w:jc w:val="center"/>
            </w:pPr>
            <w:r>
              <w:rPr>
                <w:color w:val="000000"/>
                <w:sz w:val="24"/>
                <w:szCs w:val="24"/>
              </w:rPr>
              <w:t>5</w:t>
            </w:r>
          </w:p>
        </w:tc>
        <w:tc>
          <w:tcPr>
            <w:vAlign w:val="center"/>
          </w:tcPr>
          <w:p>
            <w:pPr>
              <w:jc w:val="center"/>
            </w:pPr>
            <w:r>
              <w:rPr>
                <w:color w:val="000000"/>
                <w:sz w:val="24"/>
                <w:szCs w:val="24"/>
              </w:rPr>
              <w:t>002831</w:t>
            </w:r>
          </w:p>
        </w:tc>
        <w:tc>
          <w:tcPr>
            <w:vAlign w:val="center"/>
          </w:tcPr>
          <w:p>
            <w:pPr>
              <w:jc w:val="center"/>
            </w:pPr>
            <w:r>
              <w:rPr>
                <w:color w:val="000000"/>
                <w:sz w:val="24"/>
                <w:szCs w:val="24"/>
              </w:rPr>
              <w:t>裕同科技</w:t>
            </w:r>
          </w:p>
        </w:tc>
        <w:tc>
          <w:tcPr>
            <w:vAlign w:val="center"/>
          </w:tcPr>
          <w:p>
            <w:pPr>
              <w:jc w:val="right"/>
            </w:pPr>
            <w:r>
              <w:rPr>
                <w:color w:val="000000"/>
                <w:sz w:val="24"/>
                <w:szCs w:val="24"/>
              </w:rPr>
              <w:t>16,293,308</w:t>
            </w:r>
          </w:p>
        </w:tc>
        <w:tc>
          <w:tcPr>
            <w:vAlign w:val="center"/>
          </w:tcPr>
          <w:p>
            <w:pPr>
              <w:jc w:val="right"/>
            </w:pPr>
            <w:r>
              <w:rPr>
                <w:color w:val="000000"/>
                <w:sz w:val="24"/>
                <w:szCs w:val="24"/>
              </w:rPr>
              <w:t>448,228,903.08</w:t>
            </w:r>
          </w:p>
        </w:tc>
        <w:tc>
          <w:tcPr>
            <w:vAlign w:val="center"/>
          </w:tcPr>
          <w:p>
            <w:pPr>
              <w:jc w:val="right"/>
            </w:pPr>
            <w:r>
              <w:rPr>
                <w:color w:val="000000"/>
                <w:sz w:val="24"/>
                <w:szCs w:val="24"/>
              </w:rPr>
              <w:t>4.52</w:t>
            </w:r>
          </w:p>
        </w:tc>
      </w:tr>
      <w:tr>
        <w:tc>
          <w:tcPr>
            <w:vAlign w:val="center"/>
          </w:tcPr>
          <w:p>
            <w:pPr>
              <w:jc w:val="center"/>
            </w:pPr>
            <w:r>
              <w:rPr>
                <w:color w:val="000000"/>
                <w:sz w:val="24"/>
                <w:szCs w:val="24"/>
              </w:rPr>
              <w:t>6</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15,475,792</w:t>
            </w:r>
          </w:p>
        </w:tc>
        <w:tc>
          <w:tcPr>
            <w:vAlign w:val="center"/>
          </w:tcPr>
          <w:p>
            <w:pPr>
              <w:jc w:val="right"/>
            </w:pPr>
            <w:r>
              <w:rPr>
                <w:color w:val="000000"/>
                <w:sz w:val="24"/>
                <w:szCs w:val="24"/>
              </w:rPr>
              <w:t>436,572,092.32</w:t>
            </w:r>
          </w:p>
        </w:tc>
        <w:tc>
          <w:tcPr>
            <w:vAlign w:val="center"/>
          </w:tcPr>
          <w:p>
            <w:pPr>
              <w:jc w:val="right"/>
            </w:pPr>
            <w:r>
              <w:rPr>
                <w:color w:val="000000"/>
                <w:sz w:val="24"/>
                <w:szCs w:val="24"/>
              </w:rPr>
              <w:t>4.40</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5,503,235</w:t>
            </w:r>
          </w:p>
        </w:tc>
        <w:tc>
          <w:tcPr>
            <w:vAlign w:val="center"/>
          </w:tcPr>
          <w:p>
            <w:pPr>
              <w:jc w:val="right"/>
            </w:pPr>
            <w:r>
              <w:rPr>
                <w:color w:val="000000"/>
                <w:sz w:val="24"/>
                <w:szCs w:val="24"/>
              </w:rPr>
              <w:t>318,063,630.00</w:t>
            </w:r>
          </w:p>
        </w:tc>
        <w:tc>
          <w:tcPr>
            <w:vAlign w:val="center"/>
          </w:tcPr>
          <w:p>
            <w:pPr>
              <w:jc w:val="right"/>
            </w:pPr>
            <w:r>
              <w:rPr>
                <w:color w:val="000000"/>
                <w:sz w:val="24"/>
                <w:szCs w:val="24"/>
              </w:rPr>
              <w:t>3.21</w:t>
            </w:r>
          </w:p>
        </w:tc>
      </w:tr>
      <w:tr>
        <w:tc>
          <w:tcPr>
            <w:vAlign w:val="center"/>
          </w:tcPr>
          <w:p>
            <w:pPr>
              <w:jc w:val="center"/>
            </w:pPr>
            <w:r>
              <w:rPr>
                <w:color w:val="000000"/>
                <w:sz w:val="24"/>
                <w:szCs w:val="24"/>
              </w:rPr>
              <w:t>8</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15,143,820</w:t>
            </w:r>
          </w:p>
        </w:tc>
        <w:tc>
          <w:tcPr>
            <w:vAlign w:val="center"/>
          </w:tcPr>
          <w:p>
            <w:pPr>
              <w:jc w:val="right"/>
            </w:pPr>
            <w:r>
              <w:rPr>
                <w:color w:val="000000"/>
                <w:sz w:val="24"/>
                <w:szCs w:val="24"/>
              </w:rPr>
              <w:t>300,301,950.60</w:t>
            </w:r>
          </w:p>
        </w:tc>
        <w:tc>
          <w:tcPr>
            <w:vAlign w:val="center"/>
          </w:tcPr>
          <w:p>
            <w:pPr>
              <w:jc w:val="right"/>
            </w:pPr>
            <w:r>
              <w:rPr>
                <w:color w:val="000000"/>
                <w:sz w:val="24"/>
                <w:szCs w:val="24"/>
              </w:rPr>
              <w:t>3.03</w:t>
            </w:r>
          </w:p>
        </w:tc>
      </w:tr>
      <w:tr>
        <w:tc>
          <w:tcPr>
            <w:vAlign w:val="center"/>
          </w:tcPr>
          <w:p>
            <w:pPr>
              <w:jc w:val="center"/>
            </w:pPr>
            <w:r>
              <w:rPr>
                <w:color w:val="000000"/>
                <w:sz w:val="24"/>
                <w:szCs w:val="24"/>
              </w:rPr>
              <w:t>9</w:t>
            </w:r>
          </w:p>
        </w:tc>
        <w:tc>
          <w:tcPr>
            <w:vAlign w:val="center"/>
          </w:tcPr>
          <w:p>
            <w:pPr>
              <w:jc w:val="center"/>
            </w:pPr>
            <w:r>
              <w:rPr>
                <w:color w:val="000000"/>
                <w:sz w:val="24"/>
                <w:szCs w:val="24"/>
              </w:rPr>
              <w:t>002810</w:t>
            </w:r>
          </w:p>
        </w:tc>
        <w:tc>
          <w:tcPr>
            <w:vAlign w:val="center"/>
          </w:tcPr>
          <w:p>
            <w:pPr>
              <w:jc w:val="center"/>
            </w:pPr>
            <w:r>
              <w:rPr>
                <w:color w:val="000000"/>
                <w:sz w:val="24"/>
                <w:szCs w:val="24"/>
              </w:rPr>
              <w:t>山东赫达</w:t>
            </w:r>
          </w:p>
        </w:tc>
        <w:tc>
          <w:tcPr>
            <w:vAlign w:val="center"/>
          </w:tcPr>
          <w:p>
            <w:pPr>
              <w:jc w:val="right"/>
            </w:pPr>
            <w:r>
              <w:rPr>
                <w:color w:val="000000"/>
                <w:sz w:val="24"/>
                <w:szCs w:val="24"/>
              </w:rPr>
              <w:t>8,854,852</w:t>
            </w:r>
          </w:p>
        </w:tc>
        <w:tc>
          <w:tcPr>
            <w:vAlign w:val="center"/>
          </w:tcPr>
          <w:p>
            <w:pPr>
              <w:jc w:val="right"/>
            </w:pPr>
            <w:r>
              <w:rPr>
                <w:color w:val="000000"/>
                <w:sz w:val="24"/>
                <w:szCs w:val="24"/>
              </w:rPr>
              <w:t>298,939,803.52</w:t>
            </w:r>
          </w:p>
        </w:tc>
        <w:tc>
          <w:tcPr>
            <w:vAlign w:val="center"/>
          </w:tcPr>
          <w:p>
            <w:pPr>
              <w:jc w:val="right"/>
            </w:pPr>
            <w:r>
              <w:rPr>
                <w:color w:val="000000"/>
                <w:sz w:val="24"/>
                <w:szCs w:val="24"/>
              </w:rPr>
              <w:t>3.02</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6,915,023</w:t>
            </w:r>
          </w:p>
        </w:tc>
        <w:tc>
          <w:tcPr>
            <w:vAlign w:val="center"/>
          </w:tcPr>
          <w:p>
            <w:pPr>
              <w:jc w:val="right"/>
            </w:pPr>
            <w:r>
              <w:rPr>
                <w:color w:val="000000"/>
                <w:sz w:val="24"/>
                <w:szCs w:val="24"/>
              </w:rPr>
              <w:t>280,957,384.49</w:t>
            </w:r>
          </w:p>
        </w:tc>
        <w:tc>
          <w:tcPr>
            <w:vAlign w:val="center"/>
          </w:tcPr>
          <w:p>
            <w:pPr>
              <w:jc w:val="right"/>
            </w:pPr>
            <w:r>
              <w:rPr>
                <w:color w:val="000000"/>
                <w:sz w:val="24"/>
                <w:szCs w:val="24"/>
              </w:rPr>
              <w:t>2.83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409,882,000.00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409,882,000.00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869,451.80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410,751,451.80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1,800,000</w:t>
            </w:r>
          </w:p>
        </w:tc>
        <w:tc>
          <w:tcPr>
            <w:vAlign w:val="center"/>
          </w:tcPr>
          <w:p>
            <w:pPr>
              <w:jc w:val="right"/>
            </w:pPr>
            <w:r>
              <w:rPr>
                <w:color w:val="000000"/>
                <w:sz w:val="24"/>
                <w:szCs w:val="24"/>
              </w:rPr>
              <w:t>180,378,000.00</w:t>
            </w:r>
          </w:p>
        </w:tc>
        <w:tc>
          <w:tcPr>
            <w:vAlign w:val="center"/>
          </w:tcPr>
          <w:p>
            <w:pPr>
              <w:jc w:val="right"/>
            </w:pPr>
            <w:r>
              <w:rPr>
                <w:color w:val="000000"/>
                <w:sz w:val="24"/>
                <w:szCs w:val="24"/>
              </w:rPr>
              <w:t>1.82</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600,000</w:t>
            </w:r>
          </w:p>
        </w:tc>
        <w:tc>
          <w:tcPr>
            <w:vAlign w:val="center"/>
          </w:tcPr>
          <w:p>
            <w:pPr>
              <w:jc w:val="right"/>
            </w:pPr>
            <w:r>
              <w:rPr>
                <w:color w:val="000000"/>
                <w:sz w:val="24"/>
                <w:szCs w:val="24"/>
              </w:rPr>
              <w:t>60,114,000.00</w:t>
            </w:r>
          </w:p>
        </w:tc>
        <w:tc>
          <w:tcPr>
            <w:vAlign w:val="center"/>
          </w:tcPr>
          <w:p>
            <w:pPr>
              <w:jc w:val="right"/>
            </w:pPr>
            <w:r>
              <w:rPr>
                <w:color w:val="000000"/>
                <w:sz w:val="24"/>
                <w:szCs w:val="24"/>
              </w:rPr>
              <w:t>0.61</w:t>
            </w:r>
          </w:p>
        </w:tc>
      </w:tr>
      <w:tr>
        <w:tc>
          <w:tcPr>
            <w:vAlign w:val="center"/>
          </w:tcPr>
          <w:p>
            <w:pPr>
              <w:jc w:val="center"/>
            </w:pPr>
            <w:r>
              <w:rPr>
                <w:color w:val="000000"/>
                <w:sz w:val="24"/>
                <w:szCs w:val="24"/>
              </w:rPr>
              <w:t>3</w:t>
            </w:r>
          </w:p>
        </w:tc>
        <w:tc>
          <w:tcPr>
            <w:vAlign w:val="center"/>
          </w:tcPr>
          <w:p>
            <w:pPr>
              <w:jc w:val="center"/>
            </w:pPr>
            <w:r>
              <w:rPr>
                <w:color w:val="000000"/>
                <w:sz w:val="24"/>
                <w:szCs w:val="24"/>
              </w:rPr>
              <w:t>207703</w:t>
            </w:r>
          </w:p>
        </w:tc>
        <w:tc>
          <w:tcPr>
            <w:vAlign w:val="center"/>
          </w:tcPr>
          <w:p>
            <w:pPr>
              <w:jc w:val="center"/>
            </w:pPr>
            <w:r>
              <w:rPr>
                <w:color w:val="000000"/>
                <w:sz w:val="24"/>
                <w:szCs w:val="24"/>
              </w:rPr>
              <w:t>20贴现国开03</w:t>
            </w:r>
          </w:p>
        </w:tc>
        <w:tc>
          <w:tcPr>
            <w:vAlign w:val="center"/>
          </w:tcPr>
          <w:p>
            <w:pPr>
              <w:jc w:val="right"/>
            </w:pPr>
            <w:r>
              <w:rPr>
                <w:color w:val="000000"/>
                <w:sz w:val="24"/>
                <w:szCs w:val="24"/>
              </w:rPr>
              <w:t>600,000</w:t>
            </w:r>
          </w:p>
        </w:tc>
        <w:tc>
          <w:tcPr>
            <w:vAlign w:val="center"/>
          </w:tcPr>
          <w:p>
            <w:pPr>
              <w:jc w:val="right"/>
            </w:pPr>
            <w:r>
              <w:rPr>
                <w:color w:val="000000"/>
                <w:sz w:val="24"/>
                <w:szCs w:val="24"/>
              </w:rPr>
              <w:t>59,538,000.00</w:t>
            </w:r>
          </w:p>
        </w:tc>
        <w:tc>
          <w:tcPr>
            <w:vAlign w:val="center"/>
          </w:tcPr>
          <w:p>
            <w:pPr>
              <w:jc w:val="right"/>
            </w:pPr>
            <w:r>
              <w:rPr>
                <w:color w:val="000000"/>
                <w:sz w:val="24"/>
                <w:szCs w:val="24"/>
              </w:rPr>
              <w:t>0.60</w:t>
            </w:r>
          </w:p>
        </w:tc>
      </w:tr>
      <w:tr>
        <w:tc>
          <w:tcPr>
            <w:vAlign w:val="center"/>
          </w:tcPr>
          <w:p>
            <w:pPr>
              <w:jc w:val="center"/>
            </w:pPr>
            <w:r>
              <w:rPr>
                <w:color w:val="000000"/>
                <w:sz w:val="24"/>
                <w:szCs w:val="24"/>
              </w:rPr>
              <w:t>4</w:t>
            </w:r>
          </w:p>
        </w:tc>
        <w:tc>
          <w:tcPr>
            <w:vAlign w:val="center"/>
          </w:tcPr>
          <w:p>
            <w:pPr>
              <w:jc w:val="center"/>
            </w:pPr>
            <w:r>
              <w:rPr>
                <w:color w:val="000000"/>
                <w:sz w:val="24"/>
                <w:szCs w:val="24"/>
              </w:rPr>
              <w:t>200201</w:t>
            </w:r>
          </w:p>
        </w:tc>
        <w:tc>
          <w:tcPr>
            <w:vAlign w:val="center"/>
          </w:tcPr>
          <w:p>
            <w:pPr>
              <w:jc w:val="center"/>
            </w:pPr>
            <w:r>
              <w:rPr>
                <w:color w:val="000000"/>
                <w:sz w:val="24"/>
                <w:szCs w:val="24"/>
              </w:rPr>
              <w:t>20国开01</w:t>
            </w:r>
          </w:p>
        </w:tc>
        <w:tc>
          <w:tcPr>
            <w:vAlign w:val="center"/>
          </w:tcPr>
          <w:p>
            <w:pPr>
              <w:jc w:val="right"/>
            </w:pPr>
            <w:r>
              <w:rPr>
                <w:color w:val="000000"/>
                <w:sz w:val="24"/>
                <w:szCs w:val="24"/>
              </w:rPr>
              <w:t>500,000</w:t>
            </w:r>
          </w:p>
        </w:tc>
        <w:tc>
          <w:tcPr>
            <w:vAlign w:val="center"/>
          </w:tcPr>
          <w:p>
            <w:pPr>
              <w:jc w:val="right"/>
            </w:pPr>
            <w:r>
              <w:rPr>
                <w:color w:val="000000"/>
                <w:sz w:val="24"/>
                <w:szCs w:val="24"/>
              </w:rPr>
              <w:t>50,070,000.00</w:t>
            </w:r>
          </w:p>
        </w:tc>
        <w:tc>
          <w:tcPr>
            <w:vAlign w:val="center"/>
          </w:tcPr>
          <w:p>
            <w:pPr>
              <w:jc w:val="right"/>
            </w:pPr>
            <w:r>
              <w:rPr>
                <w:color w:val="000000"/>
                <w:sz w:val="24"/>
                <w:szCs w:val="24"/>
              </w:rPr>
              <w:t>0.51</w:t>
            </w:r>
          </w:p>
        </w:tc>
      </w:tr>
      <w:tr>
        <w:tc>
          <w:tcPr>
            <w:vAlign w:val="center"/>
          </w:tcPr>
          <w:p>
            <w:pPr>
              <w:jc w:val="center"/>
            </w:pPr>
            <w:r>
              <w:rPr>
                <w:color w:val="000000"/>
                <w:sz w:val="24"/>
                <w:szCs w:val="24"/>
              </w:rPr>
              <w:t>5</w:t>
            </w:r>
          </w:p>
        </w:tc>
        <w:tc>
          <w:tcPr>
            <w:vAlign w:val="center"/>
          </w:tcPr>
          <w:p>
            <w:pPr>
              <w:jc w:val="center"/>
            </w:pPr>
            <w:r>
              <w:rPr>
                <w:color w:val="000000"/>
                <w:sz w:val="24"/>
                <w:szCs w:val="24"/>
              </w:rPr>
              <w:t>200304</w:t>
            </w:r>
          </w:p>
        </w:tc>
        <w:tc>
          <w:tcPr>
            <w:vAlign w:val="center"/>
          </w:tcPr>
          <w:p>
            <w:pPr>
              <w:jc w:val="center"/>
            </w:pPr>
            <w:r>
              <w:rPr>
                <w:color w:val="000000"/>
                <w:sz w:val="24"/>
                <w:szCs w:val="24"/>
              </w:rPr>
              <w:t>20进出04</w:t>
            </w:r>
          </w:p>
        </w:tc>
        <w:tc>
          <w:tcPr>
            <w:vAlign w:val="center"/>
          </w:tcPr>
          <w:p>
            <w:pPr>
              <w:jc w:val="right"/>
            </w:pPr>
            <w:r>
              <w:rPr>
                <w:color w:val="000000"/>
                <w:sz w:val="24"/>
                <w:szCs w:val="24"/>
              </w:rPr>
              <w:t>400,000</w:t>
            </w:r>
          </w:p>
        </w:tc>
        <w:tc>
          <w:tcPr>
            <w:vAlign w:val="center"/>
          </w:tcPr>
          <w:p>
            <w:pPr>
              <w:jc w:val="right"/>
            </w:pPr>
            <w:r>
              <w:rPr>
                <w:color w:val="000000"/>
                <w:sz w:val="24"/>
                <w:szCs w:val="24"/>
              </w:rPr>
              <w:t>39,932,000.00</w:t>
            </w:r>
          </w:p>
        </w:tc>
        <w:tc>
          <w:tcPr>
            <w:vAlign w:val="center"/>
          </w:tcPr>
          <w:p>
            <w:pPr>
              <w:jc w:val="right"/>
            </w:pPr>
            <w:r>
              <w:rPr>
                <w:color w:val="000000"/>
                <w:sz w:val="24"/>
                <w:szCs w:val="24"/>
              </w:rPr>
              <w:t>0.40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3,466,280.23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19,222,449.36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5,758,269.26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56,357,582.64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84,804,581.49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60,451.80</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22,076,000.00</w:t>
            </w:r>
          </w:p>
        </w:tc>
        <w:tc>
          <w:tcPr>
            <w:vAlign w:val="center"/>
          </w:tcPr>
          <w:p>
            <w:pPr>
              <w:jc w:val="right"/>
            </w:pPr>
            <w:r>
              <w:rPr>
                <w:color w:val="000000"/>
                <w:sz w:val="24"/>
                <w:szCs w:val="24"/>
              </w:rPr>
              <w:t>0.22</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3,913,593,979.05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551,269,011.28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1,127,442,100.72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3,337,420,889.61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1、中国证监会核准交银施罗德阿尔法核心股票型证券投资基金募集的文件；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2、《交银施罗德阿尔法核心混合型证券投资基金基金合同》；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3、《交银施罗德阿尔法核心混合型证券投资基金招募说明书》； </w:t>
      </w:r>
    </w:p>
    <w:p>
      <w:pPr>
        <w:spacing w:before="29" w:line="288" w:lineRule="auto"/>
        <w:ind w:firstLine="480" w:firstLineChars="200"/>
        <w:rPr>
          <w:color w:val="000000"/>
          <w:sz w:val="24"/>
          <w:szCs w:val="24"/>
        </w:rPr>
      </w:pPr>
      <w:r>
        <w:rPr>
          <w:color w:val="000000"/>
          <w:sz w:val="24"/>
          <w:szCs w:val="24"/>
        </w:rPr>
        <w:t>4、《交银施罗德阿尔法核心混合型证券投资基金托管协议》；</w:t>
      </w:r>
    </w:p>
    <w:p>
      <w:pPr>
        <w:spacing w:before="29" w:line="288" w:lineRule="auto"/>
        <w:ind w:firstLine="480" w:firstLineChars="200"/>
        <w:rPr>
          <w:color w:val="000000"/>
          <w:sz w:val="24"/>
          <w:szCs w:val="24"/>
        </w:rPr>
      </w:pPr>
      <w:r>
        <w:rPr>
          <w:color w:val="000000"/>
          <w:sz w:val="24"/>
          <w:szCs w:val="24"/>
        </w:rPr>
        <w:t>5、关于募集交银施罗德阿尔法核心股票型证券投资基金之法律意见书；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8、报告期内交银施罗德阿尔法核心混合型证券投资基金在指定报刊上各项公告的原稿。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交银施罗德阿尔法核心混合型证券投资基金2020年第2季度报告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