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2020</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2020</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二〇二〇年七月二十一日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276087" w:rsidRDefault="003A79F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2020</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1,121,146,096.48</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20FCF" w:rsidRPr="008640AE" w:rsidTr="00620FCF">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(2020</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-2020</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620FCF" w:rsidRPr="008640AE" w:rsidTr="00620FC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92,783,639.54</w:t>
            </w:r>
          </w:p>
        </w:tc>
      </w:tr>
      <w:tr w:rsidR="00620FCF" w:rsidRPr="008640AE" w:rsidTr="00620FC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522,148,504.82</w:t>
            </w:r>
          </w:p>
        </w:tc>
      </w:tr>
      <w:tr w:rsidR="00620FCF" w:rsidRPr="008640AE" w:rsidTr="00620FC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0.4436</w:t>
            </w:r>
          </w:p>
        </w:tc>
      </w:tr>
      <w:tr w:rsidR="00620FCF" w:rsidRPr="008640AE" w:rsidTr="00620FC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1,939,817,467.97</w:t>
            </w:r>
          </w:p>
        </w:tc>
      </w:tr>
      <w:tr w:rsidR="00620FCF" w:rsidRPr="008640AE" w:rsidTr="00620FCF">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1.730</w:t>
            </w:r>
          </w:p>
        </w:tc>
      </w:tr>
    </w:tbl>
    <w:p w:rsidR="00276087" w:rsidRDefault="003A79F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276087">
        <w:trPr>
          <w:jc w:val="center"/>
        </w:trPr>
        <w:tc>
          <w:tcPr>
            <w:tcW w:w="1701" w:type="dxa"/>
            <w:vAlign w:val="center"/>
          </w:tcPr>
          <w:p w:rsidR="00276087" w:rsidRDefault="003A79F6">
            <w:pPr>
              <w:jc w:val="left"/>
            </w:pPr>
            <w:r>
              <w:rPr>
                <w:color w:val="000000"/>
                <w:sz w:val="24"/>
              </w:rPr>
              <w:t>过去三个月</w:t>
            </w:r>
          </w:p>
        </w:tc>
        <w:tc>
          <w:tcPr>
            <w:tcW w:w="1194" w:type="dxa"/>
            <w:vAlign w:val="center"/>
          </w:tcPr>
          <w:p w:rsidR="00276087" w:rsidRDefault="003A79F6">
            <w:pPr>
              <w:jc w:val="right"/>
            </w:pPr>
            <w:r>
              <w:rPr>
                <w:color w:val="000000"/>
                <w:sz w:val="24"/>
              </w:rPr>
              <w:t>35.05%</w:t>
            </w:r>
          </w:p>
        </w:tc>
        <w:tc>
          <w:tcPr>
            <w:tcW w:w="1194" w:type="dxa"/>
            <w:vAlign w:val="center"/>
          </w:tcPr>
          <w:p w:rsidR="00276087" w:rsidRDefault="003A79F6">
            <w:pPr>
              <w:jc w:val="right"/>
            </w:pPr>
            <w:r>
              <w:rPr>
                <w:color w:val="000000"/>
                <w:sz w:val="24"/>
              </w:rPr>
              <w:t>1.81%</w:t>
            </w:r>
          </w:p>
        </w:tc>
        <w:tc>
          <w:tcPr>
            <w:tcW w:w="1194" w:type="dxa"/>
            <w:vAlign w:val="center"/>
          </w:tcPr>
          <w:p w:rsidR="00276087" w:rsidRDefault="003A79F6">
            <w:pPr>
              <w:jc w:val="right"/>
            </w:pPr>
            <w:r>
              <w:rPr>
                <w:color w:val="000000"/>
                <w:sz w:val="24"/>
              </w:rPr>
              <w:t>35.35%</w:t>
            </w:r>
          </w:p>
        </w:tc>
        <w:tc>
          <w:tcPr>
            <w:tcW w:w="1343" w:type="dxa"/>
            <w:vAlign w:val="center"/>
          </w:tcPr>
          <w:p w:rsidR="00276087" w:rsidRDefault="003A79F6">
            <w:pPr>
              <w:jc w:val="right"/>
            </w:pPr>
            <w:r>
              <w:rPr>
                <w:color w:val="000000"/>
                <w:sz w:val="24"/>
              </w:rPr>
              <w:t>1.78%</w:t>
            </w:r>
          </w:p>
        </w:tc>
        <w:tc>
          <w:tcPr>
            <w:tcW w:w="1194" w:type="dxa"/>
            <w:vAlign w:val="center"/>
          </w:tcPr>
          <w:p w:rsidR="00276087" w:rsidRDefault="003A79F6">
            <w:pPr>
              <w:jc w:val="right"/>
            </w:pPr>
            <w:r>
              <w:rPr>
                <w:color w:val="000000"/>
                <w:sz w:val="24"/>
              </w:rPr>
              <w:t>-0.30%</w:t>
            </w:r>
          </w:p>
        </w:tc>
        <w:tc>
          <w:tcPr>
            <w:tcW w:w="1048" w:type="dxa"/>
            <w:vAlign w:val="center"/>
          </w:tcPr>
          <w:p w:rsidR="00276087" w:rsidRDefault="003A79F6">
            <w:pPr>
              <w:jc w:val="right"/>
            </w:pPr>
            <w:r>
              <w:rPr>
                <w:color w:val="000000"/>
                <w:sz w:val="24"/>
              </w:rPr>
              <w:t>0.03%</w:t>
            </w:r>
          </w:p>
        </w:tc>
      </w:tr>
      <w:tr w:rsidR="00276087">
        <w:trPr>
          <w:jc w:val="center"/>
        </w:trPr>
        <w:tc>
          <w:tcPr>
            <w:tcW w:w="1701" w:type="dxa"/>
            <w:vAlign w:val="center"/>
          </w:tcPr>
          <w:p w:rsidR="00276087" w:rsidRDefault="003A79F6">
            <w:pPr>
              <w:jc w:val="left"/>
            </w:pPr>
            <w:r>
              <w:rPr>
                <w:color w:val="000000"/>
                <w:sz w:val="24"/>
              </w:rPr>
              <w:t>过去六个月</w:t>
            </w:r>
          </w:p>
        </w:tc>
        <w:tc>
          <w:tcPr>
            <w:tcW w:w="1194" w:type="dxa"/>
            <w:vAlign w:val="center"/>
          </w:tcPr>
          <w:p w:rsidR="00276087" w:rsidRDefault="003A79F6">
            <w:pPr>
              <w:jc w:val="right"/>
            </w:pPr>
            <w:r>
              <w:rPr>
                <w:color w:val="000000"/>
                <w:sz w:val="24"/>
              </w:rPr>
              <w:t>27.86%</w:t>
            </w:r>
          </w:p>
        </w:tc>
        <w:tc>
          <w:tcPr>
            <w:tcW w:w="1194" w:type="dxa"/>
            <w:vAlign w:val="center"/>
          </w:tcPr>
          <w:p w:rsidR="00276087" w:rsidRDefault="003A79F6">
            <w:pPr>
              <w:jc w:val="right"/>
            </w:pPr>
            <w:r>
              <w:rPr>
                <w:color w:val="000000"/>
                <w:sz w:val="24"/>
              </w:rPr>
              <w:t>2.14%</w:t>
            </w:r>
          </w:p>
        </w:tc>
        <w:tc>
          <w:tcPr>
            <w:tcW w:w="1194" w:type="dxa"/>
            <w:vAlign w:val="center"/>
          </w:tcPr>
          <w:p w:rsidR="00276087" w:rsidRDefault="003A79F6">
            <w:pPr>
              <w:jc w:val="right"/>
            </w:pPr>
            <w:r>
              <w:rPr>
                <w:color w:val="000000"/>
                <w:sz w:val="24"/>
              </w:rPr>
              <w:t>26.40%</w:t>
            </w:r>
          </w:p>
        </w:tc>
        <w:tc>
          <w:tcPr>
            <w:tcW w:w="1343" w:type="dxa"/>
            <w:vAlign w:val="center"/>
          </w:tcPr>
          <w:p w:rsidR="00276087" w:rsidRDefault="003A79F6">
            <w:pPr>
              <w:jc w:val="right"/>
            </w:pPr>
            <w:r>
              <w:rPr>
                <w:color w:val="000000"/>
                <w:sz w:val="24"/>
              </w:rPr>
              <w:t>2.15%</w:t>
            </w:r>
          </w:p>
        </w:tc>
        <w:tc>
          <w:tcPr>
            <w:tcW w:w="1194" w:type="dxa"/>
            <w:vAlign w:val="center"/>
          </w:tcPr>
          <w:p w:rsidR="00276087" w:rsidRDefault="003A79F6">
            <w:pPr>
              <w:jc w:val="right"/>
            </w:pPr>
            <w:r>
              <w:rPr>
                <w:color w:val="000000"/>
                <w:sz w:val="24"/>
              </w:rPr>
              <w:t>1.46%</w:t>
            </w:r>
          </w:p>
        </w:tc>
        <w:tc>
          <w:tcPr>
            <w:tcW w:w="1048" w:type="dxa"/>
            <w:vAlign w:val="center"/>
          </w:tcPr>
          <w:p w:rsidR="00276087" w:rsidRDefault="003A79F6">
            <w:pPr>
              <w:jc w:val="right"/>
            </w:pPr>
            <w:r>
              <w:rPr>
                <w:color w:val="000000"/>
                <w:sz w:val="24"/>
              </w:rPr>
              <w:t>-0.01%</w:t>
            </w:r>
          </w:p>
        </w:tc>
      </w:tr>
      <w:tr w:rsidR="00276087">
        <w:trPr>
          <w:jc w:val="center"/>
        </w:trPr>
        <w:tc>
          <w:tcPr>
            <w:tcW w:w="1701" w:type="dxa"/>
            <w:vAlign w:val="center"/>
          </w:tcPr>
          <w:p w:rsidR="00276087" w:rsidRDefault="003A79F6">
            <w:pPr>
              <w:jc w:val="left"/>
            </w:pPr>
            <w:r>
              <w:rPr>
                <w:color w:val="000000"/>
                <w:sz w:val="24"/>
              </w:rPr>
              <w:lastRenderedPageBreak/>
              <w:t>过去一年</w:t>
            </w:r>
          </w:p>
        </w:tc>
        <w:tc>
          <w:tcPr>
            <w:tcW w:w="1194" w:type="dxa"/>
            <w:vAlign w:val="center"/>
          </w:tcPr>
          <w:p w:rsidR="00276087" w:rsidRDefault="003A79F6">
            <w:pPr>
              <w:jc w:val="right"/>
            </w:pPr>
            <w:r>
              <w:rPr>
                <w:color w:val="000000"/>
                <w:sz w:val="24"/>
              </w:rPr>
              <w:t>44.89%</w:t>
            </w:r>
          </w:p>
        </w:tc>
        <w:tc>
          <w:tcPr>
            <w:tcW w:w="1194" w:type="dxa"/>
            <w:vAlign w:val="center"/>
          </w:tcPr>
          <w:p w:rsidR="00276087" w:rsidRDefault="003A79F6">
            <w:pPr>
              <w:jc w:val="right"/>
            </w:pPr>
            <w:r>
              <w:rPr>
                <w:color w:val="000000"/>
                <w:sz w:val="24"/>
              </w:rPr>
              <w:t>1.74%</w:t>
            </w:r>
          </w:p>
        </w:tc>
        <w:tc>
          <w:tcPr>
            <w:tcW w:w="1194" w:type="dxa"/>
            <w:vAlign w:val="center"/>
          </w:tcPr>
          <w:p w:rsidR="00276087" w:rsidRDefault="003A79F6">
            <w:pPr>
              <w:jc w:val="right"/>
            </w:pPr>
            <w:r>
              <w:rPr>
                <w:color w:val="000000"/>
                <w:sz w:val="24"/>
              </w:rPr>
              <w:t>39.69%</w:t>
            </w:r>
          </w:p>
        </w:tc>
        <w:tc>
          <w:tcPr>
            <w:tcW w:w="1343" w:type="dxa"/>
            <w:vAlign w:val="center"/>
          </w:tcPr>
          <w:p w:rsidR="00276087" w:rsidRDefault="003A79F6">
            <w:pPr>
              <w:jc w:val="right"/>
            </w:pPr>
            <w:r>
              <w:rPr>
                <w:color w:val="000000"/>
                <w:sz w:val="24"/>
              </w:rPr>
              <w:t>1.75%</w:t>
            </w:r>
          </w:p>
        </w:tc>
        <w:tc>
          <w:tcPr>
            <w:tcW w:w="1194" w:type="dxa"/>
            <w:vAlign w:val="center"/>
          </w:tcPr>
          <w:p w:rsidR="00276087" w:rsidRDefault="003A79F6">
            <w:pPr>
              <w:jc w:val="right"/>
            </w:pPr>
            <w:r>
              <w:rPr>
                <w:color w:val="000000"/>
                <w:sz w:val="24"/>
              </w:rPr>
              <w:t>5.20%</w:t>
            </w:r>
          </w:p>
        </w:tc>
        <w:tc>
          <w:tcPr>
            <w:tcW w:w="1048" w:type="dxa"/>
            <w:vAlign w:val="center"/>
          </w:tcPr>
          <w:p w:rsidR="00276087" w:rsidRDefault="003A79F6">
            <w:pPr>
              <w:jc w:val="right"/>
            </w:pPr>
            <w:r>
              <w:rPr>
                <w:color w:val="000000"/>
                <w:sz w:val="24"/>
              </w:rPr>
              <w:t>-0.01%</w:t>
            </w:r>
          </w:p>
        </w:tc>
      </w:tr>
      <w:tr w:rsidR="00276087">
        <w:trPr>
          <w:jc w:val="center"/>
        </w:trPr>
        <w:tc>
          <w:tcPr>
            <w:tcW w:w="1701" w:type="dxa"/>
            <w:vAlign w:val="center"/>
          </w:tcPr>
          <w:p w:rsidR="00276087" w:rsidRDefault="003A79F6">
            <w:pPr>
              <w:jc w:val="left"/>
            </w:pPr>
            <w:r>
              <w:rPr>
                <w:color w:val="000000"/>
                <w:sz w:val="24"/>
              </w:rPr>
              <w:t>过去三年</w:t>
            </w:r>
          </w:p>
        </w:tc>
        <w:tc>
          <w:tcPr>
            <w:tcW w:w="1194" w:type="dxa"/>
            <w:vAlign w:val="center"/>
          </w:tcPr>
          <w:p w:rsidR="00276087" w:rsidRDefault="003A79F6">
            <w:pPr>
              <w:jc w:val="right"/>
            </w:pPr>
            <w:r>
              <w:rPr>
                <w:color w:val="000000"/>
                <w:sz w:val="24"/>
              </w:rPr>
              <w:t>44.05%</w:t>
            </w:r>
          </w:p>
        </w:tc>
        <w:tc>
          <w:tcPr>
            <w:tcW w:w="1194" w:type="dxa"/>
            <w:vAlign w:val="center"/>
          </w:tcPr>
          <w:p w:rsidR="00276087" w:rsidRDefault="003A79F6">
            <w:pPr>
              <w:jc w:val="right"/>
            </w:pPr>
            <w:r>
              <w:rPr>
                <w:color w:val="000000"/>
                <w:sz w:val="24"/>
              </w:rPr>
              <w:t>1.69%</w:t>
            </w:r>
          </w:p>
        </w:tc>
        <w:tc>
          <w:tcPr>
            <w:tcW w:w="1194" w:type="dxa"/>
            <w:vAlign w:val="center"/>
          </w:tcPr>
          <w:p w:rsidR="00276087" w:rsidRDefault="003A79F6">
            <w:pPr>
              <w:jc w:val="right"/>
            </w:pPr>
            <w:r>
              <w:rPr>
                <w:color w:val="000000"/>
                <w:sz w:val="24"/>
              </w:rPr>
              <w:t>35.61%</w:t>
            </w:r>
          </w:p>
        </w:tc>
        <w:tc>
          <w:tcPr>
            <w:tcW w:w="1343" w:type="dxa"/>
            <w:vAlign w:val="center"/>
          </w:tcPr>
          <w:p w:rsidR="00276087" w:rsidRDefault="003A79F6">
            <w:pPr>
              <w:jc w:val="right"/>
            </w:pPr>
            <w:r>
              <w:rPr>
                <w:color w:val="000000"/>
                <w:sz w:val="24"/>
              </w:rPr>
              <w:t>1.68%</w:t>
            </w:r>
          </w:p>
        </w:tc>
        <w:tc>
          <w:tcPr>
            <w:tcW w:w="1194" w:type="dxa"/>
            <w:vAlign w:val="center"/>
          </w:tcPr>
          <w:p w:rsidR="00276087" w:rsidRDefault="003A79F6">
            <w:pPr>
              <w:jc w:val="right"/>
            </w:pPr>
            <w:r>
              <w:rPr>
                <w:color w:val="000000"/>
                <w:sz w:val="24"/>
              </w:rPr>
              <w:t>8.44%</w:t>
            </w:r>
          </w:p>
        </w:tc>
        <w:tc>
          <w:tcPr>
            <w:tcW w:w="1048" w:type="dxa"/>
            <w:vAlign w:val="center"/>
          </w:tcPr>
          <w:p w:rsidR="00276087" w:rsidRDefault="003A79F6">
            <w:pPr>
              <w:jc w:val="right"/>
            </w:pPr>
            <w:r>
              <w:rPr>
                <w:color w:val="000000"/>
                <w:sz w:val="24"/>
              </w:rPr>
              <w:t>0.01%</w:t>
            </w:r>
          </w:p>
        </w:tc>
      </w:tr>
      <w:tr w:rsidR="00276087">
        <w:trPr>
          <w:jc w:val="center"/>
        </w:trPr>
        <w:tc>
          <w:tcPr>
            <w:tcW w:w="1701" w:type="dxa"/>
            <w:vAlign w:val="center"/>
          </w:tcPr>
          <w:p w:rsidR="00276087" w:rsidRDefault="003A79F6">
            <w:pPr>
              <w:jc w:val="left"/>
            </w:pPr>
            <w:r>
              <w:rPr>
                <w:color w:val="000000"/>
                <w:sz w:val="24"/>
              </w:rPr>
              <w:t>过去五年</w:t>
            </w:r>
          </w:p>
        </w:tc>
        <w:tc>
          <w:tcPr>
            <w:tcW w:w="1194" w:type="dxa"/>
            <w:vAlign w:val="center"/>
          </w:tcPr>
          <w:p w:rsidR="00276087" w:rsidRDefault="003A79F6">
            <w:pPr>
              <w:jc w:val="right"/>
            </w:pPr>
            <w:r>
              <w:rPr>
                <w:color w:val="000000"/>
                <w:sz w:val="24"/>
              </w:rPr>
              <w:t>83.46%</w:t>
            </w:r>
          </w:p>
        </w:tc>
        <w:tc>
          <w:tcPr>
            <w:tcW w:w="1194" w:type="dxa"/>
            <w:vAlign w:val="center"/>
          </w:tcPr>
          <w:p w:rsidR="00276087" w:rsidRDefault="003A79F6">
            <w:pPr>
              <w:jc w:val="right"/>
            </w:pPr>
            <w:r>
              <w:rPr>
                <w:color w:val="000000"/>
                <w:sz w:val="24"/>
              </w:rPr>
              <w:t>1.60%</w:t>
            </w:r>
          </w:p>
        </w:tc>
        <w:tc>
          <w:tcPr>
            <w:tcW w:w="1194" w:type="dxa"/>
            <w:vAlign w:val="center"/>
          </w:tcPr>
          <w:p w:rsidR="00276087" w:rsidRDefault="003A79F6">
            <w:pPr>
              <w:jc w:val="right"/>
            </w:pPr>
            <w:r>
              <w:rPr>
                <w:color w:val="000000"/>
                <w:sz w:val="24"/>
              </w:rPr>
              <w:t>60.56%</w:t>
            </w:r>
          </w:p>
        </w:tc>
        <w:tc>
          <w:tcPr>
            <w:tcW w:w="1343" w:type="dxa"/>
            <w:vAlign w:val="center"/>
          </w:tcPr>
          <w:p w:rsidR="00276087" w:rsidRDefault="003A79F6">
            <w:pPr>
              <w:jc w:val="right"/>
            </w:pPr>
            <w:r>
              <w:rPr>
                <w:color w:val="000000"/>
                <w:sz w:val="24"/>
              </w:rPr>
              <w:t>1.63%</w:t>
            </w:r>
          </w:p>
        </w:tc>
        <w:tc>
          <w:tcPr>
            <w:tcW w:w="1194" w:type="dxa"/>
            <w:vAlign w:val="center"/>
          </w:tcPr>
          <w:p w:rsidR="00276087" w:rsidRDefault="003A79F6">
            <w:pPr>
              <w:jc w:val="right"/>
            </w:pPr>
            <w:r>
              <w:rPr>
                <w:color w:val="000000"/>
                <w:sz w:val="24"/>
              </w:rPr>
              <w:t>22.90%</w:t>
            </w:r>
          </w:p>
        </w:tc>
        <w:tc>
          <w:tcPr>
            <w:tcW w:w="1048" w:type="dxa"/>
            <w:vAlign w:val="center"/>
          </w:tcPr>
          <w:p w:rsidR="00276087" w:rsidRDefault="003A79F6">
            <w:pPr>
              <w:jc w:val="right"/>
            </w:pPr>
            <w:r>
              <w:rPr>
                <w:color w:val="000000"/>
                <w:sz w:val="24"/>
              </w:rPr>
              <w:t>-0.03%</w:t>
            </w:r>
          </w:p>
        </w:tc>
      </w:tr>
      <w:tr w:rsidR="00276087">
        <w:trPr>
          <w:jc w:val="center"/>
        </w:trPr>
        <w:tc>
          <w:tcPr>
            <w:tcW w:w="1701" w:type="dxa"/>
            <w:vAlign w:val="center"/>
          </w:tcPr>
          <w:p w:rsidR="00276087" w:rsidRDefault="003A79F6">
            <w:pPr>
              <w:jc w:val="left"/>
            </w:pPr>
            <w:r>
              <w:rPr>
                <w:color w:val="000000"/>
                <w:sz w:val="24"/>
              </w:rPr>
              <w:t>自基金合同生效起至今</w:t>
            </w:r>
          </w:p>
        </w:tc>
        <w:tc>
          <w:tcPr>
            <w:tcW w:w="1194" w:type="dxa"/>
            <w:vAlign w:val="center"/>
          </w:tcPr>
          <w:p w:rsidR="00276087" w:rsidRDefault="003A79F6">
            <w:pPr>
              <w:jc w:val="right"/>
            </w:pPr>
            <w:r>
              <w:rPr>
                <w:color w:val="000000"/>
                <w:sz w:val="24"/>
              </w:rPr>
              <w:t>73.00%</w:t>
            </w:r>
          </w:p>
        </w:tc>
        <w:tc>
          <w:tcPr>
            <w:tcW w:w="1194" w:type="dxa"/>
            <w:vAlign w:val="center"/>
          </w:tcPr>
          <w:p w:rsidR="00276087" w:rsidRDefault="003A79F6">
            <w:pPr>
              <w:jc w:val="right"/>
            </w:pPr>
            <w:r>
              <w:rPr>
                <w:color w:val="000000"/>
                <w:sz w:val="24"/>
              </w:rPr>
              <w:t>1.59%</w:t>
            </w:r>
          </w:p>
        </w:tc>
        <w:tc>
          <w:tcPr>
            <w:tcW w:w="1194" w:type="dxa"/>
            <w:vAlign w:val="center"/>
          </w:tcPr>
          <w:p w:rsidR="00276087" w:rsidRDefault="003A79F6">
            <w:pPr>
              <w:jc w:val="right"/>
            </w:pPr>
            <w:r>
              <w:rPr>
                <w:color w:val="000000"/>
                <w:sz w:val="24"/>
              </w:rPr>
              <w:t>54.35%</w:t>
            </w:r>
          </w:p>
        </w:tc>
        <w:tc>
          <w:tcPr>
            <w:tcW w:w="1343" w:type="dxa"/>
            <w:vAlign w:val="center"/>
          </w:tcPr>
          <w:p w:rsidR="00276087" w:rsidRDefault="003A79F6">
            <w:pPr>
              <w:jc w:val="right"/>
            </w:pPr>
            <w:r>
              <w:rPr>
                <w:color w:val="000000"/>
                <w:sz w:val="24"/>
              </w:rPr>
              <w:t>1.63%</w:t>
            </w:r>
          </w:p>
        </w:tc>
        <w:tc>
          <w:tcPr>
            <w:tcW w:w="1194" w:type="dxa"/>
            <w:vAlign w:val="center"/>
          </w:tcPr>
          <w:p w:rsidR="00276087" w:rsidRDefault="003A79F6">
            <w:pPr>
              <w:jc w:val="right"/>
            </w:pPr>
            <w:r>
              <w:rPr>
                <w:color w:val="000000"/>
                <w:sz w:val="24"/>
              </w:rPr>
              <w:t>18.65%</w:t>
            </w:r>
          </w:p>
        </w:tc>
        <w:tc>
          <w:tcPr>
            <w:tcW w:w="1048" w:type="dxa"/>
            <w:vAlign w:val="center"/>
          </w:tcPr>
          <w:p w:rsidR="00276087" w:rsidRDefault="003A79F6">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2020</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276087">
        <w:trPr>
          <w:jc w:val="center"/>
        </w:trPr>
        <w:tc>
          <w:tcPr>
            <w:tcW w:w="846" w:type="dxa"/>
            <w:vAlign w:val="center"/>
          </w:tcPr>
          <w:p w:rsidR="00276087" w:rsidRDefault="003A79F6">
            <w:pPr>
              <w:jc w:val="center"/>
            </w:pPr>
            <w:r>
              <w:rPr>
                <w:color w:val="000000"/>
                <w:sz w:val="24"/>
              </w:rPr>
              <w:t>蔡铮</w:t>
            </w:r>
          </w:p>
        </w:tc>
        <w:tc>
          <w:tcPr>
            <w:tcW w:w="845" w:type="dxa"/>
            <w:vAlign w:val="center"/>
          </w:tcPr>
          <w:p w:rsidR="00276087" w:rsidRDefault="003A79F6">
            <w:pPr>
              <w:jc w:val="center"/>
            </w:pPr>
            <w:r>
              <w:rPr>
                <w:color w:val="000000"/>
                <w:sz w:val="24"/>
              </w:rPr>
              <w:t>交银</w:t>
            </w:r>
            <w:r>
              <w:rPr>
                <w:color w:val="000000"/>
                <w:sz w:val="24"/>
              </w:rPr>
              <w:lastRenderedPageBreak/>
              <w:t>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lastRenderedPageBreak/>
              <w:t>50</w:t>
            </w:r>
            <w:r>
              <w:rPr>
                <w:color w:val="000000"/>
                <w:sz w:val="24"/>
              </w:rPr>
              <w:t>指数的基金经理，公司量化投资副总监兼多元资产管理副总监</w:t>
            </w:r>
          </w:p>
        </w:tc>
        <w:tc>
          <w:tcPr>
            <w:tcW w:w="1549" w:type="dxa"/>
            <w:vAlign w:val="center"/>
          </w:tcPr>
          <w:p w:rsidR="00276087" w:rsidRDefault="003A79F6">
            <w:pPr>
              <w:jc w:val="center"/>
            </w:pPr>
            <w:r>
              <w:rPr>
                <w:color w:val="000000"/>
                <w:sz w:val="24"/>
              </w:rPr>
              <w:lastRenderedPageBreak/>
              <w:t>2015-05-27</w:t>
            </w:r>
          </w:p>
        </w:tc>
        <w:tc>
          <w:tcPr>
            <w:tcW w:w="1548" w:type="dxa"/>
            <w:vAlign w:val="center"/>
          </w:tcPr>
          <w:p w:rsidR="00276087" w:rsidRDefault="003A79F6">
            <w:pPr>
              <w:jc w:val="center"/>
            </w:pPr>
            <w:r>
              <w:rPr>
                <w:color w:val="000000"/>
                <w:sz w:val="24"/>
              </w:rPr>
              <w:t>-</w:t>
            </w:r>
          </w:p>
        </w:tc>
        <w:tc>
          <w:tcPr>
            <w:tcW w:w="1407" w:type="dxa"/>
            <w:vAlign w:val="center"/>
          </w:tcPr>
          <w:p w:rsidR="00276087" w:rsidRDefault="003A79F6">
            <w:pPr>
              <w:jc w:val="center"/>
            </w:pPr>
            <w:r>
              <w:rPr>
                <w:color w:val="000000"/>
                <w:sz w:val="24"/>
              </w:rPr>
              <w:t>11</w:t>
            </w:r>
            <w:r>
              <w:rPr>
                <w:color w:val="000000"/>
                <w:sz w:val="24"/>
              </w:rPr>
              <w:t>年</w:t>
            </w:r>
          </w:p>
        </w:tc>
        <w:tc>
          <w:tcPr>
            <w:tcW w:w="2673" w:type="dxa"/>
            <w:vAlign w:val="center"/>
          </w:tcPr>
          <w:p w:rsidR="00276087" w:rsidRDefault="003A79F6" w:rsidP="00620FCF">
            <w:pPr>
              <w:jc w:val="left"/>
            </w:pPr>
            <w:r>
              <w:rPr>
                <w:color w:val="000000"/>
                <w:sz w:val="24"/>
              </w:rPr>
              <w:t>蔡铮先生，中国国籍，</w:t>
            </w:r>
            <w:r>
              <w:rPr>
                <w:color w:val="000000"/>
                <w:sz w:val="24"/>
              </w:rPr>
              <w:lastRenderedPageBreak/>
              <w:t>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sidR="00620FCF">
              <w:rPr>
                <w:color w:val="000000"/>
                <w:sz w:val="24"/>
              </w:rPr>
              <w:t>7</w:t>
            </w:r>
            <w:r>
              <w:rPr>
                <w:color w:val="000000"/>
                <w:sz w:val="24"/>
              </w:rPr>
              <w:t>月</w:t>
            </w:r>
            <w:r>
              <w:rPr>
                <w:color w:val="000000"/>
                <w:sz w:val="24"/>
              </w:rPr>
              <w:t>1</w:t>
            </w:r>
            <w:r w:rsidR="00620FCF">
              <w:rPr>
                <w:color w:val="000000"/>
                <w:sz w:val="24"/>
              </w:rPr>
              <w:t>7</w:t>
            </w:r>
            <w:bookmarkStart w:id="0" w:name="_GoBack"/>
            <w:bookmarkEnd w:id="0"/>
            <w:r>
              <w:rPr>
                <w:color w:val="000000"/>
                <w:sz w:val="24"/>
              </w:rPr>
              <w:t>日担任交银施罗德致远量化智投策略定期开放混合型证券投资基金的基金经理。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276087" w:rsidRDefault="003A79F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w:t>
      </w:r>
      <w:r>
        <w:rPr>
          <w:color w:val="000000"/>
          <w:sz w:val="24"/>
        </w:rPr>
        <w:t>包括证券投资基金和特定客户资产管理专户均严格遵循制度进行公平交易。</w:t>
      </w:r>
    </w:p>
    <w:p w:rsidR="00276087" w:rsidRDefault="003A79F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76087" w:rsidRDefault="003A79F6">
      <w:pPr>
        <w:spacing w:before="29" w:line="288" w:lineRule="auto"/>
        <w:ind w:firstLineChars="200" w:firstLine="480"/>
        <w:rPr>
          <w:color w:val="000000"/>
          <w:sz w:val="24"/>
        </w:rPr>
      </w:pPr>
      <w:r>
        <w:rPr>
          <w:color w:val="000000"/>
          <w:sz w:val="24"/>
        </w:rPr>
        <w:t>公司中央交易室和风险管理部进行日常投资交易行为监控，风</w:t>
      </w:r>
      <w:r>
        <w:rPr>
          <w:color w:val="000000"/>
          <w:sz w:val="24"/>
        </w:rPr>
        <w:t>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w:t>
      </w:r>
      <w:r w:rsidRPr="008640AE">
        <w:rPr>
          <w:color w:val="000000"/>
          <w:sz w:val="24"/>
        </w:rPr>
        <w:lastRenderedPageBreak/>
        <w:t>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276087" w:rsidRDefault="003A79F6">
      <w:pPr>
        <w:spacing w:before="29" w:line="288" w:lineRule="auto"/>
        <w:ind w:firstLineChars="200" w:firstLine="480"/>
        <w:rPr>
          <w:color w:val="000000"/>
          <w:sz w:val="24"/>
        </w:rPr>
      </w:pPr>
      <w:r>
        <w:rPr>
          <w:color w:val="000000"/>
          <w:sz w:val="24"/>
        </w:rPr>
        <w:t>2020</w:t>
      </w:r>
      <w:r>
        <w:rPr>
          <w:color w:val="000000"/>
          <w:sz w:val="24"/>
        </w:rPr>
        <w:t>年二季度，全球范围内新冠疫情仍持续蔓延，但对于经济的突发性冲击有所减弱。全球大规模货币宽松和财政刺激之下，流动性压力得到缓解，投资者信心有所提振。随着欧美疫情边际改善和复工进展的推进，二季度</w:t>
      </w:r>
      <w:r>
        <w:rPr>
          <w:color w:val="000000"/>
          <w:sz w:val="24"/>
        </w:rPr>
        <w:t>全球金融市场逐渐恢复平静，主要资本市场呈现震荡向上走势。作为跟踪中证海外中国互联网指数的指数基金，二季度基金总体呈现出较大涨幅。</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2020</w:t>
      </w:r>
      <w:r w:rsidRPr="008640AE">
        <w:rPr>
          <w:color w:val="000000"/>
          <w:sz w:val="24"/>
        </w:rPr>
        <w:t>年三季度，全球经济复苏是大方向，但实际恢复速度取决于后续疫情影响。为缓解疫情冲击，发达经济体未来可能进一步加大财政刺激的力度，货币宽松的趋势大概率仍将延续。国内方面，随着国内疫情防控向好形势持续巩固，企业复工复产深入推进，国内经济继续保持修复性增长。考虑到海外疫情仍在反复，我们总体上对于中国海外互联网板块的表现保持谨慎乐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“3.1</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 xml:space="preserve">“3.2.1 </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D005B0" w:rsidRPr="00D005B0" w:rsidRDefault="00D005B0" w:rsidP="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02"/>
        <w:gridCol w:w="3118"/>
        <w:gridCol w:w="2143"/>
      </w:tblGrid>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2802"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3118"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2143" w:type="dxa"/>
            <w:shd w:val="clear" w:color="auto" w:fill="auto"/>
            <w:vAlign w:val="center"/>
          </w:tcPr>
          <w:p w:rsidR="00363E15" w:rsidRPr="008640AE" w:rsidRDefault="00363E15" w:rsidP="007F7FBA">
            <w:pPr>
              <w:spacing w:before="29" w:line="288" w:lineRule="auto"/>
              <w:ind w:left="17"/>
              <w:jc w:val="center"/>
              <w:rPr>
                <w:color w:val="000000"/>
                <w:sz w:val="24"/>
              </w:rPr>
            </w:pPr>
            <w:r w:rsidRPr="008640AE">
              <w:rPr>
                <w:color w:val="000000"/>
                <w:sz w:val="24"/>
              </w:rPr>
              <w:t>占基金总资产的比例</w:t>
            </w:r>
            <w:r w:rsidR="007F7FBA">
              <w:rPr>
                <w:rFonts w:hint="eastAsia"/>
                <w:color w:val="000000"/>
                <w:sz w:val="24"/>
              </w:rPr>
              <w:t>(</w:t>
            </w:r>
            <w:r w:rsidR="007F7FBA">
              <w:rPr>
                <w:color w:val="000000"/>
                <w:sz w:val="24"/>
              </w:rPr>
              <w:t>%</w:t>
            </w:r>
            <w:r w:rsidR="007F7FBA">
              <w:rPr>
                <w:rFonts w:hint="eastAsia"/>
                <w:color w:val="000000"/>
                <w:sz w:val="24"/>
              </w:rPr>
              <w:t>)</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1,766,450,637.32</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86.62</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572,936,209.61</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28.09</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1,193,514,427.71</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58.52</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D005B0" w:rsidRPr="008640AE">
              <w:rPr>
                <w:color w:val="000000"/>
                <w:sz w:val="24"/>
              </w:rPr>
              <w:t>凭证</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3118"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3118"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149,869,246.91</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7.35</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2802"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123,023,529.59</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6.03</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2802"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2,039,343,413.82</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173CEB" w:rsidRPr="00173CEB" w:rsidRDefault="00173CEB" w:rsidP="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276087">
        <w:trPr>
          <w:jc w:val="center"/>
        </w:trPr>
        <w:tc>
          <w:tcPr>
            <w:tcW w:w="2484" w:type="dxa"/>
            <w:vAlign w:val="center"/>
          </w:tcPr>
          <w:p w:rsidR="00276087" w:rsidRDefault="003A79F6">
            <w:pPr>
              <w:jc w:val="left"/>
            </w:pPr>
            <w:r>
              <w:rPr>
                <w:color w:val="000000"/>
                <w:sz w:val="24"/>
              </w:rPr>
              <w:t>美国</w:t>
            </w:r>
          </w:p>
        </w:tc>
        <w:tc>
          <w:tcPr>
            <w:tcW w:w="3214" w:type="dxa"/>
            <w:vAlign w:val="center"/>
          </w:tcPr>
          <w:p w:rsidR="00276087" w:rsidRDefault="003A79F6">
            <w:pPr>
              <w:jc w:val="right"/>
            </w:pPr>
            <w:r>
              <w:rPr>
                <w:color w:val="000000"/>
                <w:sz w:val="24"/>
              </w:rPr>
              <w:t>1,210,985,267.51</w:t>
            </w:r>
          </w:p>
        </w:tc>
        <w:tc>
          <w:tcPr>
            <w:tcW w:w="3170" w:type="dxa"/>
            <w:vAlign w:val="center"/>
          </w:tcPr>
          <w:p w:rsidR="00276087" w:rsidRDefault="003A79F6">
            <w:pPr>
              <w:jc w:val="right"/>
            </w:pPr>
            <w:r>
              <w:rPr>
                <w:color w:val="000000"/>
                <w:sz w:val="24"/>
              </w:rPr>
              <w:t>62.43</w:t>
            </w:r>
          </w:p>
        </w:tc>
      </w:tr>
      <w:tr w:rsidR="00276087">
        <w:trPr>
          <w:jc w:val="center"/>
        </w:trPr>
        <w:tc>
          <w:tcPr>
            <w:tcW w:w="2484" w:type="dxa"/>
            <w:vAlign w:val="center"/>
          </w:tcPr>
          <w:p w:rsidR="00276087" w:rsidRDefault="003A79F6">
            <w:pPr>
              <w:jc w:val="left"/>
            </w:pPr>
            <w:r>
              <w:rPr>
                <w:color w:val="000000"/>
                <w:sz w:val="24"/>
              </w:rPr>
              <w:t>香港</w:t>
            </w:r>
          </w:p>
        </w:tc>
        <w:tc>
          <w:tcPr>
            <w:tcW w:w="3214" w:type="dxa"/>
            <w:vAlign w:val="center"/>
          </w:tcPr>
          <w:p w:rsidR="00276087" w:rsidRDefault="003A79F6">
            <w:pPr>
              <w:jc w:val="right"/>
            </w:pPr>
            <w:r>
              <w:rPr>
                <w:color w:val="000000"/>
                <w:sz w:val="24"/>
              </w:rPr>
              <w:t>555,465,369.81</w:t>
            </w:r>
          </w:p>
        </w:tc>
        <w:tc>
          <w:tcPr>
            <w:tcW w:w="3170" w:type="dxa"/>
            <w:vAlign w:val="center"/>
          </w:tcPr>
          <w:p w:rsidR="00276087" w:rsidRDefault="003A79F6">
            <w:pPr>
              <w:jc w:val="right"/>
            </w:pPr>
            <w:r>
              <w:rPr>
                <w:color w:val="000000"/>
                <w:sz w:val="24"/>
              </w:rPr>
              <w:t>28.63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1,766,450,637.32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91.06</w:t>
            </w:r>
          </w:p>
        </w:tc>
      </w:tr>
    </w:tbl>
    <w:p w:rsidR="00276087" w:rsidRDefault="003A79F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R="001C3D24" w:rsidRPr="001C3D24" w:rsidRDefault="001C3D24" w:rsidP="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金额单位：人民币元</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1C3D24"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公允价值</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276087">
        <w:tc>
          <w:tcPr>
            <w:tcW w:w="2787" w:type="dxa"/>
            <w:vAlign w:val="center"/>
          </w:tcPr>
          <w:p w:rsidR="00276087" w:rsidRDefault="003A79F6">
            <w:pPr>
              <w:jc w:val="left"/>
            </w:pPr>
            <w:r>
              <w:rPr>
                <w:color w:val="000000"/>
                <w:sz w:val="24"/>
              </w:rPr>
              <w:lastRenderedPageBreak/>
              <w:t>电信服务</w:t>
            </w:r>
          </w:p>
        </w:tc>
        <w:tc>
          <w:tcPr>
            <w:tcW w:w="2976" w:type="dxa"/>
            <w:vAlign w:val="center"/>
          </w:tcPr>
          <w:p w:rsidR="00276087" w:rsidRDefault="003A79F6">
            <w:pPr>
              <w:jc w:val="right"/>
            </w:pPr>
            <w:r>
              <w:rPr>
                <w:color w:val="000000"/>
                <w:sz w:val="24"/>
              </w:rPr>
              <w:t>729,150,099.13</w:t>
            </w:r>
          </w:p>
        </w:tc>
        <w:tc>
          <w:tcPr>
            <w:tcW w:w="3261" w:type="dxa"/>
            <w:vAlign w:val="center"/>
          </w:tcPr>
          <w:p w:rsidR="00276087" w:rsidRDefault="003A79F6">
            <w:pPr>
              <w:jc w:val="right"/>
            </w:pPr>
            <w:r>
              <w:rPr>
                <w:color w:val="000000"/>
                <w:sz w:val="24"/>
              </w:rPr>
              <w:t>37.59</w:t>
            </w:r>
          </w:p>
        </w:tc>
      </w:tr>
      <w:tr w:rsidR="00276087">
        <w:tc>
          <w:tcPr>
            <w:tcW w:w="2787" w:type="dxa"/>
            <w:vAlign w:val="center"/>
          </w:tcPr>
          <w:p w:rsidR="00276087" w:rsidRDefault="003A79F6">
            <w:pPr>
              <w:jc w:val="left"/>
            </w:pPr>
            <w:r>
              <w:rPr>
                <w:color w:val="000000"/>
                <w:sz w:val="24"/>
              </w:rPr>
              <w:t>非必需消费品</w:t>
            </w:r>
          </w:p>
        </w:tc>
        <w:tc>
          <w:tcPr>
            <w:tcW w:w="2976" w:type="dxa"/>
            <w:vAlign w:val="center"/>
          </w:tcPr>
          <w:p w:rsidR="00276087" w:rsidRDefault="003A79F6">
            <w:pPr>
              <w:jc w:val="right"/>
            </w:pPr>
            <w:r>
              <w:rPr>
                <w:color w:val="000000"/>
                <w:sz w:val="24"/>
              </w:rPr>
              <w:t>847,548,195.98</w:t>
            </w:r>
          </w:p>
        </w:tc>
        <w:tc>
          <w:tcPr>
            <w:tcW w:w="3261" w:type="dxa"/>
            <w:vAlign w:val="center"/>
          </w:tcPr>
          <w:p w:rsidR="00276087" w:rsidRDefault="003A79F6">
            <w:pPr>
              <w:jc w:val="right"/>
            </w:pPr>
            <w:r>
              <w:rPr>
                <w:color w:val="000000"/>
                <w:sz w:val="24"/>
              </w:rPr>
              <w:t>43.69</w:t>
            </w:r>
          </w:p>
        </w:tc>
      </w:tr>
      <w:tr w:rsidR="00276087">
        <w:tc>
          <w:tcPr>
            <w:tcW w:w="2787" w:type="dxa"/>
            <w:vAlign w:val="center"/>
          </w:tcPr>
          <w:p w:rsidR="00276087" w:rsidRDefault="003A79F6">
            <w:pPr>
              <w:jc w:val="left"/>
            </w:pPr>
            <w:r>
              <w:rPr>
                <w:color w:val="000000"/>
                <w:sz w:val="24"/>
              </w:rPr>
              <w:t>金融</w:t>
            </w:r>
          </w:p>
        </w:tc>
        <w:tc>
          <w:tcPr>
            <w:tcW w:w="2976" w:type="dxa"/>
            <w:vAlign w:val="center"/>
          </w:tcPr>
          <w:p w:rsidR="00276087" w:rsidRDefault="003A79F6">
            <w:pPr>
              <w:jc w:val="right"/>
            </w:pPr>
            <w:r>
              <w:rPr>
                <w:color w:val="000000"/>
                <w:sz w:val="24"/>
              </w:rPr>
              <w:t>6,560,890.19</w:t>
            </w:r>
          </w:p>
        </w:tc>
        <w:tc>
          <w:tcPr>
            <w:tcW w:w="3261" w:type="dxa"/>
            <w:vAlign w:val="center"/>
          </w:tcPr>
          <w:p w:rsidR="00276087" w:rsidRDefault="003A79F6">
            <w:pPr>
              <w:jc w:val="right"/>
            </w:pPr>
            <w:r>
              <w:rPr>
                <w:color w:val="000000"/>
                <w:sz w:val="24"/>
              </w:rPr>
              <w:t>0.34</w:t>
            </w:r>
          </w:p>
        </w:tc>
      </w:tr>
      <w:tr w:rsidR="00276087">
        <w:tc>
          <w:tcPr>
            <w:tcW w:w="2787" w:type="dxa"/>
            <w:vAlign w:val="center"/>
          </w:tcPr>
          <w:p w:rsidR="00276087" w:rsidRDefault="003A79F6">
            <w:pPr>
              <w:jc w:val="left"/>
            </w:pPr>
            <w:r>
              <w:rPr>
                <w:color w:val="000000"/>
                <w:sz w:val="24"/>
              </w:rPr>
              <w:t>医疗卫生</w:t>
            </w:r>
          </w:p>
        </w:tc>
        <w:tc>
          <w:tcPr>
            <w:tcW w:w="2976" w:type="dxa"/>
            <w:vAlign w:val="center"/>
          </w:tcPr>
          <w:p w:rsidR="00276087" w:rsidRDefault="003A79F6">
            <w:pPr>
              <w:jc w:val="right"/>
            </w:pPr>
            <w:r>
              <w:rPr>
                <w:color w:val="000000"/>
                <w:sz w:val="24"/>
              </w:rPr>
              <w:t>128,863,458.96</w:t>
            </w:r>
          </w:p>
        </w:tc>
        <w:tc>
          <w:tcPr>
            <w:tcW w:w="3261" w:type="dxa"/>
            <w:vAlign w:val="center"/>
          </w:tcPr>
          <w:p w:rsidR="00276087" w:rsidRDefault="003A79F6">
            <w:pPr>
              <w:jc w:val="right"/>
            </w:pPr>
            <w:r>
              <w:rPr>
                <w:color w:val="000000"/>
                <w:sz w:val="24"/>
              </w:rPr>
              <w:t>6.64</w:t>
            </w:r>
          </w:p>
        </w:tc>
      </w:tr>
      <w:tr w:rsidR="00276087">
        <w:tc>
          <w:tcPr>
            <w:tcW w:w="2787" w:type="dxa"/>
            <w:vAlign w:val="center"/>
          </w:tcPr>
          <w:p w:rsidR="00276087" w:rsidRDefault="003A79F6">
            <w:pPr>
              <w:jc w:val="left"/>
            </w:pPr>
            <w:r>
              <w:rPr>
                <w:color w:val="000000"/>
                <w:sz w:val="24"/>
              </w:rPr>
              <w:t>工业</w:t>
            </w:r>
          </w:p>
        </w:tc>
        <w:tc>
          <w:tcPr>
            <w:tcW w:w="2976" w:type="dxa"/>
            <w:vAlign w:val="center"/>
          </w:tcPr>
          <w:p w:rsidR="00276087" w:rsidRDefault="003A79F6">
            <w:pPr>
              <w:jc w:val="right"/>
            </w:pPr>
            <w:r>
              <w:rPr>
                <w:color w:val="000000"/>
                <w:sz w:val="24"/>
              </w:rPr>
              <w:t>17,877,247.20</w:t>
            </w:r>
          </w:p>
        </w:tc>
        <w:tc>
          <w:tcPr>
            <w:tcW w:w="3261" w:type="dxa"/>
            <w:vAlign w:val="center"/>
          </w:tcPr>
          <w:p w:rsidR="00276087" w:rsidRDefault="003A79F6">
            <w:pPr>
              <w:jc w:val="right"/>
            </w:pPr>
            <w:r>
              <w:rPr>
                <w:color w:val="000000"/>
                <w:sz w:val="24"/>
              </w:rPr>
              <w:t>0.92</w:t>
            </w:r>
          </w:p>
        </w:tc>
      </w:tr>
      <w:tr w:rsidR="00276087">
        <w:tc>
          <w:tcPr>
            <w:tcW w:w="2787" w:type="dxa"/>
            <w:vAlign w:val="center"/>
          </w:tcPr>
          <w:p w:rsidR="00276087" w:rsidRDefault="003A79F6">
            <w:pPr>
              <w:jc w:val="left"/>
            </w:pPr>
            <w:r>
              <w:rPr>
                <w:color w:val="000000"/>
                <w:sz w:val="24"/>
              </w:rPr>
              <w:t>信息技术</w:t>
            </w:r>
          </w:p>
        </w:tc>
        <w:tc>
          <w:tcPr>
            <w:tcW w:w="2976" w:type="dxa"/>
            <w:vAlign w:val="center"/>
          </w:tcPr>
          <w:p w:rsidR="00276087" w:rsidRDefault="003A79F6">
            <w:pPr>
              <w:jc w:val="right"/>
            </w:pPr>
            <w:r>
              <w:rPr>
                <w:color w:val="000000"/>
                <w:sz w:val="24"/>
              </w:rPr>
              <w:t>36,450,745.86</w:t>
            </w:r>
          </w:p>
        </w:tc>
        <w:tc>
          <w:tcPr>
            <w:tcW w:w="3261" w:type="dxa"/>
            <w:vAlign w:val="center"/>
          </w:tcPr>
          <w:p w:rsidR="00276087" w:rsidRDefault="003A79F6">
            <w:pPr>
              <w:jc w:val="right"/>
            </w:pPr>
            <w:r>
              <w:rPr>
                <w:color w:val="000000"/>
                <w:sz w:val="24"/>
              </w:rPr>
              <w:t>1.88</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1,766,450,637.32</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91.06</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6"/>
        <w:gridCol w:w="1722"/>
        <w:gridCol w:w="880"/>
        <w:gridCol w:w="907"/>
        <w:gridCol w:w="616"/>
        <w:gridCol w:w="737"/>
        <w:gridCol w:w="1176"/>
        <w:gridCol w:w="1716"/>
        <w:gridCol w:w="967"/>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276087">
        <w:tc>
          <w:tcPr>
            <w:tcW w:w="0" w:type="auto"/>
            <w:vAlign w:val="center"/>
          </w:tcPr>
          <w:p w:rsidR="00276087" w:rsidRDefault="003A79F6">
            <w:pPr>
              <w:jc w:val="center"/>
            </w:pPr>
            <w:r>
              <w:rPr>
                <w:color w:val="000000"/>
                <w:sz w:val="24"/>
              </w:rPr>
              <w:t>1</w:t>
            </w:r>
          </w:p>
        </w:tc>
        <w:tc>
          <w:tcPr>
            <w:tcW w:w="0" w:type="auto"/>
            <w:vAlign w:val="center"/>
          </w:tcPr>
          <w:p w:rsidR="00276087" w:rsidRDefault="003A79F6">
            <w:pPr>
              <w:jc w:val="center"/>
            </w:pPr>
            <w:r>
              <w:rPr>
                <w:color w:val="000000"/>
                <w:sz w:val="24"/>
              </w:rPr>
              <w:t>Tencent Holdings Ltd</w:t>
            </w:r>
          </w:p>
        </w:tc>
        <w:tc>
          <w:tcPr>
            <w:tcW w:w="0" w:type="auto"/>
            <w:vAlign w:val="center"/>
          </w:tcPr>
          <w:p w:rsidR="00276087" w:rsidRDefault="003A79F6">
            <w:pPr>
              <w:jc w:val="center"/>
            </w:pPr>
            <w:r>
              <w:rPr>
                <w:color w:val="000000"/>
                <w:sz w:val="24"/>
              </w:rPr>
              <w:t>腾讯控股</w:t>
            </w:r>
          </w:p>
        </w:tc>
        <w:tc>
          <w:tcPr>
            <w:tcW w:w="0" w:type="auto"/>
            <w:vAlign w:val="center"/>
          </w:tcPr>
          <w:p w:rsidR="00276087" w:rsidRDefault="003A79F6">
            <w:pPr>
              <w:jc w:val="center"/>
            </w:pPr>
            <w:r>
              <w:rPr>
                <w:color w:val="000000"/>
                <w:sz w:val="24"/>
              </w:rPr>
              <w:t>700 HK</w:t>
            </w:r>
          </w:p>
        </w:tc>
        <w:tc>
          <w:tcPr>
            <w:tcW w:w="0" w:type="auto"/>
            <w:vAlign w:val="center"/>
          </w:tcPr>
          <w:p w:rsidR="00276087" w:rsidRDefault="003A79F6">
            <w:pPr>
              <w:jc w:val="center"/>
            </w:pPr>
            <w:r>
              <w:rPr>
                <w:color w:val="000000"/>
                <w:sz w:val="24"/>
              </w:rPr>
              <w:t>香港证券交易所</w:t>
            </w:r>
          </w:p>
        </w:tc>
        <w:tc>
          <w:tcPr>
            <w:tcW w:w="0" w:type="auto"/>
            <w:vAlign w:val="center"/>
          </w:tcPr>
          <w:p w:rsidR="00276087" w:rsidRDefault="003A79F6">
            <w:pPr>
              <w:jc w:val="center"/>
            </w:pPr>
            <w:r>
              <w:rPr>
                <w:color w:val="000000"/>
                <w:sz w:val="24"/>
              </w:rPr>
              <w:t>香港</w:t>
            </w:r>
          </w:p>
        </w:tc>
        <w:tc>
          <w:tcPr>
            <w:tcW w:w="0" w:type="auto"/>
            <w:vAlign w:val="center"/>
          </w:tcPr>
          <w:p w:rsidR="00276087" w:rsidRDefault="003A79F6">
            <w:pPr>
              <w:jc w:val="right"/>
            </w:pPr>
            <w:r>
              <w:rPr>
                <w:color w:val="000000"/>
                <w:sz w:val="24"/>
              </w:rPr>
              <w:t>383,000</w:t>
            </w:r>
          </w:p>
        </w:tc>
        <w:tc>
          <w:tcPr>
            <w:tcW w:w="0" w:type="auto"/>
            <w:vAlign w:val="center"/>
          </w:tcPr>
          <w:p w:rsidR="00276087" w:rsidRDefault="003A79F6">
            <w:pPr>
              <w:jc w:val="right"/>
            </w:pPr>
            <w:r>
              <w:rPr>
                <w:color w:val="000000"/>
                <w:sz w:val="24"/>
              </w:rPr>
              <w:t>174,425,779.22</w:t>
            </w:r>
          </w:p>
        </w:tc>
        <w:tc>
          <w:tcPr>
            <w:tcW w:w="0" w:type="auto"/>
            <w:vAlign w:val="center"/>
          </w:tcPr>
          <w:p w:rsidR="00276087" w:rsidRDefault="003A79F6">
            <w:pPr>
              <w:jc w:val="right"/>
            </w:pPr>
            <w:r>
              <w:rPr>
                <w:color w:val="000000"/>
                <w:sz w:val="24"/>
              </w:rPr>
              <w:t>8.99</w:t>
            </w:r>
          </w:p>
        </w:tc>
      </w:tr>
      <w:tr w:rsidR="00276087">
        <w:tc>
          <w:tcPr>
            <w:tcW w:w="0" w:type="auto"/>
            <w:vAlign w:val="center"/>
          </w:tcPr>
          <w:p w:rsidR="00276087" w:rsidRDefault="003A79F6">
            <w:pPr>
              <w:jc w:val="center"/>
            </w:pPr>
            <w:r>
              <w:rPr>
                <w:color w:val="000000"/>
                <w:sz w:val="24"/>
              </w:rPr>
              <w:t>2</w:t>
            </w:r>
          </w:p>
        </w:tc>
        <w:tc>
          <w:tcPr>
            <w:tcW w:w="0" w:type="auto"/>
            <w:vAlign w:val="center"/>
          </w:tcPr>
          <w:p w:rsidR="00276087" w:rsidRDefault="003A79F6">
            <w:pPr>
              <w:jc w:val="center"/>
            </w:pPr>
            <w:r>
              <w:rPr>
                <w:color w:val="000000"/>
                <w:sz w:val="24"/>
              </w:rPr>
              <w:t>Alibaba Group Holding Ltd</w:t>
            </w:r>
          </w:p>
        </w:tc>
        <w:tc>
          <w:tcPr>
            <w:tcW w:w="0" w:type="auto"/>
            <w:vAlign w:val="center"/>
          </w:tcPr>
          <w:p w:rsidR="00276087" w:rsidRDefault="003A79F6">
            <w:pPr>
              <w:jc w:val="center"/>
            </w:pPr>
            <w:r>
              <w:rPr>
                <w:color w:val="000000"/>
                <w:sz w:val="24"/>
              </w:rPr>
              <w:t>阿里巴巴</w:t>
            </w:r>
          </w:p>
        </w:tc>
        <w:tc>
          <w:tcPr>
            <w:tcW w:w="0" w:type="auto"/>
            <w:vAlign w:val="center"/>
          </w:tcPr>
          <w:p w:rsidR="00276087" w:rsidRDefault="003A79F6">
            <w:pPr>
              <w:jc w:val="center"/>
            </w:pPr>
            <w:r>
              <w:rPr>
                <w:color w:val="000000"/>
                <w:sz w:val="24"/>
              </w:rPr>
              <w:t>BABA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109,073</w:t>
            </w:r>
          </w:p>
        </w:tc>
        <w:tc>
          <w:tcPr>
            <w:tcW w:w="0" w:type="auto"/>
            <w:vAlign w:val="center"/>
          </w:tcPr>
          <w:p w:rsidR="00276087" w:rsidRDefault="003A79F6">
            <w:pPr>
              <w:jc w:val="right"/>
            </w:pPr>
            <w:r>
              <w:rPr>
                <w:color w:val="000000"/>
                <w:sz w:val="24"/>
              </w:rPr>
              <w:t>166,559,722.86</w:t>
            </w:r>
          </w:p>
        </w:tc>
        <w:tc>
          <w:tcPr>
            <w:tcW w:w="0" w:type="auto"/>
            <w:vAlign w:val="center"/>
          </w:tcPr>
          <w:p w:rsidR="00276087" w:rsidRDefault="003A79F6">
            <w:pPr>
              <w:jc w:val="right"/>
            </w:pPr>
            <w:r>
              <w:rPr>
                <w:color w:val="000000"/>
                <w:sz w:val="24"/>
              </w:rPr>
              <w:t>8.59</w:t>
            </w:r>
          </w:p>
        </w:tc>
      </w:tr>
      <w:tr w:rsidR="00276087">
        <w:tc>
          <w:tcPr>
            <w:tcW w:w="0" w:type="auto"/>
            <w:vAlign w:val="center"/>
          </w:tcPr>
          <w:p w:rsidR="00276087" w:rsidRDefault="003A79F6">
            <w:pPr>
              <w:jc w:val="center"/>
            </w:pPr>
            <w:r>
              <w:rPr>
                <w:color w:val="000000"/>
                <w:sz w:val="24"/>
              </w:rPr>
              <w:t>3</w:t>
            </w:r>
          </w:p>
        </w:tc>
        <w:tc>
          <w:tcPr>
            <w:tcW w:w="0" w:type="auto"/>
            <w:vAlign w:val="center"/>
          </w:tcPr>
          <w:p w:rsidR="00276087" w:rsidRDefault="003A79F6">
            <w:pPr>
              <w:jc w:val="center"/>
            </w:pPr>
            <w:r>
              <w:rPr>
                <w:color w:val="000000"/>
                <w:sz w:val="24"/>
              </w:rPr>
              <w:t>Meituan Dianping</w:t>
            </w:r>
          </w:p>
        </w:tc>
        <w:tc>
          <w:tcPr>
            <w:tcW w:w="0" w:type="auto"/>
            <w:vAlign w:val="center"/>
          </w:tcPr>
          <w:p w:rsidR="00276087" w:rsidRDefault="003A79F6">
            <w:pPr>
              <w:jc w:val="center"/>
            </w:pPr>
            <w:r>
              <w:rPr>
                <w:color w:val="000000"/>
                <w:sz w:val="24"/>
              </w:rPr>
              <w:t>美团点评</w:t>
            </w:r>
          </w:p>
        </w:tc>
        <w:tc>
          <w:tcPr>
            <w:tcW w:w="0" w:type="auto"/>
            <w:vAlign w:val="center"/>
          </w:tcPr>
          <w:p w:rsidR="00276087" w:rsidRDefault="003A79F6">
            <w:pPr>
              <w:jc w:val="center"/>
            </w:pPr>
            <w:r>
              <w:rPr>
                <w:color w:val="000000"/>
                <w:sz w:val="24"/>
              </w:rPr>
              <w:t>3690 HK</w:t>
            </w:r>
          </w:p>
        </w:tc>
        <w:tc>
          <w:tcPr>
            <w:tcW w:w="0" w:type="auto"/>
            <w:vAlign w:val="center"/>
          </w:tcPr>
          <w:p w:rsidR="00276087" w:rsidRDefault="003A79F6">
            <w:pPr>
              <w:jc w:val="center"/>
            </w:pPr>
            <w:r>
              <w:rPr>
                <w:color w:val="000000"/>
                <w:sz w:val="24"/>
              </w:rPr>
              <w:t>香港证券交</w:t>
            </w:r>
            <w:r>
              <w:rPr>
                <w:color w:val="000000"/>
                <w:sz w:val="24"/>
              </w:rPr>
              <w:lastRenderedPageBreak/>
              <w:t>易所</w:t>
            </w:r>
          </w:p>
        </w:tc>
        <w:tc>
          <w:tcPr>
            <w:tcW w:w="0" w:type="auto"/>
            <w:vAlign w:val="center"/>
          </w:tcPr>
          <w:p w:rsidR="00276087" w:rsidRDefault="003A79F6">
            <w:pPr>
              <w:jc w:val="center"/>
            </w:pPr>
            <w:r>
              <w:rPr>
                <w:color w:val="000000"/>
                <w:sz w:val="24"/>
              </w:rPr>
              <w:lastRenderedPageBreak/>
              <w:t>香港</w:t>
            </w:r>
          </w:p>
        </w:tc>
        <w:tc>
          <w:tcPr>
            <w:tcW w:w="0" w:type="auto"/>
            <w:vAlign w:val="center"/>
          </w:tcPr>
          <w:p w:rsidR="00276087" w:rsidRDefault="003A79F6">
            <w:pPr>
              <w:jc w:val="right"/>
            </w:pPr>
            <w:r>
              <w:rPr>
                <w:color w:val="000000"/>
                <w:sz w:val="24"/>
              </w:rPr>
              <w:t>936,700</w:t>
            </w:r>
          </w:p>
        </w:tc>
        <w:tc>
          <w:tcPr>
            <w:tcW w:w="0" w:type="auto"/>
            <w:vAlign w:val="center"/>
          </w:tcPr>
          <w:p w:rsidR="00276087" w:rsidRDefault="003A79F6">
            <w:pPr>
              <w:jc w:val="right"/>
            </w:pPr>
            <w:r>
              <w:rPr>
                <w:color w:val="000000"/>
                <w:sz w:val="24"/>
              </w:rPr>
              <w:t>147,074,039.42</w:t>
            </w:r>
          </w:p>
        </w:tc>
        <w:tc>
          <w:tcPr>
            <w:tcW w:w="0" w:type="auto"/>
            <w:vAlign w:val="center"/>
          </w:tcPr>
          <w:p w:rsidR="00276087" w:rsidRDefault="003A79F6">
            <w:pPr>
              <w:jc w:val="right"/>
            </w:pPr>
            <w:r>
              <w:rPr>
                <w:color w:val="000000"/>
                <w:sz w:val="24"/>
              </w:rPr>
              <w:t>7.58</w:t>
            </w:r>
          </w:p>
        </w:tc>
      </w:tr>
      <w:tr w:rsidR="00276087">
        <w:tc>
          <w:tcPr>
            <w:tcW w:w="0" w:type="auto"/>
            <w:vAlign w:val="center"/>
          </w:tcPr>
          <w:p w:rsidR="00276087" w:rsidRDefault="003A79F6">
            <w:pPr>
              <w:jc w:val="center"/>
            </w:pPr>
            <w:r>
              <w:rPr>
                <w:color w:val="000000"/>
                <w:sz w:val="24"/>
              </w:rPr>
              <w:t>4</w:t>
            </w:r>
          </w:p>
        </w:tc>
        <w:tc>
          <w:tcPr>
            <w:tcW w:w="0" w:type="auto"/>
            <w:vAlign w:val="center"/>
          </w:tcPr>
          <w:p w:rsidR="00276087" w:rsidRDefault="003A79F6">
            <w:pPr>
              <w:jc w:val="center"/>
            </w:pPr>
            <w:r>
              <w:rPr>
                <w:color w:val="000000"/>
                <w:sz w:val="24"/>
              </w:rPr>
              <w:t xml:space="preserve">Pinduoduo </w:t>
            </w:r>
            <w:r>
              <w:rPr>
                <w:color w:val="000000"/>
                <w:sz w:val="24"/>
              </w:rPr>
              <w:t>Inc</w:t>
            </w:r>
          </w:p>
        </w:tc>
        <w:tc>
          <w:tcPr>
            <w:tcW w:w="0" w:type="auto"/>
            <w:vAlign w:val="center"/>
          </w:tcPr>
          <w:p w:rsidR="00276087" w:rsidRDefault="003A79F6">
            <w:pPr>
              <w:jc w:val="center"/>
            </w:pPr>
            <w:r>
              <w:rPr>
                <w:color w:val="000000"/>
                <w:sz w:val="24"/>
              </w:rPr>
              <w:t>拼多多</w:t>
            </w:r>
          </w:p>
        </w:tc>
        <w:tc>
          <w:tcPr>
            <w:tcW w:w="0" w:type="auto"/>
            <w:vAlign w:val="center"/>
          </w:tcPr>
          <w:p w:rsidR="00276087" w:rsidRDefault="003A79F6">
            <w:pPr>
              <w:jc w:val="center"/>
            </w:pPr>
            <w:r>
              <w:rPr>
                <w:color w:val="000000"/>
                <w:sz w:val="24"/>
              </w:rPr>
              <w:t>PDD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208,093</w:t>
            </w:r>
          </w:p>
        </w:tc>
        <w:tc>
          <w:tcPr>
            <w:tcW w:w="0" w:type="auto"/>
            <w:vAlign w:val="center"/>
          </w:tcPr>
          <w:p w:rsidR="00276087" w:rsidRDefault="003A79F6">
            <w:pPr>
              <w:jc w:val="right"/>
            </w:pPr>
            <w:r>
              <w:rPr>
                <w:color w:val="000000"/>
                <w:sz w:val="24"/>
              </w:rPr>
              <w:t>126,459,006.74</w:t>
            </w:r>
          </w:p>
        </w:tc>
        <w:tc>
          <w:tcPr>
            <w:tcW w:w="0" w:type="auto"/>
            <w:vAlign w:val="center"/>
          </w:tcPr>
          <w:p w:rsidR="00276087" w:rsidRDefault="003A79F6">
            <w:pPr>
              <w:jc w:val="right"/>
            </w:pPr>
            <w:r>
              <w:rPr>
                <w:color w:val="000000"/>
                <w:sz w:val="24"/>
              </w:rPr>
              <w:t>6.52</w:t>
            </w:r>
          </w:p>
        </w:tc>
      </w:tr>
      <w:tr w:rsidR="00276087">
        <w:tc>
          <w:tcPr>
            <w:tcW w:w="0" w:type="auto"/>
            <w:vAlign w:val="center"/>
          </w:tcPr>
          <w:p w:rsidR="00276087" w:rsidRDefault="003A79F6">
            <w:pPr>
              <w:jc w:val="center"/>
            </w:pPr>
            <w:r>
              <w:rPr>
                <w:color w:val="000000"/>
                <w:sz w:val="24"/>
              </w:rPr>
              <w:t>5</w:t>
            </w:r>
          </w:p>
        </w:tc>
        <w:tc>
          <w:tcPr>
            <w:tcW w:w="0" w:type="auto"/>
            <w:vAlign w:val="center"/>
          </w:tcPr>
          <w:p w:rsidR="00276087" w:rsidRDefault="003A79F6">
            <w:pPr>
              <w:jc w:val="center"/>
            </w:pPr>
            <w:r>
              <w:rPr>
                <w:color w:val="000000"/>
                <w:sz w:val="24"/>
              </w:rPr>
              <w:t>JD.com Inc</w:t>
            </w:r>
          </w:p>
        </w:tc>
        <w:tc>
          <w:tcPr>
            <w:tcW w:w="0" w:type="auto"/>
            <w:vAlign w:val="center"/>
          </w:tcPr>
          <w:p w:rsidR="00276087" w:rsidRDefault="003A79F6">
            <w:pPr>
              <w:jc w:val="center"/>
            </w:pPr>
            <w:r>
              <w:rPr>
                <w:color w:val="000000"/>
                <w:sz w:val="24"/>
              </w:rPr>
              <w:t>京东</w:t>
            </w:r>
          </w:p>
        </w:tc>
        <w:tc>
          <w:tcPr>
            <w:tcW w:w="0" w:type="auto"/>
            <w:vAlign w:val="center"/>
          </w:tcPr>
          <w:p w:rsidR="00276087" w:rsidRDefault="003A79F6">
            <w:pPr>
              <w:jc w:val="center"/>
            </w:pPr>
            <w:r>
              <w:rPr>
                <w:color w:val="000000"/>
                <w:sz w:val="24"/>
              </w:rPr>
              <w:t>JD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283,973</w:t>
            </w:r>
          </w:p>
        </w:tc>
        <w:tc>
          <w:tcPr>
            <w:tcW w:w="0" w:type="auto"/>
            <w:vAlign w:val="center"/>
          </w:tcPr>
          <w:p w:rsidR="00276087" w:rsidRDefault="003A79F6">
            <w:pPr>
              <w:jc w:val="right"/>
            </w:pPr>
            <w:r>
              <w:rPr>
                <w:color w:val="000000"/>
                <w:sz w:val="24"/>
              </w:rPr>
              <w:t>120,985,080.84</w:t>
            </w:r>
          </w:p>
        </w:tc>
        <w:tc>
          <w:tcPr>
            <w:tcW w:w="0" w:type="auto"/>
            <w:vAlign w:val="center"/>
          </w:tcPr>
          <w:p w:rsidR="00276087" w:rsidRDefault="003A79F6">
            <w:pPr>
              <w:jc w:val="right"/>
            </w:pPr>
            <w:r>
              <w:rPr>
                <w:color w:val="000000"/>
                <w:sz w:val="24"/>
              </w:rPr>
              <w:t>6.24</w:t>
            </w:r>
          </w:p>
        </w:tc>
      </w:tr>
      <w:tr w:rsidR="00276087">
        <w:tc>
          <w:tcPr>
            <w:tcW w:w="0" w:type="auto"/>
            <w:vAlign w:val="center"/>
          </w:tcPr>
          <w:p w:rsidR="00276087" w:rsidRDefault="003A79F6">
            <w:pPr>
              <w:jc w:val="center"/>
            </w:pPr>
            <w:r>
              <w:rPr>
                <w:color w:val="000000"/>
                <w:sz w:val="24"/>
              </w:rPr>
              <w:t>6</w:t>
            </w:r>
          </w:p>
        </w:tc>
        <w:tc>
          <w:tcPr>
            <w:tcW w:w="0" w:type="auto"/>
            <w:vAlign w:val="center"/>
          </w:tcPr>
          <w:p w:rsidR="00276087" w:rsidRDefault="003A79F6">
            <w:pPr>
              <w:jc w:val="center"/>
            </w:pPr>
            <w:r>
              <w:rPr>
                <w:color w:val="000000"/>
                <w:sz w:val="24"/>
              </w:rPr>
              <w:t>Alibaba Health Information Technology Limited</w:t>
            </w:r>
          </w:p>
        </w:tc>
        <w:tc>
          <w:tcPr>
            <w:tcW w:w="0" w:type="auto"/>
            <w:vAlign w:val="center"/>
          </w:tcPr>
          <w:p w:rsidR="00276087" w:rsidRDefault="003A79F6">
            <w:pPr>
              <w:jc w:val="center"/>
            </w:pPr>
            <w:r>
              <w:rPr>
                <w:color w:val="000000"/>
                <w:sz w:val="24"/>
              </w:rPr>
              <w:t>阿里健康</w:t>
            </w:r>
          </w:p>
        </w:tc>
        <w:tc>
          <w:tcPr>
            <w:tcW w:w="0" w:type="auto"/>
            <w:vAlign w:val="center"/>
          </w:tcPr>
          <w:p w:rsidR="00276087" w:rsidRDefault="003A79F6">
            <w:pPr>
              <w:jc w:val="center"/>
            </w:pPr>
            <w:r>
              <w:rPr>
                <w:color w:val="000000"/>
                <w:sz w:val="24"/>
              </w:rPr>
              <w:t>241 HK</w:t>
            </w:r>
          </w:p>
        </w:tc>
        <w:tc>
          <w:tcPr>
            <w:tcW w:w="0" w:type="auto"/>
            <w:vAlign w:val="center"/>
          </w:tcPr>
          <w:p w:rsidR="00276087" w:rsidRDefault="003A79F6">
            <w:pPr>
              <w:jc w:val="center"/>
            </w:pPr>
            <w:r>
              <w:rPr>
                <w:color w:val="000000"/>
                <w:sz w:val="24"/>
              </w:rPr>
              <w:t>香港证券交易所</w:t>
            </w:r>
          </w:p>
        </w:tc>
        <w:tc>
          <w:tcPr>
            <w:tcW w:w="0" w:type="auto"/>
            <w:vAlign w:val="center"/>
          </w:tcPr>
          <w:p w:rsidR="00276087" w:rsidRDefault="003A79F6">
            <w:pPr>
              <w:jc w:val="center"/>
            </w:pPr>
            <w:r>
              <w:rPr>
                <w:color w:val="000000"/>
                <w:sz w:val="24"/>
              </w:rPr>
              <w:t>香港</w:t>
            </w:r>
          </w:p>
        </w:tc>
        <w:tc>
          <w:tcPr>
            <w:tcW w:w="0" w:type="auto"/>
            <w:vAlign w:val="center"/>
          </w:tcPr>
          <w:p w:rsidR="00276087" w:rsidRDefault="003A79F6">
            <w:pPr>
              <w:jc w:val="right"/>
            </w:pPr>
            <w:r>
              <w:rPr>
                <w:color w:val="000000"/>
                <w:sz w:val="24"/>
              </w:rPr>
              <w:t>4,100,000</w:t>
            </w:r>
          </w:p>
        </w:tc>
        <w:tc>
          <w:tcPr>
            <w:tcW w:w="0" w:type="auto"/>
            <w:vAlign w:val="center"/>
          </w:tcPr>
          <w:p w:rsidR="00276087" w:rsidRDefault="003A79F6">
            <w:pPr>
              <w:jc w:val="right"/>
            </w:pPr>
            <w:r>
              <w:rPr>
                <w:color w:val="000000"/>
                <w:sz w:val="24"/>
              </w:rPr>
              <w:t>84,635,374.36</w:t>
            </w:r>
          </w:p>
        </w:tc>
        <w:tc>
          <w:tcPr>
            <w:tcW w:w="0" w:type="auto"/>
            <w:vAlign w:val="center"/>
          </w:tcPr>
          <w:p w:rsidR="00276087" w:rsidRDefault="003A79F6">
            <w:pPr>
              <w:jc w:val="right"/>
            </w:pPr>
            <w:r>
              <w:rPr>
                <w:color w:val="000000"/>
                <w:sz w:val="24"/>
              </w:rPr>
              <w:t>4.36</w:t>
            </w:r>
          </w:p>
        </w:tc>
      </w:tr>
      <w:tr w:rsidR="00276087">
        <w:tc>
          <w:tcPr>
            <w:tcW w:w="0" w:type="auto"/>
            <w:vAlign w:val="center"/>
          </w:tcPr>
          <w:p w:rsidR="00276087" w:rsidRDefault="003A79F6">
            <w:pPr>
              <w:jc w:val="center"/>
            </w:pPr>
            <w:r>
              <w:rPr>
                <w:color w:val="000000"/>
                <w:sz w:val="24"/>
              </w:rPr>
              <w:t>7</w:t>
            </w:r>
          </w:p>
        </w:tc>
        <w:tc>
          <w:tcPr>
            <w:tcW w:w="0" w:type="auto"/>
            <w:vAlign w:val="center"/>
          </w:tcPr>
          <w:p w:rsidR="00276087" w:rsidRDefault="003A79F6">
            <w:pPr>
              <w:jc w:val="center"/>
            </w:pPr>
            <w:r>
              <w:rPr>
                <w:color w:val="000000"/>
                <w:sz w:val="24"/>
              </w:rPr>
              <w:t>Bilibili Inc</w:t>
            </w:r>
          </w:p>
        </w:tc>
        <w:tc>
          <w:tcPr>
            <w:tcW w:w="0" w:type="auto"/>
            <w:vAlign w:val="center"/>
          </w:tcPr>
          <w:p w:rsidR="00276087" w:rsidRDefault="003A79F6">
            <w:pPr>
              <w:jc w:val="center"/>
            </w:pPr>
            <w:r>
              <w:rPr>
                <w:color w:val="000000"/>
                <w:sz w:val="24"/>
              </w:rPr>
              <w:t>哔哩哔哩</w:t>
            </w:r>
          </w:p>
        </w:tc>
        <w:tc>
          <w:tcPr>
            <w:tcW w:w="0" w:type="auto"/>
            <w:vAlign w:val="center"/>
          </w:tcPr>
          <w:p w:rsidR="00276087" w:rsidRDefault="003A79F6">
            <w:pPr>
              <w:jc w:val="center"/>
            </w:pPr>
            <w:r>
              <w:rPr>
                <w:color w:val="000000"/>
                <w:sz w:val="24"/>
              </w:rPr>
              <w:t>BILI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251,270</w:t>
            </w:r>
          </w:p>
        </w:tc>
        <w:tc>
          <w:tcPr>
            <w:tcW w:w="0" w:type="auto"/>
            <w:vAlign w:val="center"/>
          </w:tcPr>
          <w:p w:rsidR="00276087" w:rsidRDefault="003A79F6">
            <w:pPr>
              <w:jc w:val="right"/>
            </w:pPr>
            <w:r>
              <w:rPr>
                <w:color w:val="000000"/>
                <w:sz w:val="24"/>
              </w:rPr>
              <w:t>82,397,071.50</w:t>
            </w:r>
          </w:p>
        </w:tc>
        <w:tc>
          <w:tcPr>
            <w:tcW w:w="0" w:type="auto"/>
            <w:vAlign w:val="center"/>
          </w:tcPr>
          <w:p w:rsidR="00276087" w:rsidRDefault="003A79F6">
            <w:pPr>
              <w:jc w:val="right"/>
            </w:pPr>
            <w:r>
              <w:rPr>
                <w:color w:val="000000"/>
                <w:sz w:val="24"/>
              </w:rPr>
              <w:t>4.25</w:t>
            </w:r>
          </w:p>
        </w:tc>
      </w:tr>
      <w:tr w:rsidR="00276087">
        <w:tc>
          <w:tcPr>
            <w:tcW w:w="0" w:type="auto"/>
            <w:vAlign w:val="center"/>
          </w:tcPr>
          <w:p w:rsidR="00276087" w:rsidRDefault="003A79F6">
            <w:pPr>
              <w:jc w:val="center"/>
            </w:pPr>
            <w:r>
              <w:rPr>
                <w:color w:val="000000"/>
                <w:sz w:val="24"/>
              </w:rPr>
              <w:t>8</w:t>
            </w:r>
          </w:p>
        </w:tc>
        <w:tc>
          <w:tcPr>
            <w:tcW w:w="0" w:type="auto"/>
            <w:vAlign w:val="center"/>
          </w:tcPr>
          <w:p w:rsidR="00276087" w:rsidRDefault="003A79F6">
            <w:pPr>
              <w:jc w:val="center"/>
            </w:pPr>
            <w:r>
              <w:rPr>
                <w:color w:val="000000"/>
                <w:sz w:val="24"/>
              </w:rPr>
              <w:t>NetEase Inc</w:t>
            </w:r>
          </w:p>
        </w:tc>
        <w:tc>
          <w:tcPr>
            <w:tcW w:w="0" w:type="auto"/>
            <w:vAlign w:val="center"/>
          </w:tcPr>
          <w:p w:rsidR="00276087" w:rsidRDefault="003A79F6">
            <w:pPr>
              <w:jc w:val="center"/>
            </w:pPr>
            <w:r>
              <w:rPr>
                <w:color w:val="000000"/>
                <w:sz w:val="24"/>
              </w:rPr>
              <w:t>网易公司</w:t>
            </w:r>
          </w:p>
        </w:tc>
        <w:tc>
          <w:tcPr>
            <w:tcW w:w="0" w:type="auto"/>
            <w:vAlign w:val="center"/>
          </w:tcPr>
          <w:p w:rsidR="00276087" w:rsidRDefault="003A79F6">
            <w:pPr>
              <w:jc w:val="center"/>
            </w:pPr>
            <w:r>
              <w:rPr>
                <w:color w:val="000000"/>
                <w:sz w:val="24"/>
              </w:rPr>
              <w:t>NTES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23,384</w:t>
            </w:r>
          </w:p>
        </w:tc>
        <w:tc>
          <w:tcPr>
            <w:tcW w:w="0" w:type="auto"/>
            <w:vAlign w:val="center"/>
          </w:tcPr>
          <w:p w:rsidR="00276087" w:rsidRDefault="003A79F6">
            <w:pPr>
              <w:jc w:val="right"/>
            </w:pPr>
            <w:r>
              <w:rPr>
                <w:color w:val="000000"/>
                <w:sz w:val="24"/>
              </w:rPr>
              <w:t>71,082,582.88</w:t>
            </w:r>
          </w:p>
        </w:tc>
        <w:tc>
          <w:tcPr>
            <w:tcW w:w="0" w:type="auto"/>
            <w:vAlign w:val="center"/>
          </w:tcPr>
          <w:p w:rsidR="00276087" w:rsidRDefault="003A79F6">
            <w:pPr>
              <w:jc w:val="right"/>
            </w:pPr>
            <w:r>
              <w:rPr>
                <w:color w:val="000000"/>
                <w:sz w:val="24"/>
              </w:rPr>
              <w:t>3.66</w:t>
            </w:r>
          </w:p>
        </w:tc>
      </w:tr>
      <w:tr w:rsidR="00276087">
        <w:tc>
          <w:tcPr>
            <w:tcW w:w="0" w:type="auto"/>
            <w:vAlign w:val="center"/>
          </w:tcPr>
          <w:p w:rsidR="00276087" w:rsidRDefault="003A79F6">
            <w:pPr>
              <w:jc w:val="center"/>
            </w:pPr>
            <w:r>
              <w:rPr>
                <w:color w:val="000000"/>
                <w:sz w:val="24"/>
              </w:rPr>
              <w:t>9</w:t>
            </w:r>
          </w:p>
        </w:tc>
        <w:tc>
          <w:tcPr>
            <w:tcW w:w="0" w:type="auto"/>
            <w:vAlign w:val="center"/>
          </w:tcPr>
          <w:p w:rsidR="00276087" w:rsidRDefault="003A79F6">
            <w:pPr>
              <w:jc w:val="center"/>
            </w:pPr>
            <w:r>
              <w:rPr>
                <w:color w:val="000000"/>
                <w:sz w:val="24"/>
              </w:rPr>
              <w:t>TAL Education Group</w:t>
            </w:r>
          </w:p>
        </w:tc>
        <w:tc>
          <w:tcPr>
            <w:tcW w:w="0" w:type="auto"/>
            <w:vAlign w:val="center"/>
          </w:tcPr>
          <w:p w:rsidR="00276087" w:rsidRDefault="003A79F6">
            <w:pPr>
              <w:jc w:val="center"/>
            </w:pPr>
            <w:r>
              <w:rPr>
                <w:color w:val="000000"/>
                <w:sz w:val="24"/>
              </w:rPr>
              <w:t>好未来教育集团</w:t>
            </w:r>
          </w:p>
        </w:tc>
        <w:tc>
          <w:tcPr>
            <w:tcW w:w="0" w:type="auto"/>
            <w:vAlign w:val="center"/>
          </w:tcPr>
          <w:p w:rsidR="00276087" w:rsidRDefault="003A79F6">
            <w:pPr>
              <w:jc w:val="center"/>
            </w:pPr>
            <w:r>
              <w:rPr>
                <w:color w:val="000000"/>
                <w:sz w:val="24"/>
              </w:rPr>
              <w:t>TAL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144,361</w:t>
            </w:r>
          </w:p>
        </w:tc>
        <w:tc>
          <w:tcPr>
            <w:tcW w:w="0" w:type="auto"/>
            <w:vAlign w:val="center"/>
          </w:tcPr>
          <w:p w:rsidR="00276087" w:rsidRDefault="003A79F6">
            <w:pPr>
              <w:jc w:val="right"/>
            </w:pPr>
            <w:r>
              <w:rPr>
                <w:color w:val="000000"/>
                <w:sz w:val="24"/>
              </w:rPr>
              <w:t>69,884,612.97</w:t>
            </w:r>
          </w:p>
        </w:tc>
        <w:tc>
          <w:tcPr>
            <w:tcW w:w="0" w:type="auto"/>
            <w:vAlign w:val="center"/>
          </w:tcPr>
          <w:p w:rsidR="00276087" w:rsidRDefault="003A79F6">
            <w:pPr>
              <w:jc w:val="right"/>
            </w:pPr>
            <w:r>
              <w:rPr>
                <w:color w:val="000000"/>
                <w:sz w:val="24"/>
              </w:rPr>
              <w:t>3.60</w:t>
            </w:r>
          </w:p>
        </w:tc>
      </w:tr>
      <w:tr w:rsidR="00276087">
        <w:tc>
          <w:tcPr>
            <w:tcW w:w="0" w:type="auto"/>
            <w:vAlign w:val="center"/>
          </w:tcPr>
          <w:p w:rsidR="00276087" w:rsidRDefault="003A79F6">
            <w:pPr>
              <w:jc w:val="center"/>
            </w:pPr>
            <w:r>
              <w:rPr>
                <w:color w:val="000000"/>
                <w:sz w:val="24"/>
              </w:rPr>
              <w:lastRenderedPageBreak/>
              <w:t>10</w:t>
            </w:r>
          </w:p>
        </w:tc>
        <w:tc>
          <w:tcPr>
            <w:tcW w:w="0" w:type="auto"/>
            <w:vAlign w:val="center"/>
          </w:tcPr>
          <w:p w:rsidR="00276087" w:rsidRDefault="003A79F6">
            <w:pPr>
              <w:jc w:val="center"/>
            </w:pPr>
            <w:r>
              <w:rPr>
                <w:color w:val="000000"/>
                <w:sz w:val="24"/>
              </w:rPr>
              <w:t>Vipshop Holdings Ltd</w:t>
            </w:r>
          </w:p>
        </w:tc>
        <w:tc>
          <w:tcPr>
            <w:tcW w:w="0" w:type="auto"/>
            <w:vAlign w:val="center"/>
          </w:tcPr>
          <w:p w:rsidR="00276087" w:rsidRDefault="003A79F6">
            <w:pPr>
              <w:jc w:val="center"/>
            </w:pPr>
            <w:r>
              <w:rPr>
                <w:color w:val="000000"/>
                <w:sz w:val="24"/>
              </w:rPr>
              <w:t>唯品会控股有限公司</w:t>
            </w:r>
          </w:p>
        </w:tc>
        <w:tc>
          <w:tcPr>
            <w:tcW w:w="0" w:type="auto"/>
            <w:vAlign w:val="center"/>
          </w:tcPr>
          <w:p w:rsidR="00276087" w:rsidRDefault="003A79F6">
            <w:pPr>
              <w:jc w:val="center"/>
            </w:pPr>
            <w:r>
              <w:rPr>
                <w:color w:val="000000"/>
                <w:sz w:val="24"/>
              </w:rPr>
              <w:t>VIPS US</w:t>
            </w:r>
          </w:p>
        </w:tc>
        <w:tc>
          <w:tcPr>
            <w:tcW w:w="0" w:type="auto"/>
            <w:vAlign w:val="center"/>
          </w:tcPr>
          <w:p w:rsidR="00276087" w:rsidRDefault="003A79F6">
            <w:pPr>
              <w:jc w:val="center"/>
            </w:pPr>
            <w:r>
              <w:rPr>
                <w:color w:val="000000"/>
                <w:sz w:val="24"/>
              </w:rPr>
              <w:t>美国证券交易所</w:t>
            </w:r>
          </w:p>
        </w:tc>
        <w:tc>
          <w:tcPr>
            <w:tcW w:w="0" w:type="auto"/>
            <w:vAlign w:val="center"/>
          </w:tcPr>
          <w:p w:rsidR="00276087" w:rsidRDefault="003A79F6">
            <w:pPr>
              <w:jc w:val="center"/>
            </w:pPr>
            <w:r>
              <w:rPr>
                <w:color w:val="000000"/>
                <w:sz w:val="24"/>
              </w:rPr>
              <w:t>美国</w:t>
            </w:r>
          </w:p>
        </w:tc>
        <w:tc>
          <w:tcPr>
            <w:tcW w:w="0" w:type="auto"/>
            <w:vAlign w:val="center"/>
          </w:tcPr>
          <w:p w:rsidR="00276087" w:rsidRDefault="003A79F6">
            <w:pPr>
              <w:jc w:val="right"/>
            </w:pPr>
            <w:r>
              <w:rPr>
                <w:color w:val="000000"/>
                <w:sz w:val="24"/>
              </w:rPr>
              <w:t>494,897</w:t>
            </w:r>
          </w:p>
        </w:tc>
        <w:tc>
          <w:tcPr>
            <w:tcW w:w="0" w:type="auto"/>
            <w:vAlign w:val="center"/>
          </w:tcPr>
          <w:p w:rsidR="00276087" w:rsidRDefault="003A79F6">
            <w:pPr>
              <w:jc w:val="right"/>
            </w:pPr>
            <w:r>
              <w:rPr>
                <w:color w:val="000000"/>
                <w:sz w:val="24"/>
              </w:rPr>
              <w:t>69,757,140.13</w:t>
            </w:r>
          </w:p>
        </w:tc>
        <w:tc>
          <w:tcPr>
            <w:tcW w:w="0" w:type="auto"/>
            <w:vAlign w:val="center"/>
          </w:tcPr>
          <w:p w:rsidR="00276087" w:rsidRDefault="003A79F6">
            <w:pPr>
              <w:jc w:val="right"/>
            </w:pPr>
            <w:r>
              <w:rPr>
                <w:color w:val="000000"/>
                <w:sz w:val="24"/>
              </w:rPr>
              <w:t>3.60</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报告期内本基金投资的前十名证券的发行主体除京东（证券代码：</w:t>
      </w:r>
      <w:r w:rsidR="00521EDE" w:rsidRPr="008640AE">
        <w:rPr>
          <w:color w:val="000000"/>
          <w:sz w:val="24"/>
        </w:rPr>
        <w:t>JD</w:t>
      </w:r>
      <w:r w:rsidR="00521EDE" w:rsidRPr="008640AE">
        <w:rPr>
          <w:color w:val="000000"/>
          <w:sz w:val="24"/>
        </w:rPr>
        <w:t>）外，未出现被监管部门立案调查，或在报告编制日前一年内受到公开谴责、处罚的情形。</w:t>
      </w:r>
    </w:p>
    <w:p w:rsidR="00276087" w:rsidRDefault="003A79F6">
      <w:pPr>
        <w:spacing w:before="29" w:line="288" w:lineRule="auto"/>
        <w:rPr>
          <w:color w:val="000000"/>
          <w:sz w:val="24"/>
        </w:rPr>
      </w:pPr>
      <w:r>
        <w:rPr>
          <w:color w:val="000000"/>
          <w:sz w:val="24"/>
        </w:rPr>
        <w:t>报告期内本基金投资的前十名证券之一京东（证券代码：</w:t>
      </w:r>
      <w:r>
        <w:rPr>
          <w:color w:val="000000"/>
          <w:sz w:val="24"/>
        </w:rPr>
        <w:t>JD</w:t>
      </w:r>
      <w:r>
        <w:rPr>
          <w:color w:val="000000"/>
          <w:sz w:val="24"/>
        </w:rPr>
        <w:t>）于</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日披露，根据北京市市场监督管理局开出的京市监价处罚〔</w:t>
      </w:r>
      <w:r>
        <w:rPr>
          <w:color w:val="000000"/>
          <w:sz w:val="24"/>
        </w:rPr>
        <w:t>2020</w:t>
      </w:r>
      <w:r>
        <w:rPr>
          <w:color w:val="000000"/>
          <w:sz w:val="24"/>
        </w:rPr>
        <w:t>〕</w:t>
      </w:r>
      <w:r>
        <w:rPr>
          <w:color w:val="000000"/>
          <w:sz w:val="24"/>
        </w:rPr>
        <w:t>5</w:t>
      </w:r>
      <w:r>
        <w:rPr>
          <w:color w:val="000000"/>
          <w:sz w:val="24"/>
        </w:rPr>
        <w:t>号决定书，京东因为存在</w:t>
      </w:r>
      <w:r>
        <w:rPr>
          <w:color w:val="000000"/>
          <w:sz w:val="24"/>
        </w:rPr>
        <w:t>“</w:t>
      </w:r>
      <w:r>
        <w:rPr>
          <w:color w:val="000000"/>
          <w:sz w:val="24"/>
        </w:rPr>
        <w:t>利用虚假的或者使人误解的价格手段，诱骗消费者或者其他经营者与其进行交易</w:t>
      </w:r>
      <w:r>
        <w:rPr>
          <w:color w:val="000000"/>
          <w:sz w:val="24"/>
        </w:rPr>
        <w:t>”</w:t>
      </w:r>
      <w:r>
        <w:rPr>
          <w:color w:val="000000"/>
          <w:sz w:val="24"/>
        </w:rPr>
        <w:t>的价格违法行为，被警告以及作出</w:t>
      </w:r>
      <w:r>
        <w:rPr>
          <w:color w:val="000000"/>
          <w:sz w:val="24"/>
        </w:rPr>
        <w:t>50</w:t>
      </w:r>
      <w:r>
        <w:rPr>
          <w:color w:val="000000"/>
          <w:sz w:val="24"/>
        </w:rPr>
        <w:t>万元罚款的行政处罚。</w:t>
      </w:r>
    </w:p>
    <w:p w:rsidR="00276087" w:rsidRDefault="003A79F6">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w:t>
      </w:r>
      <w:r>
        <w:rPr>
          <w:color w:val="000000"/>
          <w:sz w:val="24"/>
        </w:rPr>
        <w:lastRenderedPageBreak/>
        <w:t>金对该证券的投资遵守本基金管理人基金投资管理相关制度及被动式指数化投</w:t>
      </w:r>
      <w:r>
        <w:rPr>
          <w:color w:val="000000"/>
          <w:sz w:val="24"/>
        </w:rPr>
        <w:t>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p w:rsidR="00552C71" w:rsidRPr="008640AE" w:rsidRDefault="00552C71" w:rsidP="00552C71">
      <w:pPr>
        <w:autoSpaceDE w:val="0"/>
        <w:autoSpaceDN w:val="0"/>
        <w:adjustRightInd w:val="0"/>
        <w:spacing w:before="29" w:line="288" w:lineRule="auto"/>
        <w:jc w:val="right"/>
        <w:rPr>
          <w:color w:val="000000"/>
          <w:kern w:val="0"/>
          <w:sz w:val="24"/>
        </w:rPr>
      </w:pPr>
      <w:r w:rsidRPr="00552C71">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13,297,912.70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170,691.08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7,578.24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74,149,847.57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35,397,500.00</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123,023,529.59</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D77D2B" w:rsidRDefault="0076518F" w:rsidP="005546C0">
      <w:pPr>
        <w:autoSpaceDE w:val="0"/>
        <w:autoSpaceDN w:val="0"/>
        <w:adjustRightInd w:val="0"/>
        <w:spacing w:before="29" w:line="288" w:lineRule="auto"/>
        <w:jc w:val="left"/>
        <w:rPr>
          <w:b/>
          <w:color w:val="000000"/>
          <w:kern w:val="0"/>
          <w:sz w:val="24"/>
        </w:rPr>
      </w:pPr>
      <w:r w:rsidRPr="00D77D2B">
        <w:rPr>
          <w:b/>
          <w:color w:val="000000"/>
          <w:kern w:val="0"/>
          <w:sz w:val="24"/>
        </w:rPr>
        <w:t>5.10.6</w:t>
      </w:r>
      <w:r w:rsidR="001C46E1" w:rsidRPr="00D77D2B">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1,202,472,285.11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397,433,017.08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lastRenderedPageBreak/>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478,759,205.71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1,121,146,096.48</w:t>
            </w:r>
          </w:p>
        </w:tc>
      </w:tr>
    </w:tbl>
    <w:p w:rsidR="00276087" w:rsidRDefault="003A79F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276087" w:rsidRDefault="003A79F6">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276087" w:rsidRDefault="003A79F6">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276087" w:rsidRDefault="003A79F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276087" w:rsidRDefault="003A79F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276087" w:rsidRDefault="003A79F6">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276087" w:rsidRDefault="003A79F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lastRenderedPageBreak/>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F6" w:rsidRDefault="003A79F6">
      <w:r>
        <w:separator/>
      </w:r>
    </w:p>
  </w:endnote>
  <w:endnote w:type="continuationSeparator" w:id="0">
    <w:p w:rsidR="003A79F6" w:rsidRDefault="003A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620FCF">
      <w:rPr>
        <w:noProof/>
        <w:kern w:val="0"/>
        <w:szCs w:val="21"/>
      </w:rPr>
      <w:t>5</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620FCF">
      <w:rPr>
        <w:noProof/>
        <w:kern w:val="0"/>
        <w:szCs w:val="21"/>
      </w:rPr>
      <w:t>14</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F6" w:rsidRDefault="003A79F6">
      <w:r>
        <w:separator/>
      </w:r>
    </w:p>
  </w:footnote>
  <w:footnote w:type="continuationSeparator" w:id="0">
    <w:p w:rsidR="003A79F6" w:rsidRDefault="003A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087"/>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A79F6"/>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0FCF"/>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133</TotalTime>
  <Pages>14</Pages>
  <Words>1165</Words>
  <Characters>6645</Characters>
  <Application>Microsoft Office Word</Application>
  <DocSecurity>0</DocSecurity>
  <Lines>55</Lines>
  <Paragraphs>15</Paragraphs>
  <ScaleCrop>false</ScaleCrop>
  <Company>TRT. Ltd. Co.</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313</cp:revision>
  <cp:lastPrinted>2007-07-19T00:46:00Z</cp:lastPrinted>
  <dcterms:created xsi:type="dcterms:W3CDTF">2013-08-01T05:26:00Z</dcterms:created>
  <dcterms:modified xsi:type="dcterms:W3CDTF">2020-07-17T05:36:00Z</dcterms:modified>
</cp:coreProperties>
</file>